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critical-review-artikel-5"/>
    <w:p>
      <w:pPr>
        <w:pStyle w:val="Heading1"/>
      </w:pPr>
      <w:r>
        <w:t xml:space="preserve">CRITICAL REVIEW ARTIKEL 5</w:t>
      </w:r>
    </w:p>
    <w:p>
      <w:pPr>
        <w:pStyle w:val="FirstParagraph"/>
      </w:pPr>
      <w:r>
        <w:rPr>
          <w:b/>
          <w:bCs/>
        </w:rPr>
        <w:t xml:space="preserve">Mata Kuliah:</w:t>
      </w:r>
      <w:r>
        <w:t xml:space="preserve"> </w:t>
      </w:r>
      <w:r>
        <w:t xml:space="preserve">Manajemen Strategik Kontemporer (MST304)</w:t>
      </w:r>
    </w:p>
    <w:p>
      <w:pPr>
        <w:pStyle w:val="BodyText"/>
      </w:pPr>
      <w:r>
        <w:rPr>
          <w:b/>
          <w:bCs/>
        </w:rPr>
        <w:t xml:space="preserve">Semester:</w:t>
      </w:r>
      <w:r>
        <w:t xml:space="preserve"> </w:t>
      </w:r>
      <w:r>
        <w:t xml:space="preserve">II, T.A. 2025/2026</w:t>
      </w:r>
    </w:p>
    <w:p>
      <w:pPr>
        <w:pStyle w:val="BodyText"/>
      </w:pPr>
      <w:r>
        <w:rPr>
          <w:b/>
          <w:bCs/>
        </w:rPr>
        <w:t xml:space="preserve">Nama:</w:t>
      </w:r>
      <w:r>
        <w:t xml:space="preserve"> </w:t>
      </w:r>
      <w:r>
        <w:t xml:space="preserve">Dzaki Muhammad Yusfian</w:t>
      </w:r>
    </w:p>
    <w:p>
      <w:pPr>
        <w:pStyle w:val="BodyText"/>
      </w:pPr>
      <w:r>
        <w:rPr>
          <w:b/>
          <w:bCs/>
        </w:rPr>
        <w:t xml:space="preserve">NIM:</w:t>
      </w:r>
      <w:r>
        <w:t xml:space="preserve"> </w:t>
      </w:r>
      <w:r>
        <w:t xml:space="preserve">1125 01079</w:t>
      </w:r>
    </w:p>
    <w:p>
      <w:r>
        <w:pict>
          <v:rect style="width:0;height:1.5pt" o:hralign="center" o:hrstd="t" o:hr="t"/>
        </w:pict>
      </w:r>
    </w:p>
    <w:bookmarkStart w:id="9" w:name="identitas-artikel"/>
    <w:p>
      <w:pPr>
        <w:pStyle w:val="Heading2"/>
      </w:pPr>
      <w:r>
        <w:t xml:space="preserve">1. Identitas Artikel</w:t>
      </w:r>
    </w:p>
    <w:p>
      <w:pPr>
        <w:pStyle w:val="FirstParagraph"/>
      </w:pPr>
      <w:r>
        <w:rPr>
          <w:b/>
          <w:bCs/>
        </w:rPr>
        <w:t xml:space="preserve">Judul:</w:t>
      </w:r>
      <w:r>
        <w:t xml:space="preserve"> </w:t>
      </w:r>
      <w:r>
        <w:rPr>
          <w:i/>
          <w:iCs/>
        </w:rPr>
        <w:t xml:space="preserve">Firm Resources and Sustained Competitive Advantage</w:t>
      </w:r>
    </w:p>
    <w:p>
      <w:pPr>
        <w:pStyle w:val="BodyText"/>
      </w:pPr>
      <w:r>
        <w:rPr>
          <w:b/>
          <w:bCs/>
        </w:rPr>
        <w:t xml:space="preserve">Penulis:</w:t>
      </w:r>
      <w:r>
        <w:t xml:space="preserve"> </w:t>
      </w:r>
      <w:r>
        <w:t xml:space="preserve">Jay B. Barney</w:t>
      </w:r>
    </w:p>
    <w:p>
      <w:pPr>
        <w:pStyle w:val="BodyText"/>
      </w:pPr>
      <w:r>
        <w:rPr>
          <w:b/>
          <w:bCs/>
        </w:rPr>
        <w:t xml:space="preserve">Institusi saat publikasi:</w:t>
      </w:r>
      <w:r>
        <w:t xml:space="preserve"> </w:t>
      </w:r>
      <w:r>
        <w:t xml:space="preserve">Texas A&amp;M University (kemudian pindah ke Ohio State University, dan selanjutnya University of Utah)</w:t>
      </w:r>
    </w:p>
    <w:p>
      <w:pPr>
        <w:pStyle w:val="BodyText"/>
      </w:pPr>
      <w:r>
        <w:rPr>
          <w:b/>
          <w:bCs/>
        </w:rPr>
        <w:t xml:space="preserve">Publikasi:</w:t>
      </w:r>
      <w:r>
        <w:t xml:space="preserve"> </w:t>
      </w:r>
      <w:r>
        <w:rPr>
          <w:i/>
          <w:iCs/>
        </w:rPr>
        <w:t xml:space="preserve">Journal of Management</w:t>
      </w:r>
      <w:r>
        <w:t xml:space="preserve">, Vol. 17 No. 1 (1991), hlm. 99–120</w:t>
      </w:r>
    </w:p>
    <w:p>
      <w:pPr>
        <w:pStyle w:val="BodyText"/>
      </w:pPr>
      <w:r>
        <w:rPr>
          <w:b/>
          <w:bCs/>
        </w:rPr>
        <w:t xml:space="preserve">Tipe Penelitian:</w:t>
      </w:r>
      <w:r>
        <w:t xml:space="preserve"> </w:t>
      </w:r>
      <w:r>
        <w:t xml:space="preserve">Artikel konseptual/teoretis</w:t>
      </w:r>
    </w:p>
    <w:p>
      <w:pPr>
        <w:pStyle w:val="BodyText"/>
      </w:pPr>
      <w:r>
        <w:rPr>
          <w:b/>
          <w:bCs/>
        </w:rPr>
        <w:t xml:space="preserve">Catatan posisi akademik:</w:t>
      </w:r>
      <w:r>
        <w:t xml:space="preserve"> </w:t>
      </w:r>
      <w:r>
        <w:t xml:space="preserve">Artikel ini adalah salah satu karya paling berpengaruh dalam sejarah ilmu manajemen strategik, dengan jumlah sitasi yang melampaui seratus ribu. Ia menjadi rujukan kanonik bagi hampir semua karya berikutnya yang berbicara tentang keunggulan bersaing berbasis sumber daya.</w:t>
      </w:r>
    </w:p>
    <w:bookmarkEnd w:id="9"/>
    <w:bookmarkStart w:id="10" w:name="X9ca7e4db898c0454268789f9a8be7181fc9df28"/>
    <w:p>
      <w:pPr>
        <w:pStyle w:val="Heading2"/>
      </w:pPr>
      <w:r>
        <w:t xml:space="preserve">2. Tujuan Penelitian dan Posisi dalam Literatur</w:t>
      </w:r>
    </w:p>
    <w:p>
      <w:pPr>
        <w:pStyle w:val="FirstParagraph"/>
      </w:pPr>
      <w:r>
        <w:t xml:space="preserve">Barney (1991) menulis dalam konteks intelektual yang sangat spesifik. Pada akhir 1980-an, pemikiran dominan dalam manajemen strategik—diwakili terutama oleh Porter (1980, 1985)—memfokuskan analisis pada struktur industri sebagai determinan kinerja perusahaan. Kerangka</w:t>
      </w:r>
      <w:r>
        <w:t xml:space="preserve"> </w:t>
      </w:r>
      <w:r>
        <w:rPr>
          <w:i/>
          <w:iCs/>
        </w:rPr>
        <w:t xml:space="preserve">structure-conduct-performance</w:t>
      </w:r>
      <w:r>
        <w:t xml:space="preserve"> </w:t>
      </w:r>
      <w:r>
        <w:t xml:space="preserve">yang diwarisi dari ekonomi industri Mason-Bain mengasumsikan, secara implisit, bahwa perusahaan dalam industri yang sama memiliki sumber daya yang homogen dan bahwa sumber daya strategis dapat diperdagangkan secara bebas di pasar faktor. Dari asumsi-asumsi ini mengalir implikasi besar: perusahaan yang unggul adalah perusahaan yang berhasil memosisikan dirinya dalam industri yang menguntungkan dan melindungi posisinya melalui hambatan masuk.</w:t>
      </w:r>
    </w:p>
    <w:p>
      <w:pPr>
        <w:pStyle w:val="BodyText"/>
      </w:pPr>
      <w:r>
        <w:t xml:space="preserve">Tujuan Barney dalam artikel ini adalah menyodorkan alternatif paradigmatik. Ia ingin menjawab pertanyaan yang tidak terjawab dengan memadai oleh tradisi Porter: mengapa terdapat variasi kinerja yang persisten</w:t>
      </w:r>
      <w:r>
        <w:t xml:space="preserve"> </w:t>
      </w:r>
      <w:r>
        <w:rPr>
          <w:i/>
          <w:iCs/>
        </w:rPr>
        <w:t xml:space="preserve">di dalam</w:t>
      </w:r>
      <w:r>
        <w:t xml:space="preserve"> </w:t>
      </w:r>
      <w:r>
        <w:t xml:space="preserve">industri yang sama? Jawabannya mengandaikan pembalikan asumsi: sumber daya perusahaan tidak homogen, dan tidak sepenuhnya mobile di pasar faktor. Dari kedua asumsi alternatif inilah Barney membangun argumentasi bahwa keunggulan bersaing yang bertahan harus dicari pada karakteristik sumber daya internal perusahaan, bukan semata pada posisi industri.</w:t>
      </w:r>
    </w:p>
    <w:p>
      <w:pPr>
        <w:pStyle w:val="BodyText"/>
      </w:pPr>
      <w:r>
        <w:t xml:space="preserve">Posisi Barney dalam literatur dengan demikian bukan sebagai penyanggah Porter, melainkan sebagai pembangun paradigma pelengkap yang mengisi ruang analitis yang ditinggalkan oleh tradisi</w:t>
      </w:r>
      <w:r>
        <w:t xml:space="preserve"> </w:t>
      </w:r>
      <w:r>
        <w:rPr>
          <w:i/>
          <w:iCs/>
        </w:rPr>
        <w:t xml:space="preserve">industrial organization</w:t>
      </w:r>
      <w:r>
        <w:t xml:space="preserve">. Dalam artikelnya sendiri, Barney secara hati-hati menyatakan bahwa kedua pendekatan bersifat komplementer: analisis lingkungan menjelaskan mengapa industri tertentu menguntungkan, sementara</w:t>
      </w:r>
      <w:r>
        <w:t xml:space="preserve"> </w:t>
      </w:r>
      <w:r>
        <w:rPr>
          <w:i/>
          <w:iCs/>
        </w:rPr>
        <w:t xml:space="preserve">resource-based view</w:t>
      </w:r>
      <w:r>
        <w:t xml:space="preserve"> </w:t>
      </w:r>
      <w:r>
        <w:t xml:space="preserve">menjelaskan mengapa perusahaan tertentu dalam industri itu mengungguli pesaingnya.</w:t>
      </w:r>
    </w:p>
    <w:bookmarkEnd w:id="10"/>
    <w:bookmarkStart w:id="11" w:name="Xcf08b1a14eda0371882da8af5ec2249acf05a98"/>
    <w:p>
      <w:pPr>
        <w:pStyle w:val="Heading2"/>
      </w:pPr>
      <w:r>
        <w:t xml:space="preserve">3. Argumen Utama: Dua Asumsi dan Empat Kriteria</w:t>
      </w:r>
    </w:p>
    <w:p>
      <w:pPr>
        <w:pStyle w:val="FirstParagraph"/>
      </w:pPr>
      <w:r>
        <w:t xml:space="preserve">Arsitektur argumen Barney bertumpu pada dua pilar. Pilar pertama adalah</w:t>
      </w:r>
      <w:r>
        <w:t xml:space="preserve"> </w:t>
      </w:r>
      <w:r>
        <w:rPr>
          <w:i/>
          <w:iCs/>
        </w:rPr>
        <w:t xml:space="preserve">dua asumsi fondasional</w:t>
      </w:r>
      <w:r>
        <w:t xml:space="preserve">: heterogenitas sumber daya di antara perusahaan dalam industri yang sama, dan imobilitas sumber daya di pasar faktor. Kedua asumsi ini bekerja bersama secara logis: tanpa heterogenitas, tidak mungkin ada variasi kinerja persisten; tanpa imobilitas, heterogenitas akan segera hilang ketika sumber daya berpindah tangan di pasar.</w:t>
      </w:r>
    </w:p>
    <w:p>
      <w:pPr>
        <w:pStyle w:val="BodyText"/>
      </w:pPr>
      <w:r>
        <w:t xml:space="preserve">Pilar kedua adalah</w:t>
      </w:r>
      <w:r>
        <w:t xml:space="preserve"> </w:t>
      </w:r>
      <w:r>
        <w:rPr>
          <w:i/>
          <w:iCs/>
        </w:rPr>
        <w:t xml:space="preserve">empat kriteria operasional</w:t>
      </w:r>
      <w:r>
        <w:t xml:space="preserve"> </w:t>
      </w:r>
      <w:r>
        <w:t xml:space="preserve">yang mengidentifikasi sumber daya mana yang berpotensi menjadi fondasi keunggulan bersaing bertahan. Keempat kriteria tersebut—</w:t>
      </w:r>
      <w:r>
        <w:rPr>
          <w:i/>
          <w:iCs/>
        </w:rPr>
        <w:t xml:space="preserve">value</w:t>
      </w:r>
      <w:r>
        <w:t xml:space="preserve">,</w:t>
      </w:r>
      <w:r>
        <w:t xml:space="preserve"> </w:t>
      </w:r>
      <w:r>
        <w:rPr>
          <w:i/>
          <w:iCs/>
        </w:rPr>
        <w:t xml:space="preserve">rarity</w:t>
      </w:r>
      <w:r>
        <w:t xml:space="preserve">,</w:t>
      </w:r>
      <w:r>
        <w:t xml:space="preserve"> </w:t>
      </w:r>
      <w:r>
        <w:rPr>
          <w:i/>
          <w:iCs/>
        </w:rPr>
        <w:t xml:space="preserve">imperfect imitability</w:t>
      </w:r>
      <w:r>
        <w:t xml:space="preserve">, dan</w:t>
      </w:r>
      <w:r>
        <w:t xml:space="preserve"> </w:t>
      </w:r>
      <w:r>
        <w:rPr>
          <w:i/>
          <w:iCs/>
        </w:rPr>
        <w:t xml:space="preserve">non-substitutability</w:t>
      </w:r>
      <w:r>
        <w:t xml:space="preserve">—kemudian dikenal sebagai VRIN. Barney menjabarkan masing-masing dengan presisi:</w:t>
      </w:r>
    </w:p>
    <w:p>
      <w:pPr>
        <w:pStyle w:val="BodyText"/>
      </w:pPr>
      <w:r>
        <w:t xml:space="preserve">Sebuah sumber daya</w:t>
      </w:r>
      <w:r>
        <w:t xml:space="preserve"> </w:t>
      </w:r>
      <w:r>
        <w:rPr>
          <w:i/>
          <w:iCs/>
        </w:rPr>
        <w:t xml:space="preserve">bernilai</w:t>
      </w:r>
      <w:r>
        <w:t xml:space="preserve"> </w:t>
      </w:r>
      <w:r>
        <w:t xml:space="preserve">apabila ia memungkinkan perusahaan memanfaatkan peluang pasar atau menetralisir ancaman kompetitif. Definisi ini secara cerdik mengikat konsep sumber daya pada konteks eksternal—sebuah gerak yang mencegah RBV terperangkap dalam introspeksi murni.</w:t>
      </w:r>
    </w:p>
    <w:p>
      <w:pPr>
        <w:pStyle w:val="BodyText"/>
      </w:pPr>
      <w:r>
        <w:t xml:space="preserve">Sebuah sumber daya</w:t>
      </w:r>
      <w:r>
        <w:t xml:space="preserve"> </w:t>
      </w:r>
      <w:r>
        <w:rPr>
          <w:i/>
          <w:iCs/>
        </w:rPr>
        <w:t xml:space="preserve">langka</w:t>
      </w:r>
      <w:r>
        <w:t xml:space="preserve"> </w:t>
      </w:r>
      <w:r>
        <w:t xml:space="preserve">apabila jumlah perusahaan yang memilikinya lebih sedikit dari jumlah yang diperlukan untuk menghasilkan dinamika kompetisi sempurna. Kriteria ini lebih nuansawi daripada sekadar</w:t>
      </w:r>
      <w:r>
        <w:t xml:space="preserve"> </w:t>
      </w:r>
      <w:r>
        <w:t xml:space="preserve">“unik”</w:t>
      </w:r>
      <w:r>
        <w:t xml:space="preserve">; ia mengakui bahwa kelangkaan relatif sudah cukup.</w:t>
      </w:r>
    </w:p>
    <w:p>
      <w:pPr>
        <w:pStyle w:val="BodyText"/>
      </w:pPr>
      <w:r>
        <w:t xml:space="preserve">Sebuah sumber daya</w:t>
      </w:r>
      <w:r>
        <w:t xml:space="preserve"> </w:t>
      </w:r>
      <w:r>
        <w:rPr>
          <w:i/>
          <w:iCs/>
        </w:rPr>
        <w:t xml:space="preserve">tidak sempurna untuk ditiru</w:t>
      </w:r>
      <w:r>
        <w:t xml:space="preserve"> </w:t>
      </w:r>
      <w:r>
        <w:t xml:space="preserve">karena salah satu atau kombinasi dari tiga sebab: kondisi historis yang unik, ambiguitas kausal, atau kompleksitas sosial. Ketiga sebab ini bekerja sebagai mekanisme perlindungan terhadap imitasi oleh pesaing.</w:t>
      </w:r>
    </w:p>
    <w:p>
      <w:pPr>
        <w:pStyle w:val="BodyText"/>
      </w:pPr>
      <w:r>
        <w:t xml:space="preserve">Sebuah sumber daya</w:t>
      </w:r>
      <w:r>
        <w:t xml:space="preserve"> </w:t>
      </w:r>
      <w:r>
        <w:rPr>
          <w:i/>
          <w:iCs/>
        </w:rPr>
        <w:t xml:space="preserve">tidak tergantikan</w:t>
      </w:r>
      <w:r>
        <w:t xml:space="preserve"> </w:t>
      </w:r>
      <w:r>
        <w:t xml:space="preserve">apabila tidak ada sumber daya lain yang secara strategis ekivalen yang dapat digunakan pesaing untuk menghasilkan nilai yang sama. Barney menekankan bahwa substitusi tidak perlu identik; cukup setara secara fungsional.</w:t>
      </w:r>
    </w:p>
    <w:p>
      <w:pPr>
        <w:pStyle w:val="BodyText"/>
      </w:pPr>
      <w:r>
        <w:t xml:space="preserve">Kontribusi teoretis terpenting dari Barney bukan sekadar menyediakan daftar kriteria, tetapi mendefinisikan</w:t>
      </w:r>
      <w:r>
        <w:t xml:space="preserve"> </w:t>
      </w:r>
      <w:r>
        <w:rPr>
          <w:i/>
          <w:iCs/>
        </w:rPr>
        <w:t xml:space="preserve">sustained competitive advantage</w:t>
      </w:r>
      <w:r>
        <w:t xml:space="preserve"> </w:t>
      </w:r>
      <w:r>
        <w:t xml:space="preserve">sebagai konsep ekuilibrium. Menurutnya, keunggulan bersaing dikatakan bertahan bukan karena ia berlangsung untuk durasi kalender tertentu, melainkan karena upaya pesaing untuk menduplikasinya telah berhenti—dan tetap demikian. Definisi ini elegan secara analitis karena ia memindahkan perdebatan dari perhitungan waktu yang arbitrer ke pertanyaan tentang kondisi kesetimbangan kompetitif.</w:t>
      </w:r>
    </w:p>
    <w:bookmarkEnd w:id="11"/>
    <w:bookmarkStart w:id="12" w:name="X0db685f7af3930fa235b792d63a9d512e01f189"/>
    <w:p>
      <w:pPr>
        <w:pStyle w:val="Heading2"/>
      </w:pPr>
      <w:r>
        <w:t xml:space="preserve">4. Koneksi ke Topik Silabus (Pertemuan 4 — TPGS Ch.4)</w:t>
      </w:r>
    </w:p>
    <w:p>
      <w:pPr>
        <w:pStyle w:val="FirstParagraph"/>
      </w:pPr>
      <w:r>
        <w:t xml:space="preserve">Artikel Barney adalah teks induk bagi seluruh analisis internal yang diajarkan dalam TPGS Ch.4. Semua konsep yang digunakan dalam Ch.4—identifikasi sumber daya yang bernilai, penilaian kelangkaan dan imitasi, asesmen kekuatan kompetitif—secara intelektual turun dari kerangka yang dibangun Barney. Tanpa membaca Barney dalam bentuk aslinya, mahasiswa hanya akan belajar</w:t>
      </w:r>
      <w:r>
        <w:t xml:space="preserve"> </w:t>
      </w:r>
      <w:r>
        <w:rPr>
          <w:i/>
          <w:iCs/>
        </w:rPr>
        <w:t xml:space="preserve">cara menggunakan</w:t>
      </w:r>
      <w:r>
        <w:t xml:space="preserve"> </w:t>
      </w:r>
      <w:r>
        <w:t xml:space="preserve">VRIN tetapi tidak memahami</w:t>
      </w:r>
      <w:r>
        <w:t xml:space="preserve"> </w:t>
      </w:r>
      <w:r>
        <w:rPr>
          <w:i/>
          <w:iCs/>
        </w:rPr>
        <w:t xml:space="preserve">mengapa kerangka itu valid secara teoretis</w:t>
      </w:r>
      <w:r>
        <w:t xml:space="preserve">.</w:t>
      </w:r>
    </w:p>
    <w:p>
      <w:pPr>
        <w:pStyle w:val="BodyText"/>
      </w:pPr>
      <w:r>
        <w:t xml:space="preserve">Asumsi heterogenitas dan imobilitas, yang sering dilewatkan dalam aplikasi praktis Ch.4, merupakan premis kritikal. Apabila seorang praktisi berasumsi bahwa sumber daya strategis mobile dan homogen—misalnya ketika memperlakukan</w:t>
      </w:r>
      <w:r>
        <w:t xml:space="preserve"> </w:t>
      </w:r>
      <w:r>
        <w:t xml:space="preserve">“talenta digital”</w:t>
      </w:r>
      <w:r>
        <w:t xml:space="preserve"> </w:t>
      </w:r>
      <w:r>
        <w:t xml:space="preserve">sebagai komoditas yang dapat direkrut bebas—maka aplikasinya terhadap kerangka VRIN akan menjadi dangkal atau sesat.</w:t>
      </w:r>
    </w:p>
    <w:p>
      <w:pPr>
        <w:pStyle w:val="BodyText"/>
      </w:pPr>
      <w:r>
        <w:t xml:space="preserve">Di sisi lain, pemahaman atas artikel Barney juga membantu mahasiswa menempatkan tempat RBV di dalam ekosistem teori yang lebih luas. Karya-karya penting seperti</w:t>
      </w:r>
      <w:r>
        <w:t xml:space="preserve"> </w:t>
      </w:r>
      <w:r>
        <w:rPr>
          <w:i/>
          <w:iCs/>
        </w:rPr>
        <w:t xml:space="preserve">dynamic capabilities</w:t>
      </w:r>
      <w:r>
        <w:t xml:space="preserve"> </w:t>
      </w:r>
      <w:r>
        <w:t xml:space="preserve">(Teece, Pisano &amp; Shuen 1997),</w:t>
      </w:r>
      <w:r>
        <w:t xml:space="preserve"> </w:t>
      </w:r>
      <w:r>
        <w:rPr>
          <w:i/>
          <w:iCs/>
        </w:rPr>
        <w:t xml:space="preserve">knowledge-based view</w:t>
      </w:r>
      <w:r>
        <w:t xml:space="preserve"> </w:t>
      </w:r>
      <w:r>
        <w:t xml:space="preserve">(Grant 1996),</w:t>
      </w:r>
      <w:r>
        <w:t xml:space="preserve"> </w:t>
      </w:r>
      <w:r>
        <w:rPr>
          <w:i/>
          <w:iCs/>
        </w:rPr>
        <w:t xml:space="preserve">relational view</w:t>
      </w:r>
      <w:r>
        <w:t xml:space="preserve"> </w:t>
      </w:r>
      <w:r>
        <w:t xml:space="preserve">(Dyer &amp; Singh 1998), dan</w:t>
      </w:r>
      <w:r>
        <w:t xml:space="preserve"> </w:t>
      </w:r>
      <w:r>
        <w:rPr>
          <w:i/>
          <w:iCs/>
        </w:rPr>
        <w:t xml:space="preserve">microfoundations of capabilities</w:t>
      </w:r>
      <w:r>
        <w:t xml:space="preserve"> </w:t>
      </w:r>
      <w:r>
        <w:t xml:space="preserve">(Felin &amp; Foss 2005) adalah respons intelektual terhadap Barney. Tanpa landasan pada teks asli, mahasiswa tidak dapat mengikuti percakapan teoretis yang terus berlangsung dalam literatur kontemporer.</w:t>
      </w:r>
    </w:p>
    <w:bookmarkEnd w:id="12"/>
    <w:bookmarkStart w:id="13" w:name="kekuatan-artikel"/>
    <w:p>
      <w:pPr>
        <w:pStyle w:val="Heading2"/>
      </w:pPr>
      <w:r>
        <w:t xml:space="preserve">5. Kekuatan Artikel</w:t>
      </w:r>
    </w:p>
    <w:p>
      <w:pPr>
        <w:pStyle w:val="FirstParagraph"/>
      </w:pPr>
      <w:r>
        <w:t xml:space="preserve">Kekuatan pertama yang patut disorot adalah</w:t>
      </w:r>
      <w:r>
        <w:t xml:space="preserve"> </w:t>
      </w:r>
      <w:r>
        <w:rPr>
          <w:b/>
          <w:bCs/>
        </w:rPr>
        <w:t xml:space="preserve">kejelasan arsitektur argumen</w:t>
      </w:r>
      <w:r>
        <w:t xml:space="preserve">. Barney menata argumennya dengan disiplin logis yang eksemplar: ia mulai dari asumsi, turun ke definisi, lanjut ke implikasi, dan menutup dengan aplikasi pada tiga studi kasus (</w:t>
      </w:r>
      <w:r>
        <w:rPr>
          <w:i/>
          <w:iCs/>
        </w:rPr>
        <w:t xml:space="preserve">strategic planning</w:t>
      </w:r>
      <w:r>
        <w:t xml:space="preserve">,</w:t>
      </w:r>
      <w:r>
        <w:t xml:space="preserve"> </w:t>
      </w:r>
      <w:r>
        <w:rPr>
          <w:i/>
          <w:iCs/>
        </w:rPr>
        <w:t xml:space="preserve">information processing systems</w:t>
      </w:r>
      <w:r>
        <w:t xml:space="preserve">, dan</w:t>
      </w:r>
      <w:r>
        <w:t xml:space="preserve"> </w:t>
      </w:r>
      <w:r>
        <w:rPr>
          <w:i/>
          <w:iCs/>
        </w:rPr>
        <w:t xml:space="preserve">positive reputation</w:t>
      </w:r>
      <w:r>
        <w:t xml:space="preserve">). Struktur ini memudahkan pembaca mengikuti rantai nalar dan mengidentifikasi titik-titik di mana ia mungkin ingin setuju atau tidak.</w:t>
      </w:r>
    </w:p>
    <w:p>
      <w:pPr>
        <w:pStyle w:val="BodyText"/>
      </w:pPr>
      <w:r>
        <w:t xml:space="preserve">Kekuatan kedua adalah</w:t>
      </w:r>
      <w:r>
        <w:t xml:space="preserve"> </w:t>
      </w:r>
      <w:r>
        <w:rPr>
          <w:b/>
          <w:bCs/>
        </w:rPr>
        <w:t xml:space="preserve">bahasa operasional yang ringkas namun presisi</w:t>
      </w:r>
      <w:r>
        <w:t xml:space="preserve">. Sebelum Barney, klaim bahwa</w:t>
      </w:r>
      <w:r>
        <w:t xml:space="preserve"> </w:t>
      </w:r>
      <w:r>
        <w:t xml:space="preserve">“perusahaan unggul karena sumber dayanya unik”</w:t>
      </w:r>
      <w:r>
        <w:t xml:space="preserve"> </w:t>
      </w:r>
      <w:r>
        <w:t xml:space="preserve">sering dikemukakan tanpa disiplin analitis. Dengan menyodorkan empat kriteria yang dapat diuji secara terstruktur, Barney mengubah kosakata strategis menjadi alat yang dapat digunakan dalam diskusi manajerial yang serius. Singkatan VRIN (dan kemudian VRIO) bukan sekadar kemudahan mnemonik; ia adalah protokol analisis.</w:t>
      </w:r>
    </w:p>
    <w:p>
      <w:pPr>
        <w:pStyle w:val="BodyText"/>
      </w:pPr>
      <w:r>
        <w:t xml:space="preserve">Kekuatan ketiga adalah</w:t>
      </w:r>
      <w:r>
        <w:t xml:space="preserve"> </w:t>
      </w:r>
      <w:r>
        <w:rPr>
          <w:b/>
          <w:bCs/>
        </w:rPr>
        <w:t xml:space="preserve">definisi ekuilibrium dari sustained competitive advantage</w:t>
      </w:r>
      <w:r>
        <w:t xml:space="preserve">. Dengan mengikat konsep ini pada kondisi berhentinya upaya duplikasi, Barney menghindari perangkap yang sering dialami literatur lain: berdebat tentang berapa tahun</w:t>
      </w:r>
      <w:r>
        <w:t xml:space="preserve"> </w:t>
      </w:r>
      <w:r>
        <w:t xml:space="preserve">“bertahan”</w:t>
      </w:r>
      <w:r>
        <w:t xml:space="preserve"> </w:t>
      </w:r>
      <w:r>
        <w:t xml:space="preserve">harus berarti. Definisi ekuilibriumnya memindahkan fokus ke pertanyaan struktural tentang kondisi kompetisi, yang jauh lebih bermanfaat secara analitis.</w:t>
      </w:r>
    </w:p>
    <w:p>
      <w:pPr>
        <w:pStyle w:val="BodyText"/>
      </w:pPr>
      <w:r>
        <w:t xml:space="preserve">Kekuatan keempat adalah</w:t>
      </w:r>
      <w:r>
        <w:t xml:space="preserve"> </w:t>
      </w:r>
      <w:r>
        <w:rPr>
          <w:b/>
          <w:bCs/>
        </w:rPr>
        <w:t xml:space="preserve">pengangkatan pentingnya sumber daya tacit dan sosial-kompleks</w:t>
      </w:r>
      <w:r>
        <w:t xml:space="preserve">. Dengan memasukkan kompleksitas sosial sebagai salah satu sumber imperfeksi imitasi, Barney memberi ruang teoretis yang sah bagi aset-aset yang sulit dikodifikasi—budaya perusahaan, relasi antarmanajer, kepercayaan pemasok, jejaring distribusi yang berlangsung selama dekade. Ini membuka pintu bagi perkembangan</w:t>
      </w:r>
      <w:r>
        <w:t xml:space="preserve"> </w:t>
      </w:r>
      <w:r>
        <w:rPr>
          <w:i/>
          <w:iCs/>
        </w:rPr>
        <w:t xml:space="preserve">knowledge-based view</w:t>
      </w:r>
      <w:r>
        <w:t xml:space="preserve"> </w:t>
      </w:r>
      <w:r>
        <w:t xml:space="preserve">dan teori pembelajaran organisasional pada tahun-tahun berikutnya.</w:t>
      </w:r>
    </w:p>
    <w:bookmarkEnd w:id="13"/>
    <w:bookmarkStart w:id="14" w:name="keterbatasan-dan-kelemahan"/>
    <w:p>
      <w:pPr>
        <w:pStyle w:val="Heading2"/>
      </w:pPr>
      <w:r>
        <w:t xml:space="preserve">6. Keterbatasan dan Kelemahan</w:t>
      </w:r>
    </w:p>
    <w:p>
      <w:pPr>
        <w:pStyle w:val="FirstParagraph"/>
      </w:pPr>
      <w:r>
        <w:rPr>
          <w:b/>
          <w:bCs/>
        </w:rPr>
        <w:t xml:space="preserve">Pertama, problem tautologi.</w:t>
      </w:r>
      <w:r>
        <w:t xml:space="preserve"> </w:t>
      </w:r>
      <w:r>
        <w:t xml:space="preserve">Kritik paling substansial datang dari Priem dan Butler (2001). Mereka menunjuk pada kecenderungan definisi Barney berubah menjadi tautologi operasional. Pernyataan</w:t>
      </w:r>
      <w:r>
        <w:t xml:space="preserve"> </w:t>
      </w:r>
      <w:r>
        <w:t xml:space="preserve">“sumber daya yang VRIN menghasilkan keunggulan bersaing yang bertahan”</w:t>
      </w:r>
      <w:r>
        <w:t xml:space="preserve"> </w:t>
      </w:r>
      <w:r>
        <w:t xml:space="preserve">dalam praktik sering dibalik menjadi alat diagnosis</w:t>
      </w:r>
      <w:r>
        <w:t xml:space="preserve"> </w:t>
      </w:r>
      <w:r>
        <w:rPr>
          <w:i/>
          <w:iCs/>
        </w:rPr>
        <w:t xml:space="preserve">post hoc</w:t>
      </w:r>
      <w:r>
        <w:t xml:space="preserve">: kita menyimpulkan bahwa sebuah sumber daya adalah VRIN</w:t>
      </w:r>
      <w:r>
        <w:t xml:space="preserve"> </w:t>
      </w:r>
      <w:r>
        <w:rPr>
          <w:i/>
          <w:iCs/>
        </w:rPr>
        <w:t xml:space="preserve">karena</w:t>
      </w:r>
      <w:r>
        <w:t xml:space="preserve"> </w:t>
      </w:r>
      <w:r>
        <w:t xml:space="preserve">kita mengamati keunggulan bersaing yang bertahan. Logika seperti ini membuat klaim Barney menjadi sulit dibantah secara empiris (</w:t>
      </w:r>
      <w:r>
        <w:rPr>
          <w:i/>
          <w:iCs/>
        </w:rPr>
        <w:t xml:space="preserve">non-falsifiable</w:t>
      </w:r>
      <w:r>
        <w:t xml:space="preserve">), yang merupakan masalah mendasar dalam sebuah proposisi teoretis.</w:t>
      </w:r>
    </w:p>
    <w:p>
      <w:pPr>
        <w:pStyle w:val="BodyText"/>
      </w:pPr>
      <w:r>
        <w:rPr>
          <w:b/>
          <w:bCs/>
        </w:rPr>
        <w:t xml:space="preserve">Kedua, paradoks ambiguitas kausal.</w:t>
      </w:r>
      <w:r>
        <w:t xml:space="preserve"> </w:t>
      </w:r>
      <w:r>
        <w:t xml:space="preserve">Konsep</w:t>
      </w:r>
      <w:r>
        <w:t xml:space="preserve"> </w:t>
      </w:r>
      <w:r>
        <w:rPr>
          <w:i/>
          <w:iCs/>
        </w:rPr>
        <w:t xml:space="preserve">causal ambiguity</w:t>
      </w:r>
      <w:r>
        <w:t xml:space="preserve"> </w:t>
      </w:r>
      <w:r>
        <w:t xml:space="preserve">yang ditawarkan Barney sebagai sumber imperfeksi imitasi mengandung ketegangan yang menarik. Agar ambiguitas kausal berfungsi sebagai pelindung, bahkan perusahaan yang beruntung memiliki sumber daya tersebut harus</w:t>
      </w:r>
      <w:r>
        <w:t xml:space="preserve"> </w:t>
      </w:r>
      <w:r>
        <w:rPr>
          <w:i/>
          <w:iCs/>
        </w:rPr>
        <w:t xml:space="preserve">tidak sepenuhnya memahami</w:t>
      </w:r>
      <w:r>
        <w:t xml:space="preserve"> </w:t>
      </w:r>
      <w:r>
        <w:t xml:space="preserve">mengapa ia unggul. Jika ia paham, maka pengetahuan itu cepat atau lambat akan terdifusi melalui pergerakan manajer atau studi sistematis oleh pesaing. Ini menempatkan manajemen pada posisi epistemologis yang janggal: mereka tidak seharusnya terlalu paham akan sumber kesuksesannya sendiri. Konsekuensinya: pengembangan sumber daya yang sengaja berbasis ambiguitas kausal hampir mustahil secara logis.</w:t>
      </w:r>
    </w:p>
    <w:p>
      <w:pPr>
        <w:pStyle w:val="BodyText"/>
      </w:pPr>
      <w:r>
        <w:rPr>
          <w:b/>
          <w:bCs/>
        </w:rPr>
        <w:t xml:space="preserve">Ketiga, karakter statis dari kerangka.</w:t>
      </w:r>
      <w:r>
        <w:t xml:space="preserve"> </w:t>
      </w:r>
      <w:r>
        <w:t xml:space="preserve">Barney membangun argumennya dalam kerangka ekuilibrium, yang secara implisit mengasumsikan lingkungan stabil. Di lingkungan yang bergerak cepat—industri teknologi digital,</w:t>
      </w:r>
      <w:r>
        <w:t xml:space="preserve"> </w:t>
      </w:r>
      <w:r>
        <w:rPr>
          <w:i/>
          <w:iCs/>
        </w:rPr>
        <w:t xml:space="preserve">fintech</w:t>
      </w:r>
      <w:r>
        <w:t xml:space="preserve">, platform berbasis algoritma—sumber daya VRIN hari ini dapat menjadi usang dalam hitungan tahun. RBV klasik tidak memiliki instrumen analitis untuk menjelaskan bagaimana perusahaan memperbarui basis sumber dayanya. Kerangka</w:t>
      </w:r>
      <w:r>
        <w:t xml:space="preserve"> </w:t>
      </w:r>
      <w:r>
        <w:rPr>
          <w:i/>
          <w:iCs/>
        </w:rPr>
        <w:t xml:space="preserve">dynamic capabilities</w:t>
      </w:r>
      <w:r>
        <w:t xml:space="preserve"> </w:t>
      </w:r>
      <w:r>
        <w:t xml:space="preserve">dari Teece et al. (1997) dikembangkan persis untuk mengisi kesenjangan ini, sebuah pengakuan implisit atas keterbatasan RBV klasik.</w:t>
      </w:r>
    </w:p>
    <w:p>
      <w:pPr>
        <w:pStyle w:val="BodyText"/>
      </w:pPr>
      <w:r>
        <w:rPr>
          <w:b/>
          <w:bCs/>
        </w:rPr>
        <w:t xml:space="preserve">Keempat, kurang perhatian pada akuisisi sumber daya.</w:t>
      </w:r>
      <w:r>
        <w:t xml:space="preserve"> </w:t>
      </w:r>
      <w:r>
        <w:t xml:space="preserve">Peteraf (1993) menunjukkan bahwa RBV Barney terutama mengulas apa yang terjadi</w:t>
      </w:r>
      <w:r>
        <w:t xml:space="preserve"> </w:t>
      </w:r>
      <w:r>
        <w:rPr>
          <w:i/>
          <w:iCs/>
        </w:rPr>
        <w:t xml:space="preserve">setelah</w:t>
      </w:r>
      <w:r>
        <w:t xml:space="preserve"> </w:t>
      </w:r>
      <w:r>
        <w:t xml:space="preserve">perusahaan memiliki sumber daya VRIN, tetapi kurang mendalami proses</w:t>
      </w:r>
      <w:r>
        <w:t xml:space="preserve"> </w:t>
      </w:r>
      <w:r>
        <w:rPr>
          <w:i/>
          <w:iCs/>
        </w:rPr>
        <w:t xml:space="preserve">bagaimana sumber daya itu diakuisisi</w:t>
      </w:r>
      <w:r>
        <w:t xml:space="preserve">. Peteraf mengembangkan gagasan</w:t>
      </w:r>
      <w:r>
        <w:t xml:space="preserve"> </w:t>
      </w:r>
      <w:r>
        <w:rPr>
          <w:i/>
          <w:iCs/>
        </w:rPr>
        <w:t xml:space="preserve">ex ante limits to competition</w:t>
      </w:r>
      <w:r>
        <w:t xml:space="preserve">—kondisi bahwa biaya akuisisi sumber daya tidak boleh menelan seluruh</w:t>
      </w:r>
      <w:r>
        <w:t xml:space="preserve"> </w:t>
      </w:r>
      <w:r>
        <w:rPr>
          <w:i/>
          <w:iCs/>
        </w:rPr>
        <w:t xml:space="preserve">rent</w:t>
      </w:r>
      <w:r>
        <w:t xml:space="preserve"> </w:t>
      </w:r>
      <w:r>
        <w:t xml:space="preserve">ekonomi yang akan dihasilkan nanti. Tanpa mempertimbangkan harga akuisisi, analisis VRIN dapat menyesatkan; sebuah sumber daya VRIN yang dibeli dengan harga yang sudah mencerminkan seluruh nilai masa depannya tidak akan menghasilkan</w:t>
      </w:r>
      <w:r>
        <w:t xml:space="preserve"> </w:t>
      </w:r>
      <w:r>
        <w:rPr>
          <w:i/>
          <w:iCs/>
        </w:rPr>
        <w:t xml:space="preserve">rent</w:t>
      </w:r>
      <w:r>
        <w:t xml:space="preserve"> </w:t>
      </w:r>
      <w:r>
        <w:t xml:space="preserve">bagi pembelinya.</w:t>
      </w:r>
    </w:p>
    <w:p>
      <w:pPr>
        <w:pStyle w:val="BodyText"/>
      </w:pPr>
      <w:r>
        <w:rPr>
          <w:b/>
          <w:bCs/>
        </w:rPr>
        <w:t xml:space="preserve">Kelima, reduksi organisasi menjadi kumpulan sumber daya.</w:t>
      </w:r>
      <w:r>
        <w:t xml:space="preserve"> </w:t>
      </w:r>
      <w:r>
        <w:t xml:space="preserve">Kritik yang lebih halus datang dari tradisi teori organisasi (Donaldson 1990). Barney cenderung memperlakukan perusahaan sebagai kontainer bagi sumber daya, tanpa secara memadai menangani bagaimana struktur organisasi, proses pengambilan keputusan, dan politik internal membentuk cara sumber daya itu diterjemahkan ke dalam tindakan. Pengenalan</w:t>
      </w:r>
      <w:r>
        <w:t xml:space="preserve"> </w:t>
      </w:r>
      <w:r>
        <w:t xml:space="preserve">“O”</w:t>
      </w:r>
      <w:r>
        <w:t xml:space="preserve"> </w:t>
      </w:r>
      <w:r>
        <w:t xml:space="preserve">(organizational support) dalam versi VRIO-nya pada 1995 adalah tanggapan parsial, tetapi kritik teori organisasi terhadap asumsi atomistik RBV tetap relevan.</w:t>
      </w:r>
    </w:p>
    <w:bookmarkEnd w:id="14"/>
    <w:bookmarkStart w:id="15" w:name="evaluasi-kritis"/>
    <w:p>
      <w:pPr>
        <w:pStyle w:val="Heading2"/>
      </w:pPr>
      <w:r>
        <w:t xml:space="preserve">7. Evaluasi Kritis</w:t>
      </w:r>
    </w:p>
    <w:p>
      <w:pPr>
        <w:pStyle w:val="FirstParagraph"/>
      </w:pPr>
      <w:r>
        <w:t xml:space="preserve">Menimbang kekuatan dan kelemahan di atas, posisi yang adil adalah mengakui kontribusi Barney sebagai landmark intelektual sekaligus mencatat bahwa kerangka yang ia bangun adalah</w:t>
      </w:r>
      <w:r>
        <w:t xml:space="preserve"> </w:t>
      </w:r>
      <w:r>
        <w:rPr>
          <w:i/>
          <w:iCs/>
        </w:rPr>
        <w:t xml:space="preserve">starting point</w:t>
      </w:r>
      <w:r>
        <w:t xml:space="preserve">, bukan</w:t>
      </w:r>
      <w:r>
        <w:t xml:space="preserve"> </w:t>
      </w:r>
      <w:r>
        <w:rPr>
          <w:i/>
          <w:iCs/>
        </w:rPr>
        <w:t xml:space="preserve">endpoint</w:t>
      </w:r>
      <w:r>
        <w:t xml:space="preserve">. Tiga pengamatan kritis layak ditekankan.</w:t>
      </w:r>
    </w:p>
    <w:p>
      <w:pPr>
        <w:pStyle w:val="BodyText"/>
      </w:pPr>
      <w:r>
        <w:rPr>
          <w:b/>
          <w:bCs/>
        </w:rPr>
        <w:t xml:space="preserve">Pertama</w:t>
      </w:r>
      <w:r>
        <w:t xml:space="preserve">, masalah tautologi tidak sepenuhnya mendiskualifikasi Barney. Barney dalam respons-respons selanjutnya berargumen bahwa VRIN dapat diuji secara empiris apabila sumber daya diidentifikasi</w:t>
      </w:r>
      <w:r>
        <w:t xml:space="preserve"> </w:t>
      </w:r>
      <w:r>
        <w:rPr>
          <w:i/>
          <w:iCs/>
        </w:rPr>
        <w:t xml:space="preserve">ex ante</w:t>
      </w:r>
      <w:r>
        <w:t xml:space="preserve"> </w:t>
      </w:r>
      <w:r>
        <w:t xml:space="preserve">(melalui analisis struktural independen) dan kemudian diuji secara prediktif terhadap kinerja. Dalam praktiknya, penelitian empiris RBV memang berhasil mendemonstrasikan korelasi antara kepemilikan sumber daya VRI dan kinerja superior (misalnya studi-studi pada industri farmasi, teknologi informasi, dan jasa keuangan). Namun kehati-hatian metodologis tetap diperlukan: peneliti harus menghindari operasionalisasi sirkular.</w:t>
      </w:r>
    </w:p>
    <w:p>
      <w:pPr>
        <w:pStyle w:val="BodyText"/>
      </w:pPr>
      <w:r>
        <w:rPr>
          <w:b/>
          <w:bCs/>
        </w:rPr>
        <w:t xml:space="preserve">Kedua</w:t>
      </w:r>
      <w:r>
        <w:t xml:space="preserve">, kritik tentang ambiguitas kausal menunjuk pada problem yang mendalam tetapi tidak fatal. Apabila kita menerima bahwa ambiguitas kausal adalah fenomena probabilistik—bukan semua-atau-tidak-sama-sekali—maka argumen Barney masih berfungsi. Manajemen dapat</w:t>
      </w:r>
      <w:r>
        <w:t xml:space="preserve"> </w:t>
      </w:r>
      <w:r>
        <w:rPr>
          <w:i/>
          <w:iCs/>
        </w:rPr>
        <w:t xml:space="preserve">sebagian</w:t>
      </w:r>
      <w:r>
        <w:t xml:space="preserve"> </w:t>
      </w:r>
      <w:r>
        <w:t xml:space="preserve">memahami sumber kesuksesannya tanpa harus sepenuhnya memahaminya, dan kompleksitas sistem tetap mempertahankan bagian yang tidak terjangkau oleh imitator. Penafsiran ini lebih dapat dipertahankan daripada versi kuat yang dibangun dalam teks asli.</w:t>
      </w:r>
    </w:p>
    <w:p>
      <w:pPr>
        <w:pStyle w:val="BodyText"/>
      </w:pPr>
      <w:r>
        <w:rPr>
          <w:b/>
          <w:bCs/>
        </w:rPr>
        <w:t xml:space="preserve">Ketiga</w:t>
      </w:r>
      <w:r>
        <w:t xml:space="preserve">, keterbatasan dalam lingkungan dinamis telah direspons dengan baik oleh literatur berikutnya. Kerangka</w:t>
      </w:r>
      <w:r>
        <w:t xml:space="preserve"> </w:t>
      </w:r>
      <w:r>
        <w:rPr>
          <w:i/>
          <w:iCs/>
        </w:rPr>
        <w:t xml:space="preserve">dynamic capabilities</w:t>
      </w:r>
      <w:r>
        <w:t xml:space="preserve"> </w:t>
      </w:r>
      <w:r>
        <w:t xml:space="preserve">tidak menggantikan RBV tetapi melengkapinya: perusahaan perlu memiliki sumber daya VRIN</w:t>
      </w:r>
      <w:r>
        <w:t xml:space="preserve"> </w:t>
      </w:r>
      <w:r>
        <w:rPr>
          <w:i/>
          <w:iCs/>
        </w:rPr>
        <w:t xml:space="preserve">dan</w:t>
      </w:r>
      <w:r>
        <w:t xml:space="preserve"> </w:t>
      </w:r>
      <w:r>
        <w:t xml:space="preserve">kapabilitas untuk memperbarui basis sumber dayanya. Pembacaan modern RBV karena itu jarang berhenti pada Barney (1991) saja; ia dibaca bersama Teece et al. (1997), Eisenhardt &amp; Martin (2000), dan Helfat et al. (2007).</w:t>
      </w:r>
    </w:p>
    <w:p>
      <w:pPr>
        <w:pStyle w:val="BodyText"/>
      </w:pPr>
      <w:r>
        <w:t xml:space="preserve">Satu pengamatan tambahan yang perlu dibuka: Barney cenderung bersikap seolah-olah sumber daya adalah sesuatu yang</w:t>
      </w:r>
      <w:r>
        <w:t xml:space="preserve"> </w:t>
      </w:r>
      <w:r>
        <w:rPr>
          <w:i/>
          <w:iCs/>
        </w:rPr>
        <w:t xml:space="preserve">dimiliki</w:t>
      </w:r>
      <w:r>
        <w:t xml:space="preserve"> </w:t>
      </w:r>
      <w:r>
        <w:t xml:space="preserve">oleh perusahaan. Perspektif kontemporer, terutama dari</w:t>
      </w:r>
      <w:r>
        <w:t xml:space="preserve"> </w:t>
      </w:r>
      <w:r>
        <w:rPr>
          <w:i/>
          <w:iCs/>
        </w:rPr>
        <w:t xml:space="preserve">relational view</w:t>
      </w:r>
      <w:r>
        <w:t xml:space="preserve"> </w:t>
      </w:r>
      <w:r>
        <w:t xml:space="preserve">(Dyer &amp; Singh 1998) dan</w:t>
      </w:r>
      <w:r>
        <w:t xml:space="preserve"> </w:t>
      </w:r>
      <w:r>
        <w:rPr>
          <w:i/>
          <w:iCs/>
        </w:rPr>
        <w:t xml:space="preserve">ecosystem perspective</w:t>
      </w:r>
      <w:r>
        <w:t xml:space="preserve"> </w:t>
      </w:r>
      <w:r>
        <w:t xml:space="preserve">(Jacobides et al. 2018), menunjukkan bahwa banyak sumber daya strategis yang berharga sesungguhnya</w:t>
      </w:r>
      <w:r>
        <w:t xml:space="preserve"> </w:t>
      </w:r>
      <w:r>
        <w:rPr>
          <w:i/>
          <w:iCs/>
        </w:rPr>
        <w:t xml:space="preserve">dibagi</w:t>
      </w:r>
      <w:r>
        <w:t xml:space="preserve"> </w:t>
      </w:r>
      <w:r>
        <w:t xml:space="preserve">dalam jaringan mitra, pemasok, dan pelanggan. Dalam era platform dan ekosistem digital, batas perusahaan menjadi kabur; model RBV yang berpusat pada batas perusahaan mungkin memerlukan revisi konseptual yang lebih jauh.</w:t>
      </w:r>
    </w:p>
    <w:bookmarkEnd w:id="15"/>
    <w:bookmarkStart w:id="16" w:name="X08ce25e3f5d53481848f16121df5d913eaf4e5d"/>
    <w:p>
      <w:pPr>
        <w:pStyle w:val="Heading2"/>
      </w:pPr>
      <w:r>
        <w:t xml:space="preserve">8. Implikasi bagi Pemahaman Manajemen Strategik</w:t>
      </w:r>
    </w:p>
    <w:p>
      <w:pPr>
        <w:pStyle w:val="FirstParagraph"/>
      </w:pPr>
      <w:r>
        <w:rPr>
          <w:b/>
          <w:bCs/>
        </w:rPr>
        <w:t xml:space="preserve">Pertama</w:t>
      </w:r>
      <w:r>
        <w:t xml:space="preserve">, artikel Barney menyediakan kosakata analitis yang dibutuhkan untuk diskusi strategi yang matang. Setiap pernyataan bahwa sebuah perusahaan</w:t>
      </w:r>
      <w:r>
        <w:t xml:space="preserve"> </w:t>
      </w:r>
      <w:r>
        <w:t xml:space="preserve">“memiliki keunggulan”</w:t>
      </w:r>
      <w:r>
        <w:t xml:space="preserve"> </w:t>
      </w:r>
      <w:r>
        <w:t xml:space="preserve">harus diuji dengan empat pertanyaan: apakah sumber daya yang dimaksud bernilai dalam konteks pasar saat ini, langka dibandingkan pesaing, sulit ditiru, dan tidak tergantikan? Disiplin bertanya seperti ini menghindarkan diskusi strategis dari retorika kosong.</w:t>
      </w:r>
    </w:p>
    <w:p>
      <w:pPr>
        <w:pStyle w:val="BodyText"/>
      </w:pPr>
      <w:r>
        <w:rPr>
          <w:b/>
          <w:bCs/>
        </w:rPr>
        <w:t xml:space="preserve">Kedua</w:t>
      </w:r>
      <w:r>
        <w:t xml:space="preserve">, bagi manajer Indonesia, kerangka Barney berguna untuk mendiagnosis kandidat keunggulan bersaing di perusahaan. Contoh yang layak dibahas:</w:t>
      </w:r>
      <w:r>
        <w:t xml:space="preserve"> </w:t>
      </w:r>
      <w:r>
        <w:rPr>
          <w:i/>
          <w:iCs/>
        </w:rPr>
        <w:t xml:space="preserve">customer deposit franchise</w:t>
      </w:r>
      <w:r>
        <w:t xml:space="preserve"> </w:t>
      </w:r>
      <w:r>
        <w:t xml:space="preserve">BCA—tabungan berbiaya rendah yang terakumulasi selama dekade melalui kombinasi kepercayaan publik, jaringan cabang, dan efek</w:t>
      </w:r>
      <w:r>
        <w:t xml:space="preserve"> </w:t>
      </w:r>
      <w:r>
        <w:rPr>
          <w:i/>
          <w:iCs/>
        </w:rPr>
        <w:t xml:space="preserve">switching cost</w:t>
      </w:r>
      <w:r>
        <w:t xml:space="preserve">—memenuhi keempat kriteria VRIN dengan cukup jelas. Sebaliknya, klaim bahwa</w:t>
      </w:r>
      <w:r>
        <w:t xml:space="preserve"> </w:t>
      </w:r>
      <w:r>
        <w:t xml:space="preserve">“budaya inovasi”</w:t>
      </w:r>
      <w:r>
        <w:t xml:space="preserve"> </w:t>
      </w:r>
      <w:r>
        <w:t xml:space="preserve">adalah keunggulan bersaing tanpa adanya proses sistematis R&amp;D, eksperimen, dan</w:t>
      </w:r>
      <w:r>
        <w:t xml:space="preserve"> </w:t>
      </w:r>
      <w:r>
        <w:rPr>
          <w:i/>
          <w:iCs/>
        </w:rPr>
        <w:t xml:space="preserve">scaling</w:t>
      </w:r>
      <w:r>
        <w:t xml:space="preserve"> </w:t>
      </w:r>
      <w:r>
        <w:t xml:space="preserve">biasanya tidak lulus uji imperfeksi imitasi.</w:t>
      </w:r>
    </w:p>
    <w:p>
      <w:pPr>
        <w:pStyle w:val="BodyText"/>
      </w:pPr>
      <w:r>
        <w:rPr>
          <w:b/>
          <w:bCs/>
        </w:rPr>
        <w:t xml:space="preserve">Ketiga</w:t>
      </w:r>
      <w:r>
        <w:t xml:space="preserve">, bagi auditor dan akuntan manajemen, kerangka ini memberi dasar konseptual untuk menilai aset takberwujud secara lebih disiplin. Pengujian</w:t>
      </w:r>
      <w:r>
        <w:t xml:space="preserve"> </w:t>
      </w:r>
      <w:r>
        <w:rPr>
          <w:i/>
          <w:iCs/>
        </w:rPr>
        <w:t xml:space="preserve">impairment</w:t>
      </w:r>
      <w:r>
        <w:t xml:space="preserve"> </w:t>
      </w:r>
      <w:r>
        <w:rPr>
          <w:i/>
          <w:iCs/>
        </w:rPr>
        <w:t xml:space="preserve">goodwill</w:t>
      </w:r>
      <w:r>
        <w:t xml:space="preserve"> </w:t>
      </w:r>
      <w:r>
        <w:t xml:space="preserve">pasca-akuisisi, misalnya, akan lebih bermakna apabila didahului oleh analisis VRIN terhadap sumber daya strategis yang menjadi basis</w:t>
      </w:r>
      <w:r>
        <w:t xml:space="preserve"> </w:t>
      </w:r>
      <w:r>
        <w:rPr>
          <w:i/>
          <w:iCs/>
        </w:rPr>
        <w:t xml:space="preserve">goodwill</w:t>
      </w:r>
      <w:r>
        <w:t xml:space="preserve"> </w:t>
      </w:r>
      <w:r>
        <w:t xml:space="preserve">itu. Apabila sumber daya strategis tidak lagi bernilai atau telah kehilangan imperfeksi imitasinya, indikasi</w:t>
      </w:r>
      <w:r>
        <w:t xml:space="preserve"> </w:t>
      </w:r>
      <w:r>
        <w:rPr>
          <w:i/>
          <w:iCs/>
        </w:rPr>
        <w:t xml:space="preserve">impairment</w:t>
      </w:r>
      <w:r>
        <w:t xml:space="preserve"> </w:t>
      </w:r>
      <w:r>
        <w:t xml:space="preserve">menjadi lebih kuat.</w:t>
      </w:r>
    </w:p>
    <w:p>
      <w:pPr>
        <w:pStyle w:val="BodyText"/>
      </w:pPr>
      <w:r>
        <w:rPr>
          <w:b/>
          <w:bCs/>
        </w:rPr>
        <w:t xml:space="preserve">Keempat</w:t>
      </w:r>
      <w:r>
        <w:t xml:space="preserve">, implikasi bagi kebijakan publik juga tidak sepele. Perdebatan tentang</w:t>
      </w:r>
      <w:r>
        <w:t xml:space="preserve"> </w:t>
      </w:r>
      <w:r>
        <w:rPr>
          <w:i/>
          <w:iCs/>
        </w:rPr>
        <w:t xml:space="preserve">holding BUMN</w:t>
      </w:r>
      <w:r>
        <w:t xml:space="preserve"> </w:t>
      </w:r>
      <w:r>
        <w:t xml:space="preserve">dan restrukturisasi badan usaha negara di Indonesia dapat diperjelas dengan pertanyaan VRIN: apa sumber daya strategis yang sesungguhnya dimiliki oleh BUMN tertentu, apakah sumber daya itu bertahan di pasar bebas, dan apakah konsolidasi holding memperkuat atau justru mengencerkan basis sumber daya itu?</w:t>
      </w:r>
    </w:p>
    <w:bookmarkEnd w:id="16"/>
    <w:bookmarkStart w:id="17" w:name="X9715f5477454b0f18f77c34a9fa9ac7a18408da"/>
    <w:p>
      <w:pPr>
        <w:pStyle w:val="Heading2"/>
      </w:pPr>
      <w:r>
        <w:t xml:space="preserve">9. Isu untuk Didebatkan dan Didiskusikan Lebih Lanjut</w:t>
      </w:r>
    </w:p>
    <w:p>
      <w:pPr>
        <w:pStyle w:val="FirstParagraph"/>
      </w:pPr>
      <w:r>
        <w:rPr>
          <w:b/>
          <w:bCs/>
        </w:rPr>
        <w:t xml:space="preserve">Pertama</w:t>
      </w:r>
      <w:r>
        <w:t xml:space="preserve">, seberapa jauh kerangka RBV yang dikembangkan untuk perusahaan-perusahaan di ekonomi maju 1991 masih relevan untuk perusahaan Indonesia pada 2026, ketika struktur pasar tenaga kerja, pasar modal, dan pasar teknologi sangat berbeda? Apakah asumsi imobilitas sumber daya, misalnya, berlaku dengan cara yang sama ketika pasar talenta digital di Jakarta bersifat sangat cair dan lintas perusahaan?</w:t>
      </w:r>
    </w:p>
    <w:p>
      <w:pPr>
        <w:pStyle w:val="BodyText"/>
      </w:pPr>
      <w:r>
        <w:rPr>
          <w:b/>
          <w:bCs/>
        </w:rPr>
        <w:t xml:space="preserve">Kedua</w:t>
      </w:r>
      <w:r>
        <w:t xml:space="preserve">, bagaimana seharusnya konsep</w:t>
      </w:r>
      <w:r>
        <w:t xml:space="preserve"> </w:t>
      </w:r>
      <w:r>
        <w:t xml:space="preserve">“sumber daya”</w:t>
      </w:r>
      <w:r>
        <w:t xml:space="preserve"> </w:t>
      </w:r>
      <w:r>
        <w:t xml:space="preserve">diperluas dalam era ekosistem dan platform? Ketika sebuah perusahaan seperti GoTo atau Tokopedia bersandar pada jaringan mitra (driver,</w:t>
      </w:r>
      <w:r>
        <w:t xml:space="preserve"> </w:t>
      </w:r>
      <w:r>
        <w:rPr>
          <w:i/>
          <w:iCs/>
        </w:rPr>
        <w:t xml:space="preserve">merchant</w:t>
      </w:r>
      <w:r>
        <w:t xml:space="preserve">, mitra logistik) yang tidak secara hukum dimiliki, apakah jaringan itu dapat disebut sumber daya perusahaan dalam pengertian Barney? Jika tidak, bagaimana kita menganalisis keunggulan bersaing yang secara jelas berada di wilayah ini?</w:t>
      </w:r>
    </w:p>
    <w:p>
      <w:pPr>
        <w:pStyle w:val="BodyText"/>
      </w:pPr>
      <w:r>
        <w:rPr>
          <w:b/>
          <w:bCs/>
        </w:rPr>
        <w:t xml:space="preserve">Ketiga</w:t>
      </w:r>
      <w:r>
        <w:t xml:space="preserve">, dalam konteks BUMN Indonesia, seberapa banyak</w:t>
      </w:r>
      <w:r>
        <w:t xml:space="preserve"> </w:t>
      </w:r>
      <w:r>
        <w:t xml:space="preserve">“keunggulan”</w:t>
      </w:r>
      <w:r>
        <w:t xml:space="preserve"> </w:t>
      </w:r>
      <w:r>
        <w:t xml:space="preserve">yang dimiliki BUMN adalah produk dari proteksi regulasi (hak monopoli, tarif khusus,</w:t>
      </w:r>
      <w:r>
        <w:t xml:space="preserve"> </w:t>
      </w:r>
      <w:r>
        <w:rPr>
          <w:i/>
          <w:iCs/>
        </w:rPr>
        <w:t xml:space="preserve">mandatory assignment</w:t>
      </w:r>
      <w:r>
        <w:t xml:space="preserve">) dibandingkan produk dari sumber daya VRIN yang sesungguhnya? Pertanyaan ini sangat praktis untuk evaluasi kebijakan privatisasi dan restrukturisasi BUMN—dan juga secara konseptual memperluas kerangka Barney ke wilayah yang jarang ia sentuh sendiri.</w:t>
      </w:r>
    </w:p>
    <w:bookmarkEnd w:id="17"/>
    <w:bookmarkEnd w:id="18"/>
    <w:sectPr w:rsidR="00FC693F" w:rsidRPr="0006063C" w:rsidSect="00034616">
      <w:pgSz w:h="15840" w:w="12240"/>
      <w:pgMar w:bottom="1417" w:footer="720" w:gutter="0" w:header="720" w:left="1701" w:right="1417"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exact"/>
      <w:ind w:firstLine="709"/>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0"/>
      <w:ind w:firstLine="0"/>
      <w:jc w:val="center"/>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240"/>
      <w:ind w:firstLine="0"/>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80" w:before="160"/>
      <w:ind w:firstLine="0"/>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2026-04-23T09:45:29Z</dcterms:created>
  <dcterms:modified xsi:type="dcterms:W3CDTF">2026-04-23T09:45:29Z</dcterms:modified>
</cp:coreProperties>
</file>

<file path=docProps/custom.xml><?xml version="1.0" encoding="utf-8"?>
<Properties xmlns="http://schemas.openxmlformats.org/officeDocument/2006/custom-properties" xmlns:vt="http://schemas.openxmlformats.org/officeDocument/2006/docPropsVTypes"/>
</file>