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ringkasan-materi-kuliah"/>
    <w:p>
      <w:pPr>
        <w:pStyle w:val="Heading1"/>
      </w:pPr>
      <w:r>
        <w:t xml:space="preserve">RINGKASAN MATERI KULIAH</w:t>
      </w:r>
    </w:p>
    <w:p>
      <w:pPr>
        <w:pStyle w:val="FirstParagraph"/>
      </w:pPr>
      <w:r>
        <w:rPr>
          <w:b/>
          <w:bCs/>
        </w:rPr>
        <w:t xml:space="preserve">Pertemuan 4: Evaluating a Company’s Resources, Capabilities, and Competitiveness</w:t>
      </w:r>
    </w:p>
    <w:p>
      <w:pPr>
        <w:pStyle w:val="BodyText"/>
      </w:pPr>
      <w:r>
        <w:rPr>
          <w:b/>
          <w:bCs/>
        </w:rPr>
        <w:t xml:space="preserve">Mata Kuliah:</w:t>
      </w:r>
      <w:r>
        <w:t xml:space="preserve"> </w:t>
      </w:r>
      <w:r>
        <w:t xml:space="preserve">Manajemen Strategik Kontemporer (MST304)</w:t>
      </w:r>
    </w:p>
    <w:p>
      <w:pPr>
        <w:pStyle w:val="BodyText"/>
      </w:pPr>
      <w:r>
        <w:rPr>
          <w:b/>
          <w:bCs/>
        </w:rPr>
        <w:t xml:space="preserve">Semester:</w:t>
      </w:r>
      <w:r>
        <w:t xml:space="preserve"> </w:t>
      </w:r>
      <w:r>
        <w:t xml:space="preserve">II, T.A. 2025/2026</w:t>
      </w:r>
    </w:p>
    <w:p>
      <w:pPr>
        <w:pStyle w:val="BodyText"/>
      </w:pPr>
      <w:r>
        <w:rPr>
          <w:b/>
          <w:bCs/>
        </w:rPr>
        <w:t xml:space="preserve">Nama:</w:t>
      </w:r>
      <w:r>
        <w:t xml:space="preserve"> </w:t>
      </w:r>
      <w:r>
        <w:t xml:space="preserve">Dzaki Muhammad Yusfian</w:t>
      </w:r>
    </w:p>
    <w:p>
      <w:pPr>
        <w:pStyle w:val="BodyText"/>
      </w:pPr>
      <w:r>
        <w:rPr>
          <w:b/>
          <w:bCs/>
        </w:rPr>
        <w:t xml:space="preserve">NIM:</w:t>
      </w:r>
      <w:r>
        <w:t xml:space="preserve"> </w:t>
      </w:r>
      <w:r>
        <w:t xml:space="preserve">1125 01079</w:t>
      </w:r>
    </w:p>
    <w:p>
      <w:r>
        <w:pict>
          <v:rect style="width:0;height:1.5pt" o:hralign="center" o:hrstd="t" o:hr="t"/>
        </w:pict>
      </w:r>
    </w:p>
    <w:bookmarkStart w:id="9" w:name="pendahuluan"/>
    <w:p>
      <w:pPr>
        <w:pStyle w:val="Heading2"/>
      </w:pPr>
      <w:r>
        <w:t xml:space="preserve">1. Pendahuluan</w:t>
      </w:r>
    </w:p>
    <w:p>
      <w:pPr>
        <w:pStyle w:val="FirstParagraph"/>
      </w:pPr>
      <w:r>
        <w:t xml:space="preserve">Pertemuan 4 menjawab pertanyaan yang melengkapi Pertemuan 3. Jika Pertemuan 3 mengkaji lingkungan eksternal—struktur industri, tekanan kompetitif,</w:t>
      </w:r>
      <w:r>
        <w:t xml:space="preserve"> </w:t>
      </w:r>
      <w:r>
        <w:rPr>
          <w:i/>
          <w:iCs/>
        </w:rPr>
        <w:t xml:space="preserve">driving forces</w:t>
      </w:r>
      <w:r>
        <w:t xml:space="preserve">, dan sinyal makro yang membentuk peta persaingan—maka Pertemuan 4 membalik kaca pembesarnya ke dalam perusahaan. Pertanyaan sentralnya sederhana namun substansial: apa yang sesungguhnya dimiliki perusahaan, seberapa bernilai kepemilikan itu dalam konteks kompetisi, dan apakah kepemilikan itu mampu menjadi fondasi bagi keunggulan yang bertahan di tengah tekanan imitasi?</w:t>
      </w:r>
    </w:p>
    <w:p>
      <w:pPr>
        <w:pStyle w:val="BodyText"/>
      </w:pPr>
      <w:r>
        <w:t xml:space="preserve">Topik ini tidak dapat dipahami sebagai rutinitas audit internal. Ia merupakan inti dari sebuah pergeseran paradigmatik dalam pemikiran strategis yang terjadi pada akhir 1980-an dan awal 1990-an, ketika sejumlah ekonom dan teoretikus manajemen menolak pandangan bahwa kinerja superior perusahaan semata-mata ditentukan oleh keberuntungan memilih industri yang atraktif. Mereka menawarkan alternatif: kinerja superior lahir dari</w:t>
      </w:r>
      <w:r>
        <w:t xml:space="preserve"> </w:t>
      </w:r>
      <w:r>
        <w:rPr>
          <w:i/>
          <w:iCs/>
        </w:rPr>
        <w:t xml:space="preserve">kepemilikan sumber daya dan kapabilitas yang tidak mudah direplikasi oleh pesaing</w:t>
      </w:r>
      <w:r>
        <w:t xml:space="preserve">. Pergeseran inilah yang dikenal sebagai lahirnya</w:t>
      </w:r>
      <w:r>
        <w:t xml:space="preserve"> </w:t>
      </w:r>
      <w:r>
        <w:rPr>
          <w:i/>
          <w:iCs/>
        </w:rPr>
        <w:t xml:space="preserve">resource-based view</w:t>
      </w:r>
      <w:r>
        <w:t xml:space="preserve"> </w:t>
      </w:r>
      <w:r>
        <w:t xml:space="preserve">(RBV), dengan artikel Barney (1991) sebagai manifesto intelektualnya.</w:t>
      </w:r>
    </w:p>
    <w:p>
      <w:pPr>
        <w:pStyle w:val="BodyText"/>
      </w:pPr>
      <w:r>
        <w:t xml:space="preserve">Bagi mahasiswa program Magister Akuntansi, relevansi materi ini melampaui kerangka analisis strategis murni. Pemahaman tentang apa yang membuat sumber daya bernilai secara strategis berpotongan langsung dengan isu penilaian aset takberwujud, pelaporan keuangan berbasis sumber daya, dan asesmen risiko strategis dalam konteks audit. Auditor dan akuntan manajemen yang memahami kerangka VRIN akan mampu memberikan penilaian yang lebih kaya ketika berhadapan dengan akuisisi, pemeriksaan</w:t>
      </w:r>
      <w:r>
        <w:t xml:space="preserve"> </w:t>
      </w:r>
      <w:r>
        <w:rPr>
          <w:i/>
          <w:iCs/>
        </w:rPr>
        <w:t xml:space="preserve">goodwill impairment</w:t>
      </w:r>
      <w:r>
        <w:t xml:space="preserve">, dan penilaian</w:t>
      </w:r>
      <w:r>
        <w:t xml:space="preserve"> </w:t>
      </w:r>
      <w:r>
        <w:rPr>
          <w:i/>
          <w:iCs/>
        </w:rPr>
        <w:t xml:space="preserve">intellectual capital</w:t>
      </w:r>
      <w:r>
        <w:t xml:space="preserve">.</w:t>
      </w:r>
    </w:p>
    <w:bookmarkEnd w:id="9"/>
    <w:bookmarkStart w:id="10" w:name="Xbcd0973ce8643e4e52b07c94db36f6304c9e732"/>
    <w:p>
      <w:pPr>
        <w:pStyle w:val="Heading2"/>
      </w:pPr>
      <w:r>
        <w:t xml:space="preserve">2. Dari SWOT ke</w:t>
      </w:r>
      <w:r>
        <w:t xml:space="preserve"> </w:t>
      </w:r>
      <w:r>
        <w:rPr>
          <w:i/>
          <w:iCs/>
        </w:rPr>
        <w:t xml:space="preserve">Resource-Based View</w:t>
      </w:r>
      <w:r>
        <w:t xml:space="preserve">: Pergeseran Paradigmatik</w:t>
      </w:r>
    </w:p>
    <w:p>
      <w:pPr>
        <w:pStyle w:val="FirstParagraph"/>
      </w:pPr>
      <w:r>
        <w:t xml:space="preserve">Kerangka SWOT klasik (Learned, Christensen, Andrews &amp; Guth, 1965) menempatkan analisis internal (kekuatan dan kelemahan) sejajar dengan analisis eksternal (peluang dan ancaman). Selama tiga dekade pertama kehidupan kerangka ini, praktik dominan dalam industri dan akademia bergerak ke arah analisis eksternal—terutama setelah Porter (1980) memformalkan</w:t>
      </w:r>
      <w:r>
        <w:t xml:space="preserve"> </w:t>
      </w:r>
      <w:r>
        <w:rPr>
          <w:i/>
          <w:iCs/>
        </w:rPr>
        <w:t xml:space="preserve">five forces model</w:t>
      </w:r>
      <w:r>
        <w:t xml:space="preserve">. Konsekuensinya, analisis internal sering direduksi menjadi pendaftaran kekuatan dan kelemahan tanpa disiplin analitis yang memadai.</w:t>
      </w:r>
    </w:p>
    <w:p>
      <w:pPr>
        <w:pStyle w:val="BodyText"/>
      </w:pPr>
      <w:r>
        <w:t xml:space="preserve">Kontribusi intelektual terpenting dari tradisi RBV adalah menolak kedangkalan itu. Barney (1991) menyatakan bahwa model lingkungan (Porter dan keturunannya) menyandarkan argumennya pada dua asumsi tersembunyi: bahwa perusahaan dalam satu industri memiliki sumber daya yang homogen, dan bahwa sumber daya dapat berpindah secara sempurna di pasar faktor. Jika kedua asumsi ini benar, maka setiap strategi yang bekerja akan segera ditiru oleh pesaing, dan keunggulan bersaing yang bertahan menjadi mustahil kecuali melalui hambatan industri. Pandangan ini, menurut Barney, menyumbat analisis yang seharusnya justru menjelaskan</w:t>
      </w:r>
      <w:r>
        <w:t xml:space="preserve"> </w:t>
      </w:r>
      <w:r>
        <w:rPr>
          <w:i/>
          <w:iCs/>
        </w:rPr>
        <w:t xml:space="preserve">mengapa perusahaan dalam industri yang sama memiliki kinerja yang sangat berbeda</w:t>
      </w:r>
      <w:r>
        <w:t xml:space="preserve">.</w:t>
      </w:r>
    </w:p>
    <w:p>
      <w:pPr>
        <w:pStyle w:val="BodyText"/>
      </w:pPr>
      <w:r>
        <w:t xml:space="preserve">Tradisi RBV mengganti kedua asumsi tersebut dengan asumsi baru: sumber daya strategis pada dasarnya heterogen antar perusahaan, dan pergerakannya di pasar faktor bersifat imperfek. Di bawah kedua asumsi ini, variasi kinerja dalam industri yang sama bukan lagi anomali yang harus dijelaskan—melainkan konsekuensi wajar dari heterogenitas sumber daya yang bertahan.</w:t>
      </w:r>
    </w:p>
    <w:p>
      <w:pPr>
        <w:pStyle w:val="BodyText"/>
      </w:pPr>
      <w:r>
        <w:t xml:space="preserve">Pergeseran paradigmatik ini sekaligus menjelaskan mengapa RBV dan Porter tidak saling menggantikan melainkan saling melengkapi. Analisis eksternal menjelaskan mengapa beberapa industri lebih menguntungkan secara rata-rata dibandingkan industri lain; analisis internal berbasis sumber daya menjelaskan mengapa beberapa perusahaan dalam industri yang sama secara persisten mengungguli pesaingnya. Kedua pertanyaan itu sah, dan keduanya membutuhkan kerangka analisis yang berbeda.</w:t>
      </w:r>
    </w:p>
    <w:bookmarkEnd w:id="10"/>
    <w:bookmarkStart w:id="11" w:name="X4aea721f65b8a9ae03708e5a64ebadf2519e51e"/>
    <w:p>
      <w:pPr>
        <w:pStyle w:val="Heading2"/>
      </w:pPr>
      <w:r>
        <w:t xml:space="preserve">3. Analisis Sumber Daya dan Kapabilitas: Kerangka VRIN/VRIO</w:t>
      </w:r>
    </w:p>
    <w:p>
      <w:pPr>
        <w:pStyle w:val="FirstParagraph"/>
      </w:pPr>
      <w:r>
        <w:t xml:space="preserve">Kontribusi operasional utama RBV adalah kerangka empat kriteria yang awalnya dikenal sebagai VRIN:</w:t>
      </w:r>
      <w:r>
        <w:t xml:space="preserve"> </w:t>
      </w:r>
      <w:r>
        <w:rPr>
          <w:i/>
          <w:iCs/>
        </w:rPr>
        <w:t xml:space="preserve">valuable</w:t>
      </w:r>
      <w:r>
        <w:t xml:space="preserve">,</w:t>
      </w:r>
      <w:r>
        <w:t xml:space="preserve"> </w:t>
      </w:r>
      <w:r>
        <w:rPr>
          <w:i/>
          <w:iCs/>
        </w:rPr>
        <w:t xml:space="preserve">rare</w:t>
      </w:r>
      <w:r>
        <w:t xml:space="preserve">,</w:t>
      </w:r>
      <w:r>
        <w:t xml:space="preserve"> </w:t>
      </w:r>
      <w:r>
        <w:rPr>
          <w:i/>
          <w:iCs/>
        </w:rPr>
        <w:t xml:space="preserve">imperfectly imitable</w:t>
      </w:r>
      <w:r>
        <w:t xml:space="preserve">, dan</w:t>
      </w:r>
      <w:r>
        <w:t xml:space="preserve"> </w:t>
      </w:r>
      <w:r>
        <w:rPr>
          <w:i/>
          <w:iCs/>
        </w:rPr>
        <w:t xml:space="preserve">non-substitutable</w:t>
      </w:r>
      <w:r>
        <w:t xml:space="preserve">. Dalam perkembangan selanjutnya, Barney (1995) menyederhanakan kriteria terakhir dan menambahkan dimensi organisasi (O) sehingga lahir VRIO. Keduanya kompatibel secara substantif.</w:t>
      </w:r>
    </w:p>
    <w:p>
      <w:pPr>
        <w:pStyle w:val="BodyText"/>
      </w:pPr>
      <w:r>
        <w:rPr>
          <w:b/>
          <w:bCs/>
        </w:rPr>
        <w:t xml:space="preserve">Valuable.</w:t>
      </w:r>
      <w:r>
        <w:t xml:space="preserve"> </w:t>
      </w:r>
      <w:r>
        <w:t xml:space="preserve">Sumber daya dikatakan bernilai apabila ia memungkinkan perusahaan memanfaatkan peluang atau menetralisir ancaman di lingkungannya. Definisi ini penting karena ia mengikat konsep sumber daya pada konteks eksternal. Sebuah aset yang secara teknis unik tetapi tidak relevan bagi peluang pasar yang tersedia adalah</w:t>
      </w:r>
      <w:r>
        <w:t xml:space="preserve"> </w:t>
      </w:r>
      <w:r>
        <w:rPr>
          <w:i/>
          <w:iCs/>
        </w:rPr>
        <w:t xml:space="preserve">sunk cost</w:t>
      </w:r>
      <w:r>
        <w:t xml:space="preserve">, bukan sumber daya dalam pengertian strategis. Kasus klasik yang sering dikutip adalah kepakaran mesin tik di perusahaan yang tidak bergerak di industri pendukung mesin tik—aset ini dulu bernilai, kini tidak.</w:t>
      </w:r>
    </w:p>
    <w:p>
      <w:pPr>
        <w:pStyle w:val="BodyText"/>
      </w:pPr>
      <w:r>
        <w:rPr>
          <w:b/>
          <w:bCs/>
        </w:rPr>
        <w:t xml:space="preserve">Rare.</w:t>
      </w:r>
      <w:r>
        <w:t xml:space="preserve"> </w:t>
      </w:r>
      <w:r>
        <w:t xml:space="preserve">Sumber daya yang bernilai tetapi lazim dimiliki banyak pesaing hanya menghasilkan</w:t>
      </w:r>
      <w:r>
        <w:t xml:space="preserve"> </w:t>
      </w:r>
      <w:r>
        <w:rPr>
          <w:i/>
          <w:iCs/>
        </w:rPr>
        <w:t xml:space="preserve">competitive parity</w:t>
      </w:r>
      <w:r>
        <w:t xml:space="preserve">—kondisi di mana perusahaan setara dengan pesaingnya, bukan unggul. Kelangkaan bukan sekadar kuantitas, melainkan distribusi relatif di dalam industri. Sebuah sumber daya tidak perlu dimiliki hanya oleh satu perusahaan untuk disebut langka; cukup jumlah pemiliknya lebih sedikit daripada jumlah yang diperlukan untuk menciptakan dinamika kompetisi sempurna di pasar.</w:t>
      </w:r>
    </w:p>
    <w:p>
      <w:pPr>
        <w:pStyle w:val="BodyText"/>
      </w:pPr>
      <w:r>
        <w:rPr>
          <w:b/>
          <w:bCs/>
        </w:rPr>
        <w:t xml:space="preserve">Imperfectly Imitable.</w:t>
      </w:r>
      <w:r>
        <w:t xml:space="preserve"> </w:t>
      </w:r>
      <w:r>
        <w:t xml:space="preserve">Kriteria inilah yang membuat kerangka RBV memiliki kedalaman teoretis. Barney mengidentifikasi tiga sumber imperfeksi imitasi yang saling terkait tetapi berbeda secara konseptual.</w:t>
      </w:r>
      <w:r>
        <w:t xml:space="preserve"> </w:t>
      </w:r>
      <w:r>
        <w:rPr>
          <w:i/>
          <w:iCs/>
        </w:rPr>
        <w:t xml:space="preserve">Pertama</w:t>
      </w:r>
      <w:r>
        <w:t xml:space="preserve">, kondisi historis yang unik (</w:t>
      </w:r>
      <w:r>
        <w:rPr>
          <w:i/>
          <w:iCs/>
        </w:rPr>
        <w:t xml:space="preserve">unique historical conditions</w:t>
      </w:r>
      <w:r>
        <w:t xml:space="preserve">)—sumber daya tertentu hanya dapat diakumulasi melalui jalur historis yang tidak dapat diulang. Reputasi Coca-Cola sebagai simbol Amerika tidak dapat dibangun kembali dari nol oleh perusahaan mana pun; jalur pembangunannya membutuhkan lebih dari satu abad dalam konteks budaya global abad ke-20.</w:t>
      </w:r>
      <w:r>
        <w:t xml:space="preserve"> </w:t>
      </w:r>
      <w:r>
        <w:rPr>
          <w:i/>
          <w:iCs/>
        </w:rPr>
        <w:t xml:space="preserve">Kedua</w:t>
      </w:r>
      <w:r>
        <w:t xml:space="preserve">, ambiguitas kausal (</w:t>
      </w:r>
      <w:r>
        <w:rPr>
          <w:i/>
          <w:iCs/>
        </w:rPr>
        <w:t xml:space="preserve">causal ambiguity</w:t>
      </w:r>
      <w:r>
        <w:t xml:space="preserve">)—hubungan antara sumber daya dan keunggulan bersaing tidak jelas, bahkan bagi perusahaan yang mengalaminya. Ketika imitator tidak tahu persis apa yang harus ditiru, imitasi menjadi sulit.</w:t>
      </w:r>
      <w:r>
        <w:t xml:space="preserve"> </w:t>
      </w:r>
      <w:r>
        <w:rPr>
          <w:i/>
          <w:iCs/>
        </w:rPr>
        <w:t xml:space="preserve">Ketiga</w:t>
      </w:r>
      <w:r>
        <w:t xml:space="preserve">, kompleksitas sosial (</w:t>
      </w:r>
      <w:r>
        <w:rPr>
          <w:i/>
          <w:iCs/>
        </w:rPr>
        <w:t xml:space="preserve">social complexity</w:t>
      </w:r>
      <w:r>
        <w:t xml:space="preserve">)—sumber daya tertanam dalam jaringan relasi, budaya, dan norma interpersonal yang tidak dapat dibeli atau direkayasa secara langsung. Kepercayaan antar departemen, kultur kerja yang telah mengendap selama dekade, dan jejaring pemasok yang terbangun melalui interaksi berulang termasuk dalam kategori ini.</w:t>
      </w:r>
    </w:p>
    <w:p>
      <w:pPr>
        <w:pStyle w:val="BodyText"/>
      </w:pPr>
      <w:r>
        <w:rPr>
          <w:b/>
          <w:bCs/>
        </w:rPr>
        <w:t xml:space="preserve">Non-substitutable.</w:t>
      </w:r>
      <w:r>
        <w:t xml:space="preserve"> </w:t>
      </w:r>
      <w:r>
        <w:t xml:space="preserve">Kriteria terakhir mengingatkan bahwa imperfeksi imitasi tidak cukup. Sumber daya yang tidak dapat ditiru secara teknis tetap akan kehilangan nilainya apabila tersedia alternatif strategis yang secara fungsional setara. Barney sendiri memberi contoh yang cerdas: sebuah tim manajemen puncak berkualitas tinggi (VRI) dapat digantikan secara substitutif oleh sistem perencanaan formal yang baik, apabila keduanya menghasilkan kualitas pengambilan keputusan yang setara.</w:t>
      </w:r>
    </w:p>
    <w:p>
      <w:pPr>
        <w:pStyle w:val="BodyText"/>
      </w:pPr>
      <w:r>
        <w:t xml:space="preserve">Keempat kriteria ini bekerja sebagai filter berurutan. Sumber daya yang tidak</w:t>
      </w:r>
      <w:r>
        <w:t xml:space="preserve"> </w:t>
      </w:r>
      <w:r>
        <w:rPr>
          <w:i/>
          <w:iCs/>
        </w:rPr>
        <w:t xml:space="preserve">valuable</w:t>
      </w:r>
      <w:r>
        <w:t xml:space="preserve"> </w:t>
      </w:r>
      <w:r>
        <w:t xml:space="preserve">langsung tersingkir; yang</w:t>
      </w:r>
      <w:r>
        <w:t xml:space="preserve"> </w:t>
      </w:r>
      <w:r>
        <w:rPr>
          <w:i/>
          <w:iCs/>
        </w:rPr>
        <w:t xml:space="preserve">valuable</w:t>
      </w:r>
      <w:r>
        <w:t xml:space="preserve"> </w:t>
      </w:r>
      <w:r>
        <w:t xml:space="preserve">tapi umum hanya menghasilkan</w:t>
      </w:r>
      <w:r>
        <w:t xml:space="preserve"> </w:t>
      </w:r>
      <w:r>
        <w:rPr>
          <w:i/>
          <w:iCs/>
        </w:rPr>
        <w:t xml:space="preserve">parity</w:t>
      </w:r>
      <w:r>
        <w:t xml:space="preserve">; yang</w:t>
      </w:r>
      <w:r>
        <w:t xml:space="preserve"> </w:t>
      </w:r>
      <w:r>
        <w:rPr>
          <w:i/>
          <w:iCs/>
        </w:rPr>
        <w:t xml:space="preserve">valuable</w:t>
      </w:r>
      <w:r>
        <w:t xml:space="preserve"> </w:t>
      </w:r>
      <w:r>
        <w:t xml:space="preserve">dan</w:t>
      </w:r>
      <w:r>
        <w:t xml:space="preserve"> </w:t>
      </w:r>
      <w:r>
        <w:rPr>
          <w:i/>
          <w:iCs/>
        </w:rPr>
        <w:t xml:space="preserve">rare</w:t>
      </w:r>
      <w:r>
        <w:t xml:space="preserve"> </w:t>
      </w:r>
      <w:r>
        <w:t xml:space="preserve">menghasilkan keunggulan sementara; hanya sumber daya yang memenuhi keempat kriteria secara simultan yang berpotensi menjadi fondasi keunggulan bersaing yang bertahan.</w:t>
      </w:r>
    </w:p>
    <w:bookmarkEnd w:id="11"/>
    <w:bookmarkStart w:id="12" w:name="X485ace508da2439f09b4a08565d617d37506546"/>
    <w:p>
      <w:pPr>
        <w:pStyle w:val="Heading2"/>
      </w:pPr>
      <w:r>
        <w:t xml:space="preserve">4.</w:t>
      </w:r>
      <w:r>
        <w:t xml:space="preserve"> </w:t>
      </w:r>
      <w:r>
        <w:rPr>
          <w:i/>
          <w:iCs/>
        </w:rPr>
        <w:t xml:space="preserve">Dynamic Capabilities</w:t>
      </w:r>
      <w:r>
        <w:t xml:space="preserve">: Respons terhadap Lingkungan yang Turbulen</w:t>
      </w:r>
    </w:p>
    <w:p>
      <w:pPr>
        <w:pStyle w:val="FirstParagraph"/>
      </w:pPr>
      <w:r>
        <w:t xml:space="preserve">Kritik yang paling konstruktif terhadap RBV klasik datang dari Teece, Pisano, dan Shuen (1997) melalui kerangka</w:t>
      </w:r>
      <w:r>
        <w:t xml:space="preserve"> </w:t>
      </w:r>
      <w:r>
        <w:rPr>
          <w:i/>
          <w:iCs/>
        </w:rPr>
        <w:t xml:space="preserve">dynamic capabilities</w:t>
      </w:r>
      <w:r>
        <w:t xml:space="preserve">. Inti kritik mereka tidak menyangkal validitas VRIN, tetapi menunjukkan bahwa dalam lingkungan yang bergerak cepat, sumber daya VRIN hari ini dapat menjadi tidak relevan dalam lima hingga sepuluh tahun. RBV klasik, karena fokus pada kondisi ekuilibrium, kurang menjelaskan bagaimana perusahaan memperbarui portofolio sumber dayanya seiring perubahan lingkungan.</w:t>
      </w:r>
    </w:p>
    <w:p>
      <w:pPr>
        <w:pStyle w:val="BodyText"/>
      </w:pPr>
      <w:r>
        <w:t xml:space="preserve">Kerangka</w:t>
      </w:r>
      <w:r>
        <w:t xml:space="preserve"> </w:t>
      </w:r>
      <w:r>
        <w:rPr>
          <w:i/>
          <w:iCs/>
        </w:rPr>
        <w:t xml:space="preserve">dynamic capabilities</w:t>
      </w:r>
      <w:r>
        <w:t xml:space="preserve"> </w:t>
      </w:r>
      <w:r>
        <w:t xml:space="preserve">mendefinisikan kapabilitas dinamis sebagai</w:t>
      </w:r>
      <w:r>
        <w:t xml:space="preserve"> </w:t>
      </w:r>
      <w:r>
        <w:t xml:space="preserve">“kemampuan perusahaan untuk mengintegrasikan, membangun, dan merekonfigurasi kompetensi internal dan eksternal guna menghadapi lingkungan yang berubah cepat.”</w:t>
      </w:r>
      <w:r>
        <w:t xml:space="preserve"> </w:t>
      </w:r>
      <w:r>
        <w:t xml:space="preserve">Tiga kapabilitas yang ditonjolkan oleh Teece (2007) adalah</w:t>
      </w:r>
      <w:r>
        <w:t xml:space="preserve"> </w:t>
      </w:r>
      <w:r>
        <w:rPr>
          <w:i/>
          <w:iCs/>
        </w:rPr>
        <w:t xml:space="preserve">sensing</w:t>
      </w:r>
      <w:r>
        <w:t xml:space="preserve"> </w:t>
      </w:r>
      <w:r>
        <w:t xml:space="preserve">(mendeteksi peluang dan ancaman baru),</w:t>
      </w:r>
      <w:r>
        <w:t xml:space="preserve"> </w:t>
      </w:r>
      <w:r>
        <w:rPr>
          <w:i/>
          <w:iCs/>
        </w:rPr>
        <w:t xml:space="preserve">seizing</w:t>
      </w:r>
      <w:r>
        <w:t xml:space="preserve"> </w:t>
      </w:r>
      <w:r>
        <w:t xml:space="preserve">(memobilisasi sumber daya untuk menangkap peluang yang terdeteksi), dan</w:t>
      </w:r>
      <w:r>
        <w:t xml:space="preserve"> </w:t>
      </w:r>
      <w:r>
        <w:rPr>
          <w:i/>
          <w:iCs/>
        </w:rPr>
        <w:t xml:space="preserve">transforming</w:t>
      </w:r>
      <w:r>
        <w:t xml:space="preserve"> </w:t>
      </w:r>
      <w:r>
        <w:t xml:space="preserve">(mengatur ulang basis sumber daya secara berkelanjutan).</w:t>
      </w:r>
    </w:p>
    <w:p>
      <w:pPr>
        <w:pStyle w:val="BodyText"/>
      </w:pPr>
      <w:r>
        <w:t xml:space="preserve">Kerangka ini penting secara praktis bagi perusahaan di industri yang menghadapi disrupsi digital. Kasus Kodak, Nokia, dan Blockbuster menunjukkan bahwa kepemilikan sumber daya VRIN yang dulunya kuat tidak menjamin kelangsungan apabila perusahaan gagal mengembangkan kapabilitas untuk mendeteksi dan merespons pergeseran teknologis. Di konteks Indonesia, transisi perbankan konvensional ke perbankan digital memberikan laboratorium alami bagi pembelajaran ini. BCA, misalnya, mampu mempertahankan posisinya tidak semata karena franchise CASA-nya kuat (aset VRIN), melainkan karena ia menunjukkan kapabilitas dinamis untuk mengembangkan BCA Mobile dan BCA Digital sebelum tekanan disrupsi memaksa perubahan.</w:t>
      </w:r>
    </w:p>
    <w:bookmarkEnd w:id="12"/>
    <w:bookmarkStart w:id="13" w:name="Xe2d23ba0cacb372451c65d2ee11f98b42684dea"/>
    <w:p>
      <w:pPr>
        <w:pStyle w:val="Heading2"/>
      </w:pPr>
      <w:r>
        <w:t xml:space="preserve">5. Analisis</w:t>
      </w:r>
      <w:r>
        <w:t xml:space="preserve"> </w:t>
      </w:r>
      <w:r>
        <w:rPr>
          <w:i/>
          <w:iCs/>
        </w:rPr>
        <w:t xml:space="preserve">Value Chain</w:t>
      </w:r>
      <w:r>
        <w:t xml:space="preserve"> </w:t>
      </w:r>
      <w:r>
        <w:t xml:space="preserve">dan</w:t>
      </w:r>
      <w:r>
        <w:t xml:space="preserve"> </w:t>
      </w:r>
      <w:r>
        <w:rPr>
          <w:i/>
          <w:iCs/>
        </w:rPr>
        <w:t xml:space="preserve">Activity-Based Costing</w:t>
      </w:r>
    </w:p>
    <w:p>
      <w:pPr>
        <w:pStyle w:val="FirstParagraph"/>
      </w:pPr>
      <w:r>
        <w:t xml:space="preserve">Porter (1985) menyumbangkan kerangka yang komplementer terhadap RBV:</w:t>
      </w:r>
      <w:r>
        <w:t xml:space="preserve"> </w:t>
      </w:r>
      <w:r>
        <w:rPr>
          <w:i/>
          <w:iCs/>
        </w:rPr>
        <w:t xml:space="preserve">value chain</w:t>
      </w:r>
      <w:r>
        <w:t xml:space="preserve">. Jika RBV melihat perusahaan sebagai kumpulan sumber daya,</w:t>
      </w:r>
      <w:r>
        <w:t xml:space="preserve"> </w:t>
      </w:r>
      <w:r>
        <w:rPr>
          <w:i/>
          <w:iCs/>
        </w:rPr>
        <w:t xml:space="preserve">value chain</w:t>
      </w:r>
      <w:r>
        <w:t xml:space="preserve"> </w:t>
      </w:r>
      <w:r>
        <w:t xml:space="preserve">melihat perusahaan sebagai kumpulan aktivitas yang saling terkait dalam menghasilkan nilai bagi pelanggan. Kerangka ini membagi aktivitas perusahaan menjadi</w:t>
      </w:r>
      <w:r>
        <w:t xml:space="preserve"> </w:t>
      </w:r>
      <w:r>
        <w:rPr>
          <w:i/>
          <w:iCs/>
        </w:rPr>
        <w:t xml:space="preserve">primary activities</w:t>
      </w:r>
      <w:r>
        <w:t xml:space="preserve"> </w:t>
      </w:r>
      <w:r>
        <w:t xml:space="preserve">(logistik masuk, operasi, logistik keluar, pemasaran dan penjualan, pelayanan) dan</w:t>
      </w:r>
      <w:r>
        <w:t xml:space="preserve"> </w:t>
      </w:r>
      <w:r>
        <w:rPr>
          <w:i/>
          <w:iCs/>
        </w:rPr>
        <w:t xml:space="preserve">support activities</w:t>
      </w:r>
      <w:r>
        <w:t xml:space="preserve"> </w:t>
      </w:r>
      <w:r>
        <w:t xml:space="preserve">(infrastruktur perusahaan, manajemen SDM, pengembangan teknologi, pengadaan).</w:t>
      </w:r>
    </w:p>
    <w:p>
      <w:pPr>
        <w:pStyle w:val="BodyText"/>
      </w:pPr>
      <w:r>
        <w:t xml:space="preserve">Kekuatan</w:t>
      </w:r>
      <w:r>
        <w:t xml:space="preserve"> </w:t>
      </w:r>
      <w:r>
        <w:rPr>
          <w:i/>
          <w:iCs/>
        </w:rPr>
        <w:t xml:space="preserve">value chain</w:t>
      </w:r>
      <w:r>
        <w:t xml:space="preserve"> </w:t>
      </w:r>
      <w:r>
        <w:t xml:space="preserve">adalah kemampuannya menjadikan analisis biaya dan diferensiasi sebagai latihan yang terdisiplin. Setiap aktivitas dapat dibandingkan dengan</w:t>
      </w:r>
      <w:r>
        <w:t xml:space="preserve"> </w:t>
      </w:r>
      <w:r>
        <w:rPr>
          <w:i/>
          <w:iCs/>
        </w:rPr>
        <w:t xml:space="preserve">benchmark</w:t>
      </w:r>
      <w:r>
        <w:t xml:space="preserve"> </w:t>
      </w:r>
      <w:r>
        <w:t xml:space="preserve">industri, sehingga manajemen dapat mengidentifikasi aktivitas yang biayanya tidak kompetitif atau yang berpotensi menjadi sumber diferensiasi. TPGS menekankan bahwa analisis</w:t>
      </w:r>
      <w:r>
        <w:t xml:space="preserve"> </w:t>
      </w:r>
      <w:r>
        <w:rPr>
          <w:i/>
          <w:iCs/>
        </w:rPr>
        <w:t xml:space="preserve">value chain</w:t>
      </w:r>
      <w:r>
        <w:t xml:space="preserve"> </w:t>
      </w:r>
      <w:r>
        <w:t xml:space="preserve">paling bermakna apabila digabung dengan</w:t>
      </w:r>
      <w:r>
        <w:t xml:space="preserve"> </w:t>
      </w:r>
      <w:r>
        <w:rPr>
          <w:i/>
          <w:iCs/>
        </w:rPr>
        <w:t xml:space="preserve">activity-based costing</w:t>
      </w:r>
      <w:r>
        <w:t xml:space="preserve">, yang mengalokasikan biaya ke aktivitas spesifik dan bukan sekadar ke pusat biaya tradisional.</w:t>
      </w:r>
    </w:p>
    <w:p>
      <w:pPr>
        <w:pStyle w:val="BodyText"/>
      </w:pPr>
      <w:r>
        <w:t xml:space="preserve">Kaitannya dengan RBV: aktivitas yang biaya relatifnya rendah atau kualitasnya tinggi menunjuk pada kemungkinan adanya sumber daya atau kapabilitas mendasar yang memungkinkan aktivitas itu berjalan lebih efisien. Analisis</w:t>
      </w:r>
      <w:r>
        <w:t xml:space="preserve"> </w:t>
      </w:r>
      <w:r>
        <w:rPr>
          <w:i/>
          <w:iCs/>
        </w:rPr>
        <w:t xml:space="preserve">value chain</w:t>
      </w:r>
      <w:r>
        <w:t xml:space="preserve"> </w:t>
      </w:r>
      <w:r>
        <w:t xml:space="preserve">dengan demikian menjadi alat diagnostik untuk menemukan kandidat VRIN, bukan alternatif bagi RBV.</w:t>
      </w:r>
    </w:p>
    <w:bookmarkEnd w:id="13"/>
    <w:bookmarkStart w:id="14" w:name="X84ba143fa312fe60fcd699c594948a7a37b75d3"/>
    <w:p>
      <w:pPr>
        <w:pStyle w:val="Heading2"/>
      </w:pPr>
      <w:r>
        <w:t xml:space="preserve">6. SWOT yang Diperdalam: dari Daftar menjadi Analisis Strategis</w:t>
      </w:r>
    </w:p>
    <w:p>
      <w:pPr>
        <w:pStyle w:val="FirstParagraph"/>
      </w:pPr>
      <w:r>
        <w:t xml:space="preserve">TPGS Ch.4 menolak SWOT versi kosmetik—matriks empat kuadran yang diisi dengan</w:t>
      </w:r>
      <w:r>
        <w:t xml:space="preserve"> </w:t>
      </w:r>
      <w:r>
        <w:rPr>
          <w:i/>
          <w:iCs/>
        </w:rPr>
        <w:t xml:space="preserve">bullet point</w:t>
      </w:r>
      <w:r>
        <w:t xml:space="preserve"> </w:t>
      </w:r>
      <w:r>
        <w:t xml:space="preserve">tanpa analisis lanjutan. SWOT yang berguna secara strategis adalah SWOT yang dikerjakan secara berurutan: (1) identifikasi kekuatan berbasis VRIN yang terbukti; (2) identifikasi kelemahan yang menghambat eksekusi strategi yang tersedia; (3) identifikasi peluang yang sesuai dengan kekuatan dan dapat dijangkau; (4) identifikasi ancaman yang mempertaruhkan basis sumber daya.</w:t>
      </w:r>
    </w:p>
    <w:p>
      <w:pPr>
        <w:pStyle w:val="BodyText"/>
      </w:pPr>
      <w:r>
        <w:t xml:space="preserve">Langkah kritis yang sering dilewatkan adalah</w:t>
      </w:r>
      <w:r>
        <w:t xml:space="preserve"> </w:t>
      </w:r>
      <w:r>
        <w:rPr>
          <w:i/>
          <w:iCs/>
        </w:rPr>
        <w:t xml:space="preserve">pemetaan silang</w:t>
      </w:r>
      <w:r>
        <w:t xml:space="preserve">: bagaimana kekuatan dapat digunakan untuk mengejar peluang, bagaimana kelemahan membuka pintu bagi ancaman, dan bagaimana kekuatan dapat melindungi dari ancaman. SWOT yang tidak menghasilkan pemetaan silang seperti itu hanya menghasilkan daftar deskriptif, bukan diagnosis strategis.</w:t>
      </w:r>
    </w:p>
    <w:bookmarkEnd w:id="14"/>
    <w:bookmarkStart w:id="15" w:name="Xdcc4290fde2c3d508d74c988af6fd1ccc3ffe3e"/>
    <w:p>
      <w:pPr>
        <w:pStyle w:val="Heading2"/>
      </w:pPr>
      <w:r>
        <w:t xml:space="preserve">7. Analisis Kekuatan Kompetitif (</w:t>
      </w:r>
      <w:r>
        <w:rPr>
          <w:i/>
          <w:iCs/>
        </w:rPr>
        <w:t xml:space="preserve">Competitive Strength Assessment</w:t>
      </w:r>
      <w:r>
        <w:t xml:space="preserve">)</w:t>
      </w:r>
    </w:p>
    <w:p>
      <w:pPr>
        <w:pStyle w:val="FirstParagraph"/>
      </w:pPr>
      <w:r>
        <w:t xml:space="preserve">TPGS Ch.4 memperkenalkan teknik</w:t>
      </w:r>
      <w:r>
        <w:t xml:space="preserve"> </w:t>
      </w:r>
      <w:r>
        <w:rPr>
          <w:i/>
          <w:iCs/>
        </w:rPr>
        <w:t xml:space="preserve">competitive strength assessment</w:t>
      </w:r>
      <w:r>
        <w:t xml:space="preserve"> </w:t>
      </w:r>
      <w:r>
        <w:t xml:space="preserve">yang memanfaatkan pembobotan tertimbang pada faktor-faktor sukses kritis (</w:t>
      </w:r>
      <w:r>
        <w:rPr>
          <w:i/>
          <w:iCs/>
        </w:rPr>
        <w:t xml:space="preserve">key success factors</w:t>
      </w:r>
      <w:r>
        <w:t xml:space="preserve">) dalam industri. Untuk setiap faktor—misalnya kualitas produk, jangkauan distribusi, kapabilitas inovasi, struktur biaya, dan reputasi merek—manajemen menilai posisi perusahaan relatif terhadap pesaing utamanya pada skala numerik, kemudian mengalikan skor dengan bobot faktor.</w:t>
      </w:r>
    </w:p>
    <w:p>
      <w:pPr>
        <w:pStyle w:val="BodyText"/>
      </w:pPr>
      <w:r>
        <w:t xml:space="preserve">Teknik ini sederhana tetapi disiplin analitisnya tidak boleh diremehkan. Ia memaksa manajemen mengartikulasikan (a) faktor apa yang paling menentukan sukses di industri spesifiknya, (b) bagaimana posisi perusahaan relatif terhadap pesaing konkret, dan (c) di mana prioritas peningkatan harus ditempatkan. Hasilnya adalah peta kompetitif yang tertimbang, yang mempertajam diskusi strategis di tingkat dewan direksi.</w:t>
      </w:r>
    </w:p>
    <w:bookmarkEnd w:id="15"/>
    <w:bookmarkStart w:id="16" w:name="Xa6753fb8be32d32aba32ae19cc5af16af696e05"/>
    <w:p>
      <w:pPr>
        <w:pStyle w:val="Heading2"/>
      </w:pPr>
      <w:r>
        <w:t xml:space="preserve">8. Mendiagnosis Masalah Strategis yang Perlu Ditangani</w:t>
      </w:r>
    </w:p>
    <w:p>
      <w:pPr>
        <w:pStyle w:val="FirstParagraph"/>
      </w:pPr>
      <w:r>
        <w:t xml:space="preserve">Tahap akhir analisis internal adalah menerjemahkan temuan-temuan dari langkah sebelumnya menjadi pernyataan yang jernih tentang</w:t>
      </w:r>
      <w:r>
        <w:t xml:space="preserve"> </w:t>
      </w:r>
      <w:r>
        <w:rPr>
          <w:i/>
          <w:iCs/>
        </w:rPr>
        <w:t xml:space="preserve">apa yang harus ditangani oleh strategi baru</w:t>
      </w:r>
      <w:r>
        <w:t xml:space="preserve">. TPGS menekankan bahwa diagnosis ini harus spesifik dan dapat ditindaklanjuti. Pernyataan seperti</w:t>
      </w:r>
      <w:r>
        <w:t xml:space="preserve"> </w:t>
      </w:r>
      <w:r>
        <w:t xml:space="preserve">“perusahaan perlu meningkatkan daya saingnya”</w:t>
      </w:r>
      <w:r>
        <w:t xml:space="preserve"> </w:t>
      </w:r>
      <w:r>
        <w:t xml:space="preserve">tidak memadai; ia perlu diganti dengan pernyataan seperti</w:t>
      </w:r>
      <w:r>
        <w:t xml:space="preserve"> </w:t>
      </w:r>
      <w:r>
        <w:t xml:space="preserve">“perusahaan kehilangan 3 persentase pangsa pasar pada segmen X dalam tiga tahun terakhir karena jarak harga terhadap pesaing Y telah menyempit.”</w:t>
      </w:r>
    </w:p>
    <w:p>
      <w:pPr>
        <w:pStyle w:val="BodyText"/>
      </w:pPr>
      <w:r>
        <w:t xml:space="preserve">Diagnosis yang baik mengintegrasikan analisis eksternal dari Pertemuan 3 dan analisis internal dari Pertemuan 4. Ia menjadi jembatan ke Pertemuan 5 dan seterusnya, yaitu pemilihan strategi generik yang akan diangkat sebagai respons.</w:t>
      </w:r>
    </w:p>
    <w:bookmarkEnd w:id="16"/>
    <w:bookmarkStart w:id="17" w:name="kesimpulan"/>
    <w:p>
      <w:pPr>
        <w:pStyle w:val="Heading2"/>
      </w:pPr>
      <w:r>
        <w:t xml:space="preserve">9. Kesimpulan</w:t>
      </w:r>
    </w:p>
    <w:p>
      <w:pPr>
        <w:pStyle w:val="FirstParagraph"/>
      </w:pPr>
      <w:r>
        <w:t xml:space="preserve">Pertemuan 4 melengkapi kerangka analitis yang dibangun sejak Pertemuan 1. Dengan memahami bahwa sumber daya dan kapabilitas yang heterogen dan sulit ditiru adalah fondasi dari keunggulan bersaing yang bertahan, mahasiswa diperlengkapi dengan bahasa analitis untuk mengurai mengapa perusahaan dengan produk yang mirip dapat memiliki kinerja yang jauh berbeda.</w:t>
      </w:r>
    </w:p>
    <w:p>
      <w:pPr>
        <w:pStyle w:val="BodyText"/>
      </w:pPr>
      <w:r>
        <w:t xml:space="preserve">Dua artikel yang menyertai pertemuan ini mewakili dua sisi dari percakapan teoretis yang sama. Barney (1991) membangun kerangka RBV secara sistematis dan menyediakan bahasa operasional yang masih dominan hingga hari ini. Hao Ma (2000) menyodorkan kritik meta yang tidak menolak RBV, tetapi mengingatkan bahwa keunggulan bersaing tidak otomatis menghasilkan kinerja superior. Keduanya membangun kesadaran bahwa analisis strategis yang matang harus membedakan antara apa yang</w:t>
      </w:r>
      <w:r>
        <w:t xml:space="preserve"> </w:t>
      </w:r>
      <w:r>
        <w:rPr>
          <w:i/>
          <w:iCs/>
        </w:rPr>
        <w:t xml:space="preserve">secara struktural dimiliki perusahaan</w:t>
      </w:r>
      <w:r>
        <w:t xml:space="preserve"> </w:t>
      </w:r>
      <w:r>
        <w:t xml:space="preserve">dan apa yang</w:t>
      </w:r>
      <w:r>
        <w:t xml:space="preserve"> </w:t>
      </w:r>
      <w:r>
        <w:rPr>
          <w:i/>
          <w:iCs/>
        </w:rPr>
        <w:t xml:space="preserve">secara aktual diraih perusahaan di pasar</w:t>
      </w:r>
      <w:r>
        <w:t xml:space="preserve">—dua hal yang dalam literatur awam sering dipertukarkan tanpa teliti.</w:t>
      </w:r>
    </w:p>
    <w:bookmarkEnd w:id="17"/>
    <w:bookmarkEnd w:id="18"/>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2026-04-23T09:45:29Z</dcterms:created>
  <dcterms:modified xsi:type="dcterms:W3CDTF">2026-04-23T09:45:29Z</dcterms:modified>
</cp:coreProperties>
</file>

<file path=docProps/custom.xml><?xml version="1.0" encoding="utf-8"?>
<Properties xmlns="http://schemas.openxmlformats.org/officeDocument/2006/custom-properties" xmlns:vt="http://schemas.openxmlformats.org/officeDocument/2006/docPropsVTypes"/>
</file>