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11B1F" w14:textId="77777777" w:rsidR="001C5E38" w:rsidRPr="00D32828" w:rsidRDefault="00000000">
      <w:pPr>
        <w:pStyle w:val="Heading1"/>
        <w:rPr>
          <w:rFonts w:ascii="Times New Roman" w:hAnsi="Times New Roman" w:cs="Times New Roman"/>
        </w:rPr>
      </w:pPr>
      <w:bookmarkStart w:id="0" w:name="critical-review-artikel-3"/>
      <w:r w:rsidRPr="00D32828">
        <w:rPr>
          <w:rFonts w:ascii="Times New Roman" w:hAnsi="Times New Roman" w:cs="Times New Roman"/>
        </w:rPr>
        <w:t>CRITICAL REVIEW ARTIKEL 3</w:t>
      </w:r>
    </w:p>
    <w:p w14:paraId="234A60D6" w14:textId="77777777" w:rsidR="001C5E38" w:rsidRPr="00D32828" w:rsidRDefault="00000000" w:rsidP="00D32828">
      <w:pPr>
        <w:ind w:firstLine="0"/>
        <w:rPr>
          <w:rFonts w:cs="Times New Roman"/>
        </w:rPr>
      </w:pPr>
      <w:r w:rsidRPr="00D32828">
        <w:rPr>
          <w:rFonts w:cs="Times New Roman"/>
          <w:b/>
          <w:bCs/>
        </w:rPr>
        <w:t>Mata Kuliah:</w:t>
      </w:r>
      <w:r w:rsidRPr="00D32828">
        <w:rPr>
          <w:rFonts w:cs="Times New Roman"/>
        </w:rPr>
        <w:t xml:space="preserve"> Manajemen Strategik Kontemporer (MST304)</w:t>
      </w:r>
    </w:p>
    <w:p w14:paraId="7771ACC8" w14:textId="77777777" w:rsidR="001C5E38" w:rsidRPr="00D32828" w:rsidRDefault="00000000" w:rsidP="00D32828">
      <w:pPr>
        <w:pStyle w:val="BodyText"/>
        <w:ind w:firstLine="0"/>
        <w:rPr>
          <w:rFonts w:cs="Times New Roman"/>
        </w:rPr>
      </w:pPr>
      <w:r w:rsidRPr="00D32828">
        <w:rPr>
          <w:rFonts w:cs="Times New Roman"/>
          <w:b/>
          <w:bCs/>
        </w:rPr>
        <w:t>Semester:</w:t>
      </w:r>
      <w:r w:rsidRPr="00D32828">
        <w:rPr>
          <w:rFonts w:cs="Times New Roman"/>
        </w:rPr>
        <w:t xml:space="preserve"> II, T.A. 2025/2026</w:t>
      </w:r>
    </w:p>
    <w:p w14:paraId="5EFE79F4" w14:textId="77777777" w:rsidR="001C5E38" w:rsidRPr="00D32828" w:rsidRDefault="00000000" w:rsidP="00D32828">
      <w:pPr>
        <w:pStyle w:val="BodyText"/>
        <w:ind w:firstLine="0"/>
        <w:rPr>
          <w:rFonts w:cs="Times New Roman"/>
        </w:rPr>
      </w:pPr>
      <w:r w:rsidRPr="00D32828">
        <w:rPr>
          <w:rFonts w:cs="Times New Roman"/>
          <w:b/>
          <w:bCs/>
        </w:rPr>
        <w:t>Nama:</w:t>
      </w:r>
      <w:r w:rsidRPr="00D32828">
        <w:rPr>
          <w:rFonts w:cs="Times New Roman"/>
        </w:rPr>
        <w:t xml:space="preserve"> Dzaki Muhammad Yusfian</w:t>
      </w:r>
    </w:p>
    <w:p w14:paraId="639964DF" w14:textId="77777777" w:rsidR="001C5E38" w:rsidRPr="00D32828" w:rsidRDefault="00000000" w:rsidP="00D32828">
      <w:pPr>
        <w:pStyle w:val="BodyText"/>
        <w:ind w:firstLine="0"/>
        <w:rPr>
          <w:rFonts w:cs="Times New Roman"/>
        </w:rPr>
      </w:pPr>
      <w:r w:rsidRPr="00D32828">
        <w:rPr>
          <w:rFonts w:cs="Times New Roman"/>
          <w:b/>
          <w:bCs/>
        </w:rPr>
        <w:t>NIM:</w:t>
      </w:r>
      <w:r w:rsidRPr="00D32828">
        <w:rPr>
          <w:rFonts w:cs="Times New Roman"/>
        </w:rPr>
        <w:t xml:space="preserve"> 1125 01079</w:t>
      </w:r>
    </w:p>
    <w:p w14:paraId="0EBFBA0C" w14:textId="77777777" w:rsidR="001C5E38" w:rsidRPr="00D32828" w:rsidRDefault="00000000" w:rsidP="00D32828">
      <w:pPr>
        <w:ind w:firstLine="0"/>
        <w:rPr>
          <w:rFonts w:cs="Times New Roman"/>
        </w:rPr>
      </w:pPr>
      <w:r w:rsidRPr="00D32828">
        <w:rPr>
          <w:rFonts w:cs="Times New Roman"/>
        </w:rPr>
        <w:pict w14:anchorId="0AD83DEE">
          <v:rect id="_x0000_i1068" style="width:0;height:1.5pt" o:hralign="center" o:hrstd="t" o:hr="t"/>
        </w:pict>
      </w:r>
    </w:p>
    <w:p w14:paraId="6C511B93" w14:textId="77777777" w:rsidR="001C5E38" w:rsidRPr="00D32828" w:rsidRDefault="00000000" w:rsidP="00D32828">
      <w:pPr>
        <w:pStyle w:val="Heading2"/>
        <w:jc w:val="both"/>
        <w:rPr>
          <w:rFonts w:ascii="Times New Roman" w:hAnsi="Times New Roman" w:cs="Times New Roman"/>
        </w:rPr>
      </w:pPr>
      <w:bookmarkStart w:id="1" w:name="identitas-artikel"/>
      <w:r w:rsidRPr="00D32828">
        <w:rPr>
          <w:rFonts w:ascii="Times New Roman" w:hAnsi="Times New Roman" w:cs="Times New Roman"/>
        </w:rPr>
        <w:t>1. Identitas Artikel</w:t>
      </w:r>
    </w:p>
    <w:p w14:paraId="7E9BBF99" w14:textId="77777777" w:rsidR="001C5E38" w:rsidRPr="00D32828" w:rsidRDefault="00000000" w:rsidP="00D32828">
      <w:pPr>
        <w:ind w:firstLine="0"/>
        <w:jc w:val="both"/>
        <w:rPr>
          <w:rFonts w:cs="Times New Roman"/>
        </w:rPr>
      </w:pPr>
      <w:r w:rsidRPr="00D32828">
        <w:rPr>
          <w:rFonts w:cs="Times New Roman"/>
          <w:b/>
          <w:bCs/>
        </w:rPr>
        <w:t>Judul:</w:t>
      </w:r>
      <w:r w:rsidRPr="00D32828">
        <w:rPr>
          <w:rFonts w:cs="Times New Roman"/>
        </w:rPr>
        <w:t xml:space="preserve"> </w:t>
      </w:r>
      <w:r w:rsidRPr="00D32828">
        <w:rPr>
          <w:rFonts w:cs="Times New Roman"/>
          <w:i/>
          <w:iCs/>
        </w:rPr>
        <w:t>Corporate Social Responsibility in a Competitive Business Environment</w:t>
      </w:r>
    </w:p>
    <w:p w14:paraId="381251AF" w14:textId="77777777" w:rsidR="001C5E38" w:rsidRPr="00D32828" w:rsidRDefault="00000000" w:rsidP="00D32828">
      <w:pPr>
        <w:pStyle w:val="BodyText"/>
        <w:ind w:firstLine="0"/>
        <w:jc w:val="both"/>
        <w:rPr>
          <w:rFonts w:cs="Times New Roman"/>
        </w:rPr>
      </w:pPr>
      <w:r w:rsidRPr="00D32828">
        <w:rPr>
          <w:rFonts w:cs="Times New Roman"/>
          <w:b/>
          <w:bCs/>
        </w:rPr>
        <w:t>Penulis:</w:t>
      </w:r>
      <w:r w:rsidRPr="00D32828">
        <w:rPr>
          <w:rFonts w:cs="Times New Roman"/>
        </w:rPr>
        <w:t xml:space="preserve"> Carol Newman, John Rand, Finn Tarp, dan Neda Trifkovic</w:t>
      </w:r>
    </w:p>
    <w:p w14:paraId="31D47F37" w14:textId="77777777" w:rsidR="001C5E38" w:rsidRPr="00D32828" w:rsidRDefault="00000000" w:rsidP="00D32828">
      <w:pPr>
        <w:pStyle w:val="BodyText"/>
        <w:ind w:firstLine="0"/>
        <w:jc w:val="both"/>
        <w:rPr>
          <w:rFonts w:cs="Times New Roman"/>
        </w:rPr>
      </w:pPr>
      <w:r w:rsidRPr="00D32828">
        <w:rPr>
          <w:rFonts w:cs="Times New Roman"/>
          <w:b/>
          <w:bCs/>
        </w:rPr>
        <w:t>Institusi:</w:t>
      </w:r>
      <w:r w:rsidRPr="00D32828">
        <w:rPr>
          <w:rFonts w:cs="Times New Roman"/>
        </w:rPr>
        <w:t xml:space="preserve"> Trinity College Dublin (Newman) dan University of Copenhagen (Rand, Tarp, Trifkovic)</w:t>
      </w:r>
    </w:p>
    <w:p w14:paraId="40213640" w14:textId="77777777" w:rsidR="001C5E38" w:rsidRPr="00D32828" w:rsidRDefault="00000000" w:rsidP="00D32828">
      <w:pPr>
        <w:pStyle w:val="BodyText"/>
        <w:ind w:firstLine="0"/>
        <w:jc w:val="both"/>
        <w:rPr>
          <w:rFonts w:cs="Times New Roman"/>
        </w:rPr>
      </w:pPr>
      <w:r w:rsidRPr="00D32828">
        <w:rPr>
          <w:rFonts w:cs="Times New Roman"/>
          <w:b/>
          <w:bCs/>
        </w:rPr>
        <w:t>Publikasi:</w:t>
      </w:r>
      <w:r w:rsidRPr="00D32828">
        <w:rPr>
          <w:rFonts w:cs="Times New Roman"/>
        </w:rPr>
        <w:t xml:space="preserve"> </w:t>
      </w:r>
      <w:r w:rsidRPr="00D32828">
        <w:rPr>
          <w:rFonts w:cs="Times New Roman"/>
          <w:i/>
          <w:iCs/>
        </w:rPr>
        <w:t>The Journal of Development Studies</w:t>
      </w:r>
      <w:r w:rsidRPr="00D32828">
        <w:rPr>
          <w:rFonts w:cs="Times New Roman"/>
        </w:rPr>
        <w:t xml:space="preserve"> (2020), DOI: 10.1080/00220388.2019.1694144</w:t>
      </w:r>
    </w:p>
    <w:p w14:paraId="552B03D9" w14:textId="77777777" w:rsidR="001C5E38" w:rsidRPr="00D32828" w:rsidRDefault="00000000" w:rsidP="00D32828">
      <w:pPr>
        <w:pStyle w:val="BodyText"/>
        <w:ind w:firstLine="0"/>
        <w:jc w:val="both"/>
        <w:rPr>
          <w:rFonts w:cs="Times New Roman"/>
        </w:rPr>
      </w:pPr>
      <w:r w:rsidRPr="00D32828">
        <w:rPr>
          <w:rFonts w:cs="Times New Roman"/>
          <w:b/>
          <w:bCs/>
        </w:rPr>
        <w:t>Status:</w:t>
      </w:r>
      <w:r w:rsidRPr="00D32828">
        <w:rPr>
          <w:rFonts w:cs="Times New Roman"/>
        </w:rPr>
        <w:t xml:space="preserve"> </w:t>
      </w:r>
      <w:r w:rsidRPr="00D32828">
        <w:rPr>
          <w:rFonts w:cs="Times New Roman"/>
          <w:i/>
          <w:iCs/>
        </w:rPr>
        <w:t>Open Access</w:t>
      </w:r>
      <w:r w:rsidRPr="00D32828">
        <w:rPr>
          <w:rFonts w:cs="Times New Roman"/>
        </w:rPr>
        <w:t xml:space="preserve"> di bawah lisensi Creative Commons</w:t>
      </w:r>
    </w:p>
    <w:p w14:paraId="6E3F8A6C" w14:textId="77777777" w:rsidR="001C5E38" w:rsidRPr="00D32828" w:rsidRDefault="00000000" w:rsidP="00D32828">
      <w:pPr>
        <w:pStyle w:val="BodyText"/>
        <w:ind w:firstLine="0"/>
        <w:jc w:val="both"/>
        <w:rPr>
          <w:rFonts w:cs="Times New Roman"/>
        </w:rPr>
      </w:pPr>
      <w:r w:rsidRPr="00D32828">
        <w:rPr>
          <w:rFonts w:cs="Times New Roman"/>
          <w:b/>
          <w:bCs/>
        </w:rPr>
        <w:t>Tipe Penelitian:</w:t>
      </w:r>
      <w:r w:rsidRPr="00D32828">
        <w:rPr>
          <w:rFonts w:cs="Times New Roman"/>
        </w:rPr>
        <w:t xml:space="preserve"> Artikel empiris kuantitatif berbasis data panel</w:t>
      </w:r>
    </w:p>
    <w:p w14:paraId="16AE5556" w14:textId="77777777" w:rsidR="001C5E38" w:rsidRPr="00D32828" w:rsidRDefault="00000000" w:rsidP="00D32828">
      <w:pPr>
        <w:pStyle w:val="Heading2"/>
        <w:jc w:val="both"/>
        <w:rPr>
          <w:rFonts w:ascii="Times New Roman" w:hAnsi="Times New Roman" w:cs="Times New Roman"/>
        </w:rPr>
      </w:pPr>
      <w:bookmarkStart w:id="2" w:name="tujuan-penelitian"/>
      <w:bookmarkEnd w:id="1"/>
      <w:r w:rsidRPr="00D32828">
        <w:rPr>
          <w:rFonts w:ascii="Times New Roman" w:hAnsi="Times New Roman" w:cs="Times New Roman"/>
        </w:rPr>
        <w:t>2. Tujuan Penelitian</w:t>
      </w:r>
    </w:p>
    <w:p w14:paraId="390C80B6" w14:textId="77777777" w:rsidR="001C5E38" w:rsidRPr="00D32828" w:rsidRDefault="00000000" w:rsidP="00D32828">
      <w:pPr>
        <w:jc w:val="both"/>
        <w:rPr>
          <w:rFonts w:cs="Times New Roman"/>
        </w:rPr>
      </w:pPr>
      <w:r w:rsidRPr="00D32828">
        <w:rPr>
          <w:rFonts w:cs="Times New Roman"/>
        </w:rPr>
        <w:t xml:space="preserve">Newman dan kolega bertolak dari sebuah ketegangan yang sudah lama hidup dalam literatur ekonomi dan manajemen strategik. Di satu sisi, kerangka </w:t>
      </w:r>
      <w:r w:rsidRPr="00D32828">
        <w:rPr>
          <w:rFonts w:cs="Times New Roman"/>
          <w:i/>
          <w:iCs/>
        </w:rPr>
        <w:t>strategic CSR</w:t>
      </w:r>
      <w:r w:rsidRPr="00D32828">
        <w:rPr>
          <w:rFonts w:cs="Times New Roman"/>
        </w:rPr>
        <w:t xml:space="preserve"> yang dipopulerkan Porter dan Kramer (2002, 2006) berargumen bahwa tanggung jawab sosial perusahaan dapat menjadi sumber keunggulan kompetitif. Di sisi lain, hasil empiris yang dirangkum oleh Margolis, Elfenbein, dan Walsh (2009) menunjukkan bahwa hubungan antara CSR dan kinerja perusahaan jauh dari konklusif dan sering bergantung pada konteks. Newman et al. mengisi celah ini dengan tiga pertanyaan penelitian yang spesifik: (a) apakah perusahaan yang mengadopsi CSR lebih produktif; (b) apakah dampak CSR terhadap produktivitas berbeda di industri yang lebih kompetitif dibandingkan industri yang lebih terkonsentrasi; dan (c) apakah perusahaan menggunakan CSR secara strategis untuk menawarkan kompensasi tenaga kerja yang relatif lebih rendah.</w:t>
      </w:r>
    </w:p>
    <w:p w14:paraId="2FB28FFF" w14:textId="77777777" w:rsidR="001C5E38" w:rsidRPr="00D32828" w:rsidRDefault="00000000" w:rsidP="00D32828">
      <w:pPr>
        <w:pStyle w:val="BodyText"/>
        <w:jc w:val="both"/>
        <w:rPr>
          <w:rFonts w:cs="Times New Roman"/>
        </w:rPr>
      </w:pPr>
      <w:r w:rsidRPr="00D32828">
        <w:rPr>
          <w:rFonts w:cs="Times New Roman"/>
        </w:rPr>
        <w:t xml:space="preserve">Tujuan ini tidak sederhana. Ia menempatkan studi pada persimpangan antara teori tata kelola perusahaan, ekonomi industri, dan ekonomi tenaga kerja sekaligus, dan ia menjawabnya </w:t>
      </w:r>
      <w:r w:rsidRPr="00D32828">
        <w:rPr>
          <w:rFonts w:cs="Times New Roman"/>
        </w:rPr>
        <w:lastRenderedPageBreak/>
        <w:t>dengan data dari sebuah negara berkembang yang sedang dalam transisi ekonomi, sebuah konteks yang sering kurang terwakili dalam literatur CSR arus utama.</w:t>
      </w:r>
    </w:p>
    <w:p w14:paraId="704B0738" w14:textId="77777777" w:rsidR="001C5E38" w:rsidRPr="00D32828" w:rsidRDefault="00000000" w:rsidP="00D32828">
      <w:pPr>
        <w:pStyle w:val="Heading2"/>
        <w:jc w:val="both"/>
        <w:rPr>
          <w:rFonts w:ascii="Times New Roman" w:hAnsi="Times New Roman" w:cs="Times New Roman"/>
        </w:rPr>
      </w:pPr>
      <w:bookmarkStart w:id="3" w:name="argumen-utama"/>
      <w:bookmarkEnd w:id="2"/>
      <w:r w:rsidRPr="00D32828">
        <w:rPr>
          <w:rFonts w:ascii="Times New Roman" w:hAnsi="Times New Roman" w:cs="Times New Roman"/>
        </w:rPr>
        <w:t>3. Argumen Utama</w:t>
      </w:r>
    </w:p>
    <w:p w14:paraId="0960EA88" w14:textId="77777777" w:rsidR="001C5E38" w:rsidRPr="00D32828" w:rsidRDefault="00000000" w:rsidP="00D32828">
      <w:pPr>
        <w:jc w:val="both"/>
        <w:rPr>
          <w:rFonts w:cs="Times New Roman"/>
        </w:rPr>
      </w:pPr>
      <w:r w:rsidRPr="00D32828">
        <w:rPr>
          <w:rFonts w:cs="Times New Roman"/>
        </w:rPr>
        <w:t>Argumen utama Newman dan kolega dapat diringkas sebagai berikut. Pertama, CSR bukan sekadar pengeluaran yang mengurangi laba, melainkan investasi yang dapat meningkatkan produktivitas tenaga kerja melalui mekanisme reputasi, motivasi karyawan, akses ke konsumen yang sensitif terhadap nilai sosial, serta efisiensi proses produksi yang dipicu oleh standar lingkungan. Kedua, dampak CSR berinteraksi dengan struktur industri. Di pasar yang sangat kompetitif, tekanan persaingan sudah berfungsi sebagai disiplin terhadap manajemen, sehingga ruang tambahan dari CSR untuk meningkatkan efisiensi menjadi sempit. Sebaliknya, di pasar terkonsentrasi, di mana persaingan tidak cukup mendisiplinkan manajemen, CSR menjadi mekanisme alternatif yang memunculkan dampak produktivitas yang lebih tegas. Ketiga, CSR tidak gratis bagi karyawan. Karyawan yang menghargai bekerja di perusahaan yang dinilai bertanggung jawab secara sosial bersedia menerima bagian nilai tambah yang lebih kecil, sehingga CSR dalam praktiknya dibiayai sebagian oleh penyesuaian kompensasi.</w:t>
      </w:r>
    </w:p>
    <w:p w14:paraId="66120832" w14:textId="77777777" w:rsidR="001C5E38" w:rsidRPr="00D32828" w:rsidRDefault="00000000" w:rsidP="00D32828">
      <w:pPr>
        <w:pStyle w:val="BodyText"/>
        <w:jc w:val="both"/>
        <w:rPr>
          <w:rFonts w:cs="Times New Roman"/>
        </w:rPr>
      </w:pPr>
      <w:r w:rsidRPr="00D32828">
        <w:rPr>
          <w:rFonts w:cs="Times New Roman"/>
        </w:rPr>
        <w:t xml:space="preserve">Penulis mengoperasionalkan CSR melalui dua sub-indeks yang dipisah dengan tajam: empat indikator CSR berbasis manajemen (komite CSR, kebijakan tertulis, keanggotaan asosiasi standar, dan sertifikasi seperti ISO 14001 atau SA 8000) dan delapan indikator CSR berbasis komunitas (perlindungan lingkungan, pendidikan, infrastruktur, layanan kesehatan, pengembangan pemuda, pengentasan kemiskinan, warisan lokal, dan acara olahraga). Konsentrasi industri diukur dengan </w:t>
      </w:r>
      <w:r w:rsidRPr="00D32828">
        <w:rPr>
          <w:rFonts w:cs="Times New Roman"/>
          <w:i/>
          <w:iCs/>
        </w:rPr>
        <w:t>Herfindahl-Hirschman Index</w:t>
      </w:r>
      <w:r w:rsidRPr="00D32828">
        <w:rPr>
          <w:rFonts w:cs="Times New Roman"/>
        </w:rPr>
        <w:t xml:space="preserve"> (HHI) pada level provinsi-industri. Estimasi dilakukan dengan kombinasi </w:t>
      </w:r>
      <w:r w:rsidRPr="00D32828">
        <w:rPr>
          <w:rFonts w:cs="Times New Roman"/>
          <w:i/>
          <w:iCs/>
        </w:rPr>
        <w:t>fixed effects</w:t>
      </w:r>
      <w:r w:rsidRPr="00D32828">
        <w:rPr>
          <w:rFonts w:cs="Times New Roman"/>
        </w:rPr>
        <w:t xml:space="preserve">, </w:t>
      </w:r>
      <w:r w:rsidRPr="00D32828">
        <w:rPr>
          <w:rFonts w:cs="Times New Roman"/>
          <w:i/>
          <w:iCs/>
        </w:rPr>
        <w:t>system GMM</w:t>
      </w:r>
      <w:r w:rsidRPr="00D32828">
        <w:rPr>
          <w:rFonts w:cs="Times New Roman"/>
        </w:rPr>
        <w:t xml:space="preserve"> untuk mengatasi endogenitas, dan berbagai uji robustness.</w:t>
      </w:r>
    </w:p>
    <w:p w14:paraId="5CD1471F" w14:textId="77777777" w:rsidR="001C5E38" w:rsidRPr="00D32828" w:rsidRDefault="00000000" w:rsidP="00D32828">
      <w:pPr>
        <w:pStyle w:val="BodyText"/>
        <w:jc w:val="both"/>
        <w:rPr>
          <w:rFonts w:cs="Times New Roman"/>
        </w:rPr>
      </w:pPr>
      <w:r w:rsidRPr="00D32828">
        <w:rPr>
          <w:rFonts w:cs="Times New Roman"/>
        </w:rPr>
        <w:t>Hasil empiris mengkonfirmasi ketiga hipotesis dengan kualifikasi yang penting: dampak agregat CSR sebagian besar didorong oleh CSR berbasis komunitas, bukan CSR berbasis manajemen. Setiap penambahan satu inisiatif CSR komunitas berkaitan dengan kenaikan produktivitas tenaga kerja sebesar 0,5 hingga 0,6 persen. Dampak ini lebih kuat lagi pada perusahaan yang lebih melekat dengan ekonomi lokal (sumber input dan pelanggan utama berada dalam wilayah yang sama).</w:t>
      </w:r>
    </w:p>
    <w:p w14:paraId="63A24BBF" w14:textId="77777777" w:rsidR="001C5E38" w:rsidRPr="00D32828" w:rsidRDefault="00000000" w:rsidP="00D32828">
      <w:pPr>
        <w:pStyle w:val="Heading2"/>
        <w:jc w:val="both"/>
        <w:rPr>
          <w:rFonts w:ascii="Times New Roman" w:hAnsi="Times New Roman" w:cs="Times New Roman"/>
        </w:rPr>
      </w:pPr>
      <w:bookmarkStart w:id="4" w:name="X92e90c0f0db7617051fe4af21adef8e30ecf2e1"/>
      <w:bookmarkEnd w:id="3"/>
      <w:r w:rsidRPr="00D32828">
        <w:rPr>
          <w:rFonts w:ascii="Times New Roman" w:hAnsi="Times New Roman" w:cs="Times New Roman"/>
        </w:rPr>
        <w:lastRenderedPageBreak/>
        <w:t>4. Koneksi ke Topik Silabus (Pertemuan 3 — Evaluating a Company’s External Environment)</w:t>
      </w:r>
    </w:p>
    <w:p w14:paraId="6440D645" w14:textId="77777777" w:rsidR="001C5E38" w:rsidRPr="00D32828" w:rsidRDefault="00000000" w:rsidP="00D32828">
      <w:pPr>
        <w:jc w:val="both"/>
        <w:rPr>
          <w:rFonts w:cs="Times New Roman"/>
        </w:rPr>
      </w:pPr>
      <w:r w:rsidRPr="00D32828">
        <w:rPr>
          <w:rFonts w:cs="Times New Roman"/>
        </w:rPr>
        <w:t>Artikel ini terhubung dengan tiga komponen sentral materi Pertemuan 3. Pertama, ia memperluas analisis Lima Kekuatan Porter dengan dimensi sosial yang biasanya tidak diperhitungkan secara eksplisit. Newman et al. menyiratkan bahwa intensitas persaingan industri (Kekuatan Pertama dalam Porter) memoderasi efektivitas CSR, sehingga manajer perlu membaca posisi industrinya bukan hanya dari sudut profitabilitas, melainkan juga dari sudut bagaimana CSR akan diserap oleh struktur kompetisi.</w:t>
      </w:r>
    </w:p>
    <w:p w14:paraId="266906E2" w14:textId="77777777" w:rsidR="001C5E38" w:rsidRPr="00D32828" w:rsidRDefault="00000000" w:rsidP="00D32828">
      <w:pPr>
        <w:pStyle w:val="BodyText"/>
        <w:jc w:val="both"/>
        <w:rPr>
          <w:rFonts w:cs="Times New Roman"/>
          <w:lang w:val="pt-BR"/>
        </w:rPr>
      </w:pPr>
      <w:r w:rsidRPr="00D32828">
        <w:rPr>
          <w:rFonts w:cs="Times New Roman"/>
          <w:lang w:val="pt-BR"/>
        </w:rPr>
        <w:t xml:space="preserve">Kedua, ia menambahkan dimensi </w:t>
      </w:r>
      <w:r w:rsidRPr="00D32828">
        <w:rPr>
          <w:rFonts w:cs="Times New Roman"/>
          <w:i/>
          <w:iCs/>
          <w:lang w:val="pt-BR"/>
        </w:rPr>
        <w:t>social</w:t>
      </w:r>
      <w:r w:rsidRPr="00D32828">
        <w:rPr>
          <w:rFonts w:cs="Times New Roman"/>
          <w:lang w:val="pt-BR"/>
        </w:rPr>
        <w:t xml:space="preserve"> dalam kerangka PESTEL. Faktor sosiokultural dalam PESTEL umumnya dianalisis sebagai variabel eksogen yang membentuk permintaan. Newman et al. menunjukkan bahwa relasi antara perusahaan dan komunitas sosialnya bersifat dua arah; perusahaan bukan sekadar penerima pengaruh sosial, melainkan aktor yang dapat membangun kapabilitas produktif melalui investasi sosial yang nyata.</w:t>
      </w:r>
    </w:p>
    <w:p w14:paraId="2639E292" w14:textId="77777777" w:rsidR="001C5E38" w:rsidRPr="00D32828" w:rsidRDefault="00000000" w:rsidP="00D32828">
      <w:pPr>
        <w:pStyle w:val="BodyText"/>
        <w:jc w:val="both"/>
        <w:rPr>
          <w:rFonts w:cs="Times New Roman"/>
          <w:lang w:val="pt-BR"/>
        </w:rPr>
      </w:pPr>
      <w:r w:rsidRPr="00D32828">
        <w:rPr>
          <w:rFonts w:cs="Times New Roman"/>
          <w:lang w:val="pt-BR"/>
        </w:rPr>
        <w:t xml:space="preserve">Ketiga, ia menyediakan bukti yang relevan untuk pembahasan </w:t>
      </w:r>
      <w:r w:rsidRPr="00D32828">
        <w:rPr>
          <w:rFonts w:cs="Times New Roman"/>
          <w:i/>
          <w:iCs/>
          <w:lang w:val="pt-BR"/>
        </w:rPr>
        <w:t>driving forces</w:t>
      </w:r>
      <w:r w:rsidRPr="00D32828">
        <w:rPr>
          <w:rFonts w:cs="Times New Roman"/>
          <w:lang w:val="pt-BR"/>
        </w:rPr>
        <w:t xml:space="preserve">. Kebangkitan tuntutan sosial atas perilaku perusahaan, terutama di pasar berkembang yang baru terintegrasi dengan rantai pasok global, adalah </w:t>
      </w:r>
      <w:r w:rsidRPr="00D32828">
        <w:rPr>
          <w:rFonts w:cs="Times New Roman"/>
          <w:i/>
          <w:iCs/>
          <w:lang w:val="pt-BR"/>
        </w:rPr>
        <w:t>driving force</w:t>
      </w:r>
      <w:r w:rsidRPr="00D32828">
        <w:rPr>
          <w:rFonts w:cs="Times New Roman"/>
          <w:lang w:val="pt-BR"/>
        </w:rPr>
        <w:t xml:space="preserve"> yang mengubah struktur industri secara perlahan namun pasti. Manajer yang dapat membaca arah ini akan berada pada posisi yang lebih kuat di lanskap masa depan.</w:t>
      </w:r>
    </w:p>
    <w:p w14:paraId="15B5C60C" w14:textId="77777777" w:rsidR="001C5E38" w:rsidRPr="00D32828" w:rsidRDefault="00000000" w:rsidP="00D32828">
      <w:pPr>
        <w:pStyle w:val="Heading2"/>
        <w:jc w:val="both"/>
        <w:rPr>
          <w:rFonts w:ascii="Times New Roman" w:hAnsi="Times New Roman" w:cs="Times New Roman"/>
          <w:lang w:val="pt-BR"/>
        </w:rPr>
      </w:pPr>
      <w:bookmarkStart w:id="5" w:name="kekuatan-artikel"/>
      <w:bookmarkEnd w:id="4"/>
      <w:r w:rsidRPr="00D32828">
        <w:rPr>
          <w:rFonts w:ascii="Times New Roman" w:hAnsi="Times New Roman" w:cs="Times New Roman"/>
          <w:lang w:val="pt-BR"/>
        </w:rPr>
        <w:t>5. Kekuatan Artikel</w:t>
      </w:r>
    </w:p>
    <w:p w14:paraId="797B6703" w14:textId="77777777" w:rsidR="001C5E38" w:rsidRPr="00D32828" w:rsidRDefault="00000000" w:rsidP="00D32828">
      <w:pPr>
        <w:jc w:val="both"/>
        <w:rPr>
          <w:rFonts w:cs="Times New Roman"/>
          <w:lang w:val="pt-BR"/>
        </w:rPr>
      </w:pPr>
      <w:r w:rsidRPr="00D32828">
        <w:rPr>
          <w:rFonts w:cs="Times New Roman"/>
          <w:b/>
          <w:bCs/>
          <w:lang w:val="pt-BR"/>
        </w:rPr>
        <w:t>Pertama, basis empiris yang kokoh.</w:t>
      </w:r>
      <w:r w:rsidRPr="00D32828">
        <w:rPr>
          <w:rFonts w:cs="Times New Roman"/>
          <w:lang w:val="pt-BR"/>
        </w:rPr>
        <w:t xml:space="preserve"> Penggunaan data panel atas lebih dari 5.000 perusahaan dengan 20.740 observasi menempatkan studi ini di tingkat empiris yang jarang dimiliki literatur CSR lainnya. Triangulasi antara </w:t>
      </w:r>
      <w:r w:rsidRPr="00D32828">
        <w:rPr>
          <w:rFonts w:cs="Times New Roman"/>
          <w:i/>
          <w:iCs/>
          <w:lang w:val="pt-BR"/>
        </w:rPr>
        <w:t>fixed effects</w:t>
      </w:r>
      <w:r w:rsidRPr="00D32828">
        <w:rPr>
          <w:rFonts w:cs="Times New Roman"/>
          <w:lang w:val="pt-BR"/>
        </w:rPr>
        <w:t xml:space="preserve"> dan </w:t>
      </w:r>
      <w:r w:rsidRPr="00D32828">
        <w:rPr>
          <w:rFonts w:cs="Times New Roman"/>
          <w:i/>
          <w:iCs/>
          <w:lang w:val="pt-BR"/>
        </w:rPr>
        <w:t>system GMM</w:t>
      </w:r>
      <w:r w:rsidRPr="00D32828">
        <w:rPr>
          <w:rFonts w:cs="Times New Roman"/>
          <w:lang w:val="pt-BR"/>
        </w:rPr>
        <w:t xml:space="preserve"> dengan beragam uji robustness memberi kredibilitas tinggi atas temuan utamanya.</w:t>
      </w:r>
    </w:p>
    <w:p w14:paraId="0E2BE830" w14:textId="77777777" w:rsidR="001C5E38" w:rsidRPr="00D32828" w:rsidRDefault="00000000" w:rsidP="00D32828">
      <w:pPr>
        <w:pStyle w:val="BodyText"/>
        <w:jc w:val="both"/>
        <w:rPr>
          <w:rFonts w:cs="Times New Roman"/>
          <w:lang w:val="da-DK"/>
        </w:rPr>
      </w:pPr>
      <w:r w:rsidRPr="00D32828">
        <w:rPr>
          <w:rFonts w:cs="Times New Roman"/>
          <w:b/>
          <w:bCs/>
          <w:lang w:val="da-DK"/>
        </w:rPr>
        <w:t>Kedua, ukuran CSR yang multidimensional.</w:t>
      </w:r>
      <w:r w:rsidRPr="00D32828">
        <w:rPr>
          <w:rFonts w:cs="Times New Roman"/>
          <w:lang w:val="da-DK"/>
        </w:rPr>
        <w:t xml:space="preserve"> Pemisahan tegas antara CSR berbasis manajemen dan CSR berbasis komunitas adalah kontribusi metodologis yang penting. Banyak studi sebelumnya menggunakan indeks CSR agregat yang menyembunyikan heterogenitas internal, sehingga gagal mendeteksi perbedaan dampak yang sangat material seperti yang ditemukan Newman et al.</w:t>
      </w:r>
    </w:p>
    <w:p w14:paraId="457723EC" w14:textId="77777777" w:rsidR="001C5E38" w:rsidRPr="00D32828" w:rsidRDefault="00000000" w:rsidP="00D32828">
      <w:pPr>
        <w:pStyle w:val="BodyText"/>
        <w:jc w:val="both"/>
        <w:rPr>
          <w:rFonts w:cs="Times New Roman"/>
          <w:lang w:val="da-DK"/>
        </w:rPr>
      </w:pPr>
      <w:r w:rsidRPr="00D32828">
        <w:rPr>
          <w:rFonts w:cs="Times New Roman"/>
          <w:b/>
          <w:bCs/>
          <w:lang w:val="da-DK"/>
        </w:rPr>
        <w:t>Ketiga, eksploitasi konteks Vietnam yang relevan.</w:t>
      </w:r>
      <w:r w:rsidRPr="00D32828">
        <w:rPr>
          <w:rFonts w:cs="Times New Roman"/>
          <w:lang w:val="da-DK"/>
        </w:rPr>
        <w:t xml:space="preserve"> Vietnam adalah ekonomi transisi yang baru terintegrasi ke dalam rantai pasok global pasca aksesi WTO 2007. Konteks ini memberi laboratorium alami untuk menguji apakah temuan literatur CSR yang sebagian besar </w:t>
      </w:r>
      <w:r w:rsidRPr="00D32828">
        <w:rPr>
          <w:rFonts w:cs="Times New Roman"/>
          <w:lang w:val="da-DK"/>
        </w:rPr>
        <w:lastRenderedPageBreak/>
        <w:t>berbasis Eropa dan Amerika Utara dapat digeneralisasi ke negara berkembang. Studi ini menjawab pertanyaan tersebut dengan tegas.</w:t>
      </w:r>
    </w:p>
    <w:p w14:paraId="06A9EE34" w14:textId="77777777" w:rsidR="001C5E38" w:rsidRPr="00D32828" w:rsidRDefault="00000000" w:rsidP="00D32828">
      <w:pPr>
        <w:pStyle w:val="BodyText"/>
        <w:jc w:val="both"/>
        <w:rPr>
          <w:rFonts w:cs="Times New Roman"/>
          <w:lang w:val="da-DK"/>
        </w:rPr>
      </w:pPr>
      <w:r w:rsidRPr="00D32828">
        <w:rPr>
          <w:rFonts w:cs="Times New Roman"/>
          <w:b/>
          <w:bCs/>
          <w:lang w:val="da-DK"/>
        </w:rPr>
        <w:t>Keempat, identifikasi mekanisme yang konkret.</w:t>
      </w:r>
      <w:r w:rsidRPr="00D32828">
        <w:rPr>
          <w:rFonts w:cs="Times New Roman"/>
          <w:lang w:val="da-DK"/>
        </w:rPr>
        <w:t xml:space="preserve"> Studi ini tidak berhenti pada korelasi, melainkan menguraikan mekanisme transmisi: hubungan kuat ditemukan pada perusahaan yang lebih tertanam dalam ekonomi lokal, dan disertai bukti bahwa karyawan menerima kompensasi yang sedikit lebih rendah sebagai imbal balik atas nilai sosial perusahaan tempat mereka bekerja.</w:t>
      </w:r>
    </w:p>
    <w:p w14:paraId="4023EFB9" w14:textId="77777777" w:rsidR="001C5E38" w:rsidRPr="00D32828" w:rsidRDefault="00000000" w:rsidP="00D32828">
      <w:pPr>
        <w:pStyle w:val="BodyText"/>
        <w:jc w:val="both"/>
        <w:rPr>
          <w:rFonts w:cs="Times New Roman"/>
          <w:lang w:val="da-DK"/>
        </w:rPr>
      </w:pPr>
      <w:r w:rsidRPr="00D32828">
        <w:rPr>
          <w:rFonts w:cs="Times New Roman"/>
          <w:b/>
          <w:bCs/>
          <w:lang w:val="da-DK"/>
        </w:rPr>
        <w:t>Kelima, kerendahan hati metodologis.</w:t>
      </w:r>
      <w:r w:rsidRPr="00D32828">
        <w:rPr>
          <w:rFonts w:cs="Times New Roman"/>
          <w:lang w:val="da-DK"/>
        </w:rPr>
        <w:t xml:space="preserve"> Penulis tidak menyembunyikan keterbatasan ukuran CSR yang berbasis laporan diri (</w:t>
      </w:r>
      <w:r w:rsidRPr="00D32828">
        <w:rPr>
          <w:rFonts w:cs="Times New Roman"/>
          <w:i/>
          <w:iCs/>
          <w:lang w:val="da-DK"/>
        </w:rPr>
        <w:t>self-report</w:t>
      </w:r>
      <w:r w:rsidRPr="00D32828">
        <w:rPr>
          <w:rFonts w:cs="Times New Roman"/>
          <w:lang w:val="da-DK"/>
        </w:rPr>
        <w:t>), dan secara eksplisit mendiskusikan implikasi keterbatasan ini pada interpretasi hasil.</w:t>
      </w:r>
    </w:p>
    <w:p w14:paraId="3DB053D7" w14:textId="77777777" w:rsidR="001C5E38" w:rsidRPr="00D32828" w:rsidRDefault="00000000" w:rsidP="00D32828">
      <w:pPr>
        <w:pStyle w:val="Heading2"/>
        <w:jc w:val="both"/>
        <w:rPr>
          <w:rFonts w:ascii="Times New Roman" w:hAnsi="Times New Roman" w:cs="Times New Roman"/>
          <w:lang w:val="fi-FI"/>
        </w:rPr>
      </w:pPr>
      <w:bookmarkStart w:id="6" w:name="keterbatasan-dan-kelemahan"/>
      <w:bookmarkEnd w:id="5"/>
      <w:r w:rsidRPr="00D32828">
        <w:rPr>
          <w:rFonts w:ascii="Times New Roman" w:hAnsi="Times New Roman" w:cs="Times New Roman"/>
          <w:lang w:val="fi-FI"/>
        </w:rPr>
        <w:t>6. Keterbatasan dan Kelemahan</w:t>
      </w:r>
    </w:p>
    <w:p w14:paraId="308D2B75" w14:textId="77777777" w:rsidR="001C5E38" w:rsidRPr="00D32828" w:rsidRDefault="00000000" w:rsidP="00D32828">
      <w:pPr>
        <w:jc w:val="both"/>
        <w:rPr>
          <w:rFonts w:cs="Times New Roman"/>
          <w:lang w:val="fi-FI"/>
        </w:rPr>
      </w:pPr>
      <w:r w:rsidRPr="00D32828">
        <w:rPr>
          <w:rFonts w:cs="Times New Roman"/>
          <w:b/>
          <w:bCs/>
          <w:lang w:val="fi-FI"/>
        </w:rPr>
        <w:t>Pertama, ketergantungan pada data laporan diri.</w:t>
      </w:r>
      <w:r w:rsidRPr="00D32828">
        <w:rPr>
          <w:rFonts w:cs="Times New Roman"/>
          <w:lang w:val="fi-FI"/>
        </w:rPr>
        <w:t xml:space="preserve"> Sebagaimana diakui penulis sendiri, indikator CSR berasal dari survei perusahaan, sehingga rentan terhadap </w:t>
      </w:r>
      <w:r w:rsidRPr="00D32828">
        <w:rPr>
          <w:rFonts w:cs="Times New Roman"/>
          <w:i/>
          <w:iCs/>
          <w:lang w:val="fi-FI"/>
        </w:rPr>
        <w:t>social desirability bias</w:t>
      </w:r>
      <w:r w:rsidRPr="00D32828">
        <w:rPr>
          <w:rFonts w:cs="Times New Roman"/>
          <w:lang w:val="fi-FI"/>
        </w:rPr>
        <w:t xml:space="preserve">. Sebuah perusahaan yang memiliki kebijakan CSR tertulis belum tentu mengeksekusinya dalam praktik. Hal ini menyiratkan bahwa estimasi dampak CSR yang ditemukan kemungkinan adalah estimasi </w:t>
      </w:r>
      <w:r w:rsidRPr="00D32828">
        <w:rPr>
          <w:rFonts w:cs="Times New Roman"/>
          <w:i/>
          <w:iCs/>
          <w:lang w:val="fi-FI"/>
        </w:rPr>
        <w:t>upper bound</w:t>
      </w:r>
      <w:r w:rsidRPr="00D32828">
        <w:rPr>
          <w:rFonts w:cs="Times New Roman"/>
          <w:lang w:val="fi-FI"/>
        </w:rPr>
        <w:t xml:space="preserve"> dari dampak sesungguhnya.</w:t>
      </w:r>
    </w:p>
    <w:p w14:paraId="32C904DE" w14:textId="77777777" w:rsidR="001C5E38" w:rsidRPr="00D32828" w:rsidRDefault="00000000" w:rsidP="00D32828">
      <w:pPr>
        <w:pStyle w:val="BodyText"/>
        <w:jc w:val="both"/>
        <w:rPr>
          <w:rFonts w:cs="Times New Roman"/>
          <w:lang w:val="fi-FI"/>
        </w:rPr>
      </w:pPr>
      <w:r w:rsidRPr="00D32828">
        <w:rPr>
          <w:rFonts w:cs="Times New Roman"/>
          <w:b/>
          <w:bCs/>
          <w:lang w:val="fi-FI"/>
        </w:rPr>
        <w:t>Kedua, ukuran HHI yang berbasis pendapatan.</w:t>
      </w:r>
      <w:r w:rsidRPr="00D32828">
        <w:rPr>
          <w:rFonts w:cs="Times New Roman"/>
          <w:lang w:val="fi-FI"/>
        </w:rPr>
        <w:t xml:space="preserve"> HHI dihitung dari pangsa pendapatan perusahaan dalam industri-provinsi. Pada industri di mana pelanggan akhir dapat berbelanja lintas provinsi (misalnya elektronik konsumen), ukuran ini dapat menyesatkan. Penulis melakukan uji robustness dengan HHI nasional, namun isu konseptual mengenai apa yang sebenarnya didefinisikan sebagai “pasar yang relevan” tidak terpecahkan sepenuhnya.</w:t>
      </w:r>
    </w:p>
    <w:p w14:paraId="64CC788F" w14:textId="77777777" w:rsidR="001C5E38" w:rsidRPr="00D32828" w:rsidRDefault="00000000" w:rsidP="00D32828">
      <w:pPr>
        <w:pStyle w:val="BodyText"/>
        <w:jc w:val="both"/>
        <w:rPr>
          <w:rFonts w:cs="Times New Roman"/>
          <w:lang w:val="pt-BR"/>
        </w:rPr>
      </w:pPr>
      <w:r w:rsidRPr="00D32828">
        <w:rPr>
          <w:rFonts w:cs="Times New Roman"/>
          <w:b/>
          <w:bCs/>
          <w:lang w:val="pt-BR"/>
        </w:rPr>
        <w:t>Ketiga, periode observasi yang terbatas.</w:t>
      </w:r>
      <w:r w:rsidRPr="00D32828">
        <w:rPr>
          <w:rFonts w:cs="Times New Roman"/>
          <w:lang w:val="pt-BR"/>
        </w:rPr>
        <w:t xml:space="preserve"> Empat tahun observasi (2011 hingga 2014) cukup pendek untuk mendeteksi dampak CSR yang bersifat jangka panjang seperti pembangunan reputasi merek dan loyalitas konsumen multi-generasi. Dampak yang ditemukan kemungkinan adalah dampak jangka pendek, sehingga ekstrapolasi ke perilaku jangka panjang perlu dilakukan dengan hati-hati.</w:t>
      </w:r>
    </w:p>
    <w:p w14:paraId="133A03D5" w14:textId="77777777" w:rsidR="001C5E38" w:rsidRPr="00D32828" w:rsidRDefault="00000000" w:rsidP="00D32828">
      <w:pPr>
        <w:pStyle w:val="BodyText"/>
        <w:jc w:val="both"/>
        <w:rPr>
          <w:rFonts w:cs="Times New Roman"/>
          <w:lang w:val="fi-FI"/>
        </w:rPr>
      </w:pPr>
      <w:r w:rsidRPr="00D32828">
        <w:rPr>
          <w:rFonts w:cs="Times New Roman"/>
          <w:b/>
          <w:bCs/>
          <w:lang w:val="fi-FI"/>
        </w:rPr>
        <w:t>Keempat, ketiadaan diskusi tentang tata kelola.</w:t>
      </w:r>
      <w:r w:rsidRPr="00D32828">
        <w:rPr>
          <w:rFonts w:cs="Times New Roman"/>
          <w:lang w:val="fi-FI"/>
        </w:rPr>
        <w:t xml:space="preserve"> Studi ini fokus pada hubungan antara CSR dengan produktivitas, namun nyaris tidak menyentuh peran struktur tata kelola perusahaan dalam memediasi hubungan tersebut. Padahal, dalam konteks Vietnam yang masih mempertahankan kepemilikan negara yang signifikan, perbedaan antara CSR di perusahaan negara, perusahaan asing, dan perusahaan domestik swasta kemungkinan dimediasi secara substansial oleh struktur tata kelola.</w:t>
      </w:r>
    </w:p>
    <w:p w14:paraId="33B1BBDA" w14:textId="77777777" w:rsidR="001C5E38" w:rsidRPr="00D32828" w:rsidRDefault="00000000" w:rsidP="00D32828">
      <w:pPr>
        <w:pStyle w:val="BodyText"/>
        <w:jc w:val="both"/>
        <w:rPr>
          <w:rFonts w:cs="Times New Roman"/>
          <w:lang w:val="pt-BR"/>
        </w:rPr>
      </w:pPr>
      <w:r w:rsidRPr="00D32828">
        <w:rPr>
          <w:rFonts w:cs="Times New Roman"/>
          <w:b/>
          <w:bCs/>
          <w:lang w:val="pt-BR"/>
        </w:rPr>
        <w:lastRenderedPageBreak/>
        <w:t>Kelima, generalisasi lintas-negara yang belum diuji.</w:t>
      </w:r>
      <w:r w:rsidRPr="00D32828">
        <w:rPr>
          <w:rFonts w:cs="Times New Roman"/>
          <w:lang w:val="pt-BR"/>
        </w:rPr>
        <w:t xml:space="preserve"> Hasil yang ditemukan di Vietnam belum tentu berlaku di Indonesia, India, atau Brasil yang memiliki struktur kelembagaan yang berbeda. Penulis tidak mengeksplorasi sejauh mana temuannya bersifat </w:t>
      </w:r>
      <w:r w:rsidRPr="00D32828">
        <w:rPr>
          <w:rFonts w:cs="Times New Roman"/>
          <w:i/>
          <w:iCs/>
          <w:lang w:val="pt-BR"/>
        </w:rPr>
        <w:t>context-specific</w:t>
      </w:r>
      <w:r w:rsidRPr="00D32828">
        <w:rPr>
          <w:rFonts w:cs="Times New Roman"/>
          <w:lang w:val="pt-BR"/>
        </w:rPr>
        <w:t xml:space="preserve"> atau </w:t>
      </w:r>
      <w:r w:rsidRPr="00D32828">
        <w:rPr>
          <w:rFonts w:cs="Times New Roman"/>
          <w:i/>
          <w:iCs/>
          <w:lang w:val="pt-BR"/>
        </w:rPr>
        <w:t>generalizable</w:t>
      </w:r>
      <w:r w:rsidRPr="00D32828">
        <w:rPr>
          <w:rFonts w:cs="Times New Roman"/>
          <w:lang w:val="pt-BR"/>
        </w:rPr>
        <w:t>.</w:t>
      </w:r>
    </w:p>
    <w:p w14:paraId="448059E2" w14:textId="77777777" w:rsidR="001C5E38" w:rsidRPr="00D32828" w:rsidRDefault="00000000" w:rsidP="00D32828">
      <w:pPr>
        <w:pStyle w:val="Heading2"/>
        <w:jc w:val="both"/>
        <w:rPr>
          <w:rFonts w:ascii="Times New Roman" w:hAnsi="Times New Roman" w:cs="Times New Roman"/>
          <w:lang w:val="pt-BR"/>
        </w:rPr>
      </w:pPr>
      <w:bookmarkStart w:id="7" w:name="evaluasi-kritis"/>
      <w:bookmarkEnd w:id="6"/>
      <w:r w:rsidRPr="00D32828">
        <w:rPr>
          <w:rFonts w:ascii="Times New Roman" w:hAnsi="Times New Roman" w:cs="Times New Roman"/>
          <w:lang w:val="pt-BR"/>
        </w:rPr>
        <w:t>7. Evaluasi Kritis</w:t>
      </w:r>
    </w:p>
    <w:p w14:paraId="0B051C14" w14:textId="77777777" w:rsidR="001C5E38" w:rsidRPr="00D32828" w:rsidRDefault="00000000" w:rsidP="00D32828">
      <w:pPr>
        <w:jc w:val="both"/>
        <w:rPr>
          <w:rFonts w:cs="Times New Roman"/>
          <w:lang w:val="pt-BR"/>
        </w:rPr>
      </w:pPr>
      <w:r w:rsidRPr="00D32828">
        <w:rPr>
          <w:rFonts w:cs="Times New Roman"/>
          <w:lang w:val="pt-BR"/>
        </w:rPr>
        <w:t>Newman et al. (2020) adalah studi yang patut dijadikan referensi serius dalam diskusi tentang CSR strategis. Kontribusinya yang paling bernas adalah temuan bahwa dampak CSR didorong sebagian besar oleh inisiatif berbasis komunitas, bukan oleh dokumen kebijakan dan sertifikasi. Implikasi temuan ini cukup mengganggu bagi industri konsultansi CSR yang selama ini menekankan pentingnya pembangunan infrastruktur kebijakan formal. Jika temuan Newman et al. dapat digeneralisasi, maka prioritas anggaran CSR perusahaan perlu digeser secara substansial dari pengembangan dokumen ke aksi langsung di komunitas.</w:t>
      </w:r>
    </w:p>
    <w:p w14:paraId="5E12F119" w14:textId="77777777" w:rsidR="001C5E38" w:rsidRPr="00D32828" w:rsidRDefault="00000000" w:rsidP="00D32828">
      <w:pPr>
        <w:pStyle w:val="BodyText"/>
        <w:jc w:val="both"/>
        <w:rPr>
          <w:rFonts w:cs="Times New Roman"/>
          <w:lang w:val="pt-BR"/>
        </w:rPr>
      </w:pPr>
      <w:r w:rsidRPr="00D32828">
        <w:rPr>
          <w:rFonts w:cs="Times New Roman"/>
          <w:lang w:val="pt-BR"/>
        </w:rPr>
        <w:t>Namun, terdapat beberapa pertanyaan yang patut diajukan secara kritis. Pertama, apakah temuan bahwa dampak CSR lebih kuat di industri terkonsentrasi sungguh merefleksikan disiplin alternatif terhadap manajemen, sebagaimana diargumentasikan Bénabou dan Tirole (2010)? Atau, ia merefleksikan kemampuan bertahan perusahaan besar di industri terkonsentrasi untuk menyerap biaya CSR tanpa kehilangan profitabilitas? Kedua interpretasi ini menghasilkan implikasi kebijakan yang sangat berbeda.</w:t>
      </w:r>
    </w:p>
    <w:p w14:paraId="17B83103" w14:textId="77777777" w:rsidR="001C5E38" w:rsidRPr="00D32828" w:rsidRDefault="00000000" w:rsidP="00D32828">
      <w:pPr>
        <w:pStyle w:val="BodyText"/>
        <w:jc w:val="both"/>
        <w:rPr>
          <w:rFonts w:cs="Times New Roman"/>
          <w:lang w:val="pt-BR"/>
        </w:rPr>
      </w:pPr>
      <w:r w:rsidRPr="00D32828">
        <w:rPr>
          <w:rFonts w:cs="Times New Roman"/>
          <w:lang w:val="pt-BR"/>
        </w:rPr>
        <w:t xml:space="preserve">Kedua, mekanisme reciprocity yang dideteksi melalui penurunan </w:t>
      </w:r>
      <w:r w:rsidRPr="00D32828">
        <w:rPr>
          <w:rFonts w:cs="Times New Roman"/>
          <w:i/>
          <w:iCs/>
          <w:lang w:val="pt-BR"/>
        </w:rPr>
        <w:t>wage share</w:t>
      </w:r>
      <w:r w:rsidRPr="00D32828">
        <w:rPr>
          <w:rFonts w:cs="Times New Roman"/>
          <w:lang w:val="pt-BR"/>
        </w:rPr>
        <w:t xml:space="preserve"> layak dipertanyakan dari sisi etika. Jika CSR pada akhirnya dibiayai sebagian oleh karyawan yang menerima kompensasi lebih rendah, apakah ia masih bisa disebut sebagai </w:t>
      </w:r>
      <w:r w:rsidRPr="00D32828">
        <w:rPr>
          <w:rFonts w:cs="Times New Roman"/>
          <w:i/>
          <w:iCs/>
          <w:lang w:val="pt-BR"/>
        </w:rPr>
        <w:t>strategic CSR</w:t>
      </w:r>
      <w:r w:rsidRPr="00D32828">
        <w:rPr>
          <w:rFonts w:cs="Times New Roman"/>
          <w:lang w:val="pt-BR"/>
        </w:rPr>
        <w:t xml:space="preserve"> yang menambah nilai bagi semua pemangku kepentingan, atau ia adalah bentuk pemindahan biaya dari pemegang saham ke karyawan? Studi ini tidak membahas implikasi normatif ini secara memadai.</w:t>
      </w:r>
    </w:p>
    <w:p w14:paraId="103D0D45" w14:textId="77777777" w:rsidR="001C5E38" w:rsidRPr="00D32828" w:rsidRDefault="00000000" w:rsidP="00D32828">
      <w:pPr>
        <w:pStyle w:val="BodyText"/>
        <w:jc w:val="both"/>
        <w:rPr>
          <w:rFonts w:cs="Times New Roman"/>
          <w:lang w:val="fi-FI"/>
        </w:rPr>
      </w:pPr>
      <w:r w:rsidRPr="00D32828">
        <w:rPr>
          <w:rFonts w:cs="Times New Roman"/>
          <w:lang w:val="pt-BR"/>
        </w:rPr>
        <w:t>Ketiga, kontradiksi dengan studi Margolis et al. </w:t>
      </w:r>
      <w:r w:rsidRPr="00D32828">
        <w:rPr>
          <w:rFonts w:cs="Times New Roman"/>
          <w:lang w:val="fi-FI"/>
        </w:rPr>
        <w:t>(2009) tentang ketiadaan hubungan sistematis antara CSR dan kinerja perusahaan tidak dijelaskan secara memuaskan. Apakah perbedaan ini berasal dari konteks Vietnam yang khas, dari cara mengukur CSR yang lebih granular, atau dari spesifikasi ekonometrik yang lebih baik? Penulis lebih banyak mengklaim kontribusi dibanding mendiskusikan mengapa hasilnya menyimpang dari konsensus literatur sebelumnya.</w:t>
      </w:r>
    </w:p>
    <w:p w14:paraId="1132C6FE" w14:textId="77777777" w:rsidR="001C5E38" w:rsidRPr="00D32828" w:rsidRDefault="00000000" w:rsidP="00D32828">
      <w:pPr>
        <w:pStyle w:val="BodyText"/>
        <w:jc w:val="both"/>
        <w:rPr>
          <w:rFonts w:cs="Times New Roman"/>
          <w:lang w:val="fi-FI"/>
        </w:rPr>
      </w:pPr>
      <w:r w:rsidRPr="00D32828">
        <w:rPr>
          <w:rFonts w:cs="Times New Roman"/>
          <w:lang w:val="fi-FI"/>
        </w:rPr>
        <w:t xml:space="preserve">Terlepas dari pertanyaan-pertanyaan ini, studi Newman et al. tetap merupakan kontribusi yang kuat dan berhati-hati. Ia layak dibaca tidak sebagai “kata akhir” mengenai </w:t>
      </w:r>
      <w:r w:rsidRPr="00D32828">
        <w:rPr>
          <w:rFonts w:cs="Times New Roman"/>
          <w:lang w:val="fi-FI"/>
        </w:rPr>
        <w:lastRenderedPageBreak/>
        <w:t>hubungan CSR dengan kinerja, melainkan sebagai panduan yang serius bagi penelitian dan pertimbangan strategis di pasar berkembang.</w:t>
      </w:r>
    </w:p>
    <w:p w14:paraId="6408B738" w14:textId="77777777" w:rsidR="001C5E38" w:rsidRPr="00D32828" w:rsidRDefault="00000000" w:rsidP="00D32828">
      <w:pPr>
        <w:pStyle w:val="Heading2"/>
        <w:jc w:val="both"/>
        <w:rPr>
          <w:rFonts w:ascii="Times New Roman" w:hAnsi="Times New Roman" w:cs="Times New Roman"/>
          <w:lang w:val="fi-FI"/>
        </w:rPr>
      </w:pPr>
      <w:bookmarkStart w:id="8" w:name="X08ce25e3f5d53481848f16121df5d913eaf4e5d"/>
      <w:bookmarkEnd w:id="7"/>
      <w:r w:rsidRPr="00D32828">
        <w:rPr>
          <w:rFonts w:ascii="Times New Roman" w:hAnsi="Times New Roman" w:cs="Times New Roman"/>
          <w:lang w:val="fi-FI"/>
        </w:rPr>
        <w:t>8. Implikasi bagi Pemahaman Manajemen Strategik</w:t>
      </w:r>
    </w:p>
    <w:p w14:paraId="3D69BAFB" w14:textId="77777777" w:rsidR="001C5E38" w:rsidRPr="00D32828" w:rsidRDefault="00000000" w:rsidP="00D32828">
      <w:pPr>
        <w:jc w:val="both"/>
        <w:rPr>
          <w:rFonts w:cs="Times New Roman"/>
          <w:lang w:val="da-DK"/>
        </w:rPr>
      </w:pPr>
      <w:r w:rsidRPr="00D32828">
        <w:rPr>
          <w:rFonts w:cs="Times New Roman"/>
          <w:b/>
          <w:bCs/>
          <w:lang w:val="fi-FI"/>
        </w:rPr>
        <w:t>Pertama</w:t>
      </w:r>
      <w:r w:rsidRPr="00D32828">
        <w:rPr>
          <w:rFonts w:cs="Times New Roman"/>
          <w:lang w:val="fi-FI"/>
        </w:rPr>
        <w:t xml:space="preserve">, CSR tidak boleh diperlakukan sebagai aktivitas filantropi terpisah dari strategi inti. </w:t>
      </w:r>
      <w:r w:rsidRPr="00D32828">
        <w:rPr>
          <w:rFonts w:cs="Times New Roman"/>
          <w:lang w:val="da-DK"/>
        </w:rPr>
        <w:t>Hasil Newman et al. menyiratkan bahwa CSR adalah variabel strategis yang berinteraksi dengan struktur industri dan kontur pasar tenaga kerja. Manajer yang ingin memanfaatkan CSR sebagai sumber keunggulan kompetitif perlu menempatkannya sebagai bagian dari strategi tingkat bisnis, bukan sebagai bab terpisah dalam laporan keberlanjutan.</w:t>
      </w:r>
    </w:p>
    <w:p w14:paraId="1C370EA5" w14:textId="77777777" w:rsidR="001C5E38" w:rsidRPr="00D32828" w:rsidRDefault="00000000" w:rsidP="00D32828">
      <w:pPr>
        <w:pStyle w:val="BodyText"/>
        <w:jc w:val="both"/>
        <w:rPr>
          <w:rFonts w:cs="Times New Roman"/>
          <w:lang w:val="da-DK"/>
        </w:rPr>
      </w:pPr>
      <w:r w:rsidRPr="00D32828">
        <w:rPr>
          <w:rFonts w:cs="Times New Roman"/>
          <w:b/>
          <w:bCs/>
          <w:lang w:val="da-DK"/>
        </w:rPr>
        <w:t>Kedua</w:t>
      </w:r>
      <w:r w:rsidRPr="00D32828">
        <w:rPr>
          <w:rFonts w:cs="Times New Roman"/>
          <w:lang w:val="da-DK"/>
        </w:rPr>
        <w:t xml:space="preserve">, prioritas CSR perlu mempertimbangkan konteks industri. Di industri yang sangat kompetitif, ruang tambahan dari CSR untuk meningkatkan efisiensi cenderung sempit, sehingga investasi CSR sebaiknya difokuskan pada dimensi yang paling memengaruhi </w:t>
      </w:r>
      <w:r w:rsidRPr="00D32828">
        <w:rPr>
          <w:rFonts w:cs="Times New Roman"/>
          <w:i/>
          <w:iCs/>
          <w:lang w:val="da-DK"/>
        </w:rPr>
        <w:t>brand</w:t>
      </w:r>
      <w:r w:rsidRPr="00D32828">
        <w:rPr>
          <w:rFonts w:cs="Times New Roman"/>
          <w:lang w:val="da-DK"/>
        </w:rPr>
        <w:t xml:space="preserve"> dan loyalitas pelanggan. Sebaliknya, di industri terkonsentrasi, CSR berbasis komunitas dapat menjadi alternatif disiplin terhadap manajemen yang menghasilkan kenaikan produktivitas yang nyata.</w:t>
      </w:r>
    </w:p>
    <w:p w14:paraId="07399328" w14:textId="77777777" w:rsidR="001C5E38" w:rsidRPr="00D32828" w:rsidRDefault="00000000" w:rsidP="00D32828">
      <w:pPr>
        <w:pStyle w:val="BodyText"/>
        <w:jc w:val="both"/>
        <w:rPr>
          <w:rFonts w:cs="Times New Roman"/>
          <w:lang w:val="da-DK"/>
        </w:rPr>
      </w:pPr>
      <w:r w:rsidRPr="00D32828">
        <w:rPr>
          <w:rFonts w:cs="Times New Roman"/>
          <w:b/>
          <w:bCs/>
          <w:lang w:val="da-DK"/>
        </w:rPr>
        <w:t>Ketiga</w:t>
      </w:r>
      <w:r w:rsidRPr="00D32828">
        <w:rPr>
          <w:rFonts w:cs="Times New Roman"/>
          <w:lang w:val="da-DK"/>
        </w:rPr>
        <w:t>, bagi profesi akuntansi dan audit, temuan ini berimplikasi pada cara membaca laporan keberlanjutan. Penekanan yang berat pada dokumen kebijakan dan sertifikasi belum tentu merefleksikan dampak nyata. Penilaian yang lebih bermutu adalah penilaian yang menyentuh aksi konkret di lapangan dan jejak interaksi perusahaan dengan komunitas lokal.</w:t>
      </w:r>
    </w:p>
    <w:p w14:paraId="46CF1662" w14:textId="77777777" w:rsidR="001C5E38" w:rsidRPr="00D32828" w:rsidRDefault="00000000" w:rsidP="00D32828">
      <w:pPr>
        <w:pStyle w:val="BodyText"/>
        <w:jc w:val="both"/>
        <w:rPr>
          <w:rFonts w:cs="Times New Roman"/>
          <w:lang w:val="da-DK"/>
        </w:rPr>
      </w:pPr>
      <w:r w:rsidRPr="00D32828">
        <w:rPr>
          <w:rFonts w:cs="Times New Roman"/>
          <w:b/>
          <w:bCs/>
          <w:lang w:val="da-DK"/>
        </w:rPr>
        <w:t>Keempat</w:t>
      </w:r>
      <w:r w:rsidRPr="00D32828">
        <w:rPr>
          <w:rFonts w:cs="Times New Roman"/>
          <w:lang w:val="da-DK"/>
        </w:rPr>
        <w:t xml:space="preserve">, dalam konteks Indonesia, temuan ini sangat relevan bagi BUMN dan perusahaan tambang yang memiliki Program Kemitraan dan Bina Lingkungan, serta program </w:t>
      </w:r>
      <w:r w:rsidRPr="00D32828">
        <w:rPr>
          <w:rFonts w:cs="Times New Roman"/>
          <w:i/>
          <w:iCs/>
          <w:lang w:val="da-DK"/>
        </w:rPr>
        <w:t>Forest and Land Rehabilitation</w:t>
      </w:r>
      <w:r w:rsidRPr="00D32828">
        <w:rPr>
          <w:rFonts w:cs="Times New Roman"/>
          <w:lang w:val="da-DK"/>
        </w:rPr>
        <w:t xml:space="preserve"> yang sering kali bersifat kewajiban regulatif. Implikasinya adalah bahwa program semacam itu, jika dijalankan dengan kedalaman komunitas yang sungguh-sungguh, berpotensi menjadi sumber produktivitas, bukan sekadar pemenuhan kewajiban.</w:t>
      </w:r>
    </w:p>
    <w:p w14:paraId="119A97EE" w14:textId="77777777" w:rsidR="001C5E38" w:rsidRPr="00D32828" w:rsidRDefault="00000000" w:rsidP="00D32828">
      <w:pPr>
        <w:pStyle w:val="Heading2"/>
        <w:jc w:val="both"/>
        <w:rPr>
          <w:rFonts w:ascii="Times New Roman" w:hAnsi="Times New Roman" w:cs="Times New Roman"/>
          <w:lang w:val="da-DK"/>
        </w:rPr>
      </w:pPr>
      <w:bookmarkStart w:id="9" w:name="X9715f5477454b0f18f77c34a9fa9ac7a18408da"/>
      <w:bookmarkEnd w:id="8"/>
      <w:r w:rsidRPr="00D32828">
        <w:rPr>
          <w:rFonts w:ascii="Times New Roman" w:hAnsi="Times New Roman" w:cs="Times New Roman"/>
          <w:lang w:val="da-DK"/>
        </w:rPr>
        <w:t>9. Isu untuk Didebatkan dan Didiskusikan Lebih Lanjut</w:t>
      </w:r>
    </w:p>
    <w:p w14:paraId="72C32F45" w14:textId="77777777" w:rsidR="001C5E38" w:rsidRPr="00D32828" w:rsidRDefault="00000000" w:rsidP="00D32828">
      <w:pPr>
        <w:jc w:val="both"/>
        <w:rPr>
          <w:rFonts w:cs="Times New Roman"/>
          <w:lang w:val="da-DK"/>
        </w:rPr>
      </w:pPr>
      <w:r w:rsidRPr="00D32828">
        <w:rPr>
          <w:rFonts w:cs="Times New Roman"/>
          <w:b/>
          <w:bCs/>
          <w:lang w:val="da-DK"/>
        </w:rPr>
        <w:t>Pertama</w:t>
      </w:r>
      <w:r w:rsidRPr="00D32828">
        <w:rPr>
          <w:rFonts w:cs="Times New Roman"/>
          <w:lang w:val="da-DK"/>
        </w:rPr>
        <w:t xml:space="preserve">, apakah keunggulan CSR berbasis komunitas dapat dipertahankan di industri yang sedang mengalami konsolidasi cepat melalui akuisisi dan penetrasi pemain global? Dalam industri seperti ritel modern Indonesia, yang sedang mengalami tekanan dari </w:t>
      </w:r>
      <w:r w:rsidRPr="00D32828">
        <w:rPr>
          <w:rFonts w:cs="Times New Roman"/>
          <w:i/>
          <w:iCs/>
          <w:lang w:val="da-DK"/>
        </w:rPr>
        <w:t>e-commerce</w:t>
      </w:r>
      <w:r w:rsidRPr="00D32828">
        <w:rPr>
          <w:rFonts w:cs="Times New Roman"/>
          <w:lang w:val="da-DK"/>
        </w:rPr>
        <w:t xml:space="preserve"> dan konsolidasi </w:t>
      </w:r>
      <w:r w:rsidRPr="00D32828">
        <w:rPr>
          <w:rFonts w:cs="Times New Roman"/>
          <w:i/>
          <w:iCs/>
          <w:lang w:val="da-DK"/>
        </w:rPr>
        <w:t>minimarket</w:t>
      </w:r>
      <w:r w:rsidRPr="00D32828">
        <w:rPr>
          <w:rFonts w:cs="Times New Roman"/>
          <w:lang w:val="da-DK"/>
        </w:rPr>
        <w:t>, apakah CSR berbasis komunitas masih relevan atau sudah tertelan oleh dinamika kompetisi yang lebih dahsyat?</w:t>
      </w:r>
    </w:p>
    <w:p w14:paraId="44F9518B" w14:textId="77777777" w:rsidR="001C5E38" w:rsidRPr="00D32828" w:rsidRDefault="00000000" w:rsidP="00D32828">
      <w:pPr>
        <w:pStyle w:val="BodyText"/>
        <w:jc w:val="both"/>
        <w:rPr>
          <w:rFonts w:cs="Times New Roman"/>
          <w:lang w:val="da-DK"/>
        </w:rPr>
      </w:pPr>
      <w:r w:rsidRPr="00D32828">
        <w:rPr>
          <w:rFonts w:cs="Times New Roman"/>
          <w:b/>
          <w:bCs/>
          <w:lang w:val="da-DK"/>
        </w:rPr>
        <w:t>Kedua</w:t>
      </w:r>
      <w:r w:rsidRPr="00D32828">
        <w:rPr>
          <w:rFonts w:cs="Times New Roman"/>
          <w:lang w:val="da-DK"/>
        </w:rPr>
        <w:t xml:space="preserve">, apakah temuan bahwa CSR sebagian dibiayai oleh penurunan kompensasi karyawan kompatibel dengan visi </w:t>
      </w:r>
      <w:r w:rsidRPr="00D32828">
        <w:rPr>
          <w:rFonts w:cs="Times New Roman"/>
          <w:i/>
          <w:iCs/>
          <w:lang w:val="da-DK"/>
        </w:rPr>
        <w:t>stakeholder capitalism</w:t>
      </w:r>
      <w:r w:rsidRPr="00D32828">
        <w:rPr>
          <w:rFonts w:cs="Times New Roman"/>
          <w:lang w:val="da-DK"/>
        </w:rPr>
        <w:t xml:space="preserve"> yang sedang dipromosikan secara </w:t>
      </w:r>
      <w:r w:rsidRPr="00D32828">
        <w:rPr>
          <w:rFonts w:cs="Times New Roman"/>
          <w:lang w:val="da-DK"/>
        </w:rPr>
        <w:lastRenderedPageBreak/>
        <w:t>global? Atau, ia justru mengungkap bahwa CSR pada praktiknya adalah bentuk eksternalisasi biaya yang elegan?</w:t>
      </w:r>
    </w:p>
    <w:p w14:paraId="2BBA157E" w14:textId="77777777" w:rsidR="001C5E38" w:rsidRPr="00D32828" w:rsidRDefault="00000000" w:rsidP="00D32828">
      <w:pPr>
        <w:pStyle w:val="BodyText"/>
        <w:jc w:val="both"/>
        <w:rPr>
          <w:rFonts w:cs="Times New Roman"/>
          <w:lang w:val="da-DK"/>
        </w:rPr>
      </w:pPr>
      <w:r w:rsidRPr="00D32828">
        <w:rPr>
          <w:rFonts w:cs="Times New Roman"/>
          <w:b/>
          <w:bCs/>
          <w:lang w:val="da-DK"/>
        </w:rPr>
        <w:t>Ketiga</w:t>
      </w:r>
      <w:r w:rsidRPr="00D32828">
        <w:rPr>
          <w:rFonts w:cs="Times New Roman"/>
          <w:lang w:val="da-DK"/>
        </w:rPr>
        <w:t>, bagaimana validitas temuan ini dalam konteks industri jasa, terutama jasa keuangan dan teknologi, di mana hubungan dengan komunitas lokal jauh lebih abstrak dibandingkan industri manufaktur? Studi Newman et al. terbatas pada manufaktur, dan generalisasi ke sektor jasa membutuhkan penelitian lebih lanjut.</w:t>
      </w:r>
    </w:p>
    <w:p w14:paraId="1CD74E01" w14:textId="77777777" w:rsidR="001C5E38" w:rsidRPr="00D32828" w:rsidRDefault="00000000" w:rsidP="00D32828">
      <w:pPr>
        <w:pStyle w:val="BodyText"/>
        <w:jc w:val="both"/>
        <w:rPr>
          <w:rFonts w:cs="Times New Roman"/>
          <w:lang w:val="da-DK"/>
        </w:rPr>
      </w:pPr>
      <w:r w:rsidRPr="00D32828">
        <w:rPr>
          <w:rFonts w:cs="Times New Roman"/>
          <w:b/>
          <w:bCs/>
          <w:lang w:val="da-DK"/>
        </w:rPr>
        <w:t>Keempat</w:t>
      </w:r>
      <w:r w:rsidRPr="00D32828">
        <w:rPr>
          <w:rFonts w:cs="Times New Roman"/>
          <w:lang w:val="da-DK"/>
        </w:rPr>
        <w:t xml:space="preserve">, dalam konteks regulasi keberlanjutan yang semakin ketat (POJK, </w:t>
      </w:r>
      <w:r w:rsidRPr="00D32828">
        <w:rPr>
          <w:rFonts w:cs="Times New Roman"/>
          <w:i/>
          <w:iCs/>
          <w:lang w:val="da-DK"/>
        </w:rPr>
        <w:t>Taksonomi Hijau</w:t>
      </w:r>
      <w:r w:rsidRPr="00D32828">
        <w:rPr>
          <w:rFonts w:cs="Times New Roman"/>
          <w:lang w:val="da-DK"/>
        </w:rPr>
        <w:t>, dan Standar Pelaporan Keberlanjutan), apakah keuntungan kompetitif dari CSR akan terkikis ketika ia menjadi standar industri yang diwajibkan, atau justru menguat karena perusahaan yang lebih dini berinvestasi memiliki kapabilitas yang sulit ditiru?</w:t>
      </w:r>
      <w:bookmarkEnd w:id="0"/>
      <w:bookmarkEnd w:id="9"/>
    </w:p>
    <w:sectPr w:rsidR="001C5E38" w:rsidRPr="00D32828"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45203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26709146">
    <w:abstractNumId w:val="8"/>
  </w:num>
  <w:num w:numId="2" w16cid:durableId="1084256281">
    <w:abstractNumId w:val="6"/>
  </w:num>
  <w:num w:numId="3" w16cid:durableId="639964885">
    <w:abstractNumId w:val="5"/>
  </w:num>
  <w:num w:numId="4" w16cid:durableId="1257909200">
    <w:abstractNumId w:val="4"/>
  </w:num>
  <w:num w:numId="5" w16cid:durableId="1299990105">
    <w:abstractNumId w:val="7"/>
  </w:num>
  <w:num w:numId="6" w16cid:durableId="1837919744">
    <w:abstractNumId w:val="3"/>
  </w:num>
  <w:num w:numId="7" w16cid:durableId="2095469454">
    <w:abstractNumId w:val="2"/>
  </w:num>
  <w:num w:numId="8" w16cid:durableId="1389650125">
    <w:abstractNumId w:val="1"/>
  </w:num>
  <w:num w:numId="9" w16cid:durableId="1154688407">
    <w:abstractNumId w:val="0"/>
  </w:num>
  <w:num w:numId="10" w16cid:durableId="8658738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E38"/>
    <w:rsid w:val="0029639D"/>
    <w:rsid w:val="00326F90"/>
    <w:rsid w:val="008241D3"/>
    <w:rsid w:val="009E08A0"/>
    <w:rsid w:val="00AA1D8D"/>
    <w:rsid w:val="00B47730"/>
    <w:rsid w:val="00CB0664"/>
    <w:rsid w:val="00D32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10798"/>
  <w15:docId w15:val="{E2BC390D-0635-4C48-B72A-4BD788074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ind w:firstLine="709"/>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2161</Words>
  <Characters>12322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3</cp:revision>
  <dcterms:created xsi:type="dcterms:W3CDTF">2026-04-18T06:26:00Z</dcterms:created>
  <dcterms:modified xsi:type="dcterms:W3CDTF">2026-04-18T07:24:00Z</dcterms:modified>
</cp:coreProperties>
</file>