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left"/>
      </w:pPr>
      <w:r>
        <w:t>CRITICAL REVIEW — ARTIKEL 7</w:t>
      </w:r>
    </w:p>
    <w:p>
      <w:pPr>
        <w:jc w:val="both"/>
      </w:pPr>
      <w:r>
        <w:t>Mata Kuliah: MST304 — Manajemen Strategik Kontemporer</w:t>
      </w:r>
    </w:p>
    <w:p>
      <w:pPr>
        <w:pStyle w:val="BodyText"/>
        <w:jc w:val="both"/>
      </w:pPr>
      <w:r>
        <w:t>Mahasiswa: Dzaki Muhammad Yusfian</w:t>
      </w:r>
    </w:p>
    <w:p>
      <w:pPr>
        <w:pStyle w:val="BodyText"/>
        <w:jc w:val="both"/>
      </w:pPr>
      <w:r>
        <w:t>NIM: 1125 01079</w:t>
      </w:r>
    </w:p>
    <w:p>
      <w:pPr>
        <w:pStyle w:val="Heading2"/>
        <w:jc w:val="left"/>
      </w:pPr>
      <w:r>
        <w:t>1. Identitas Artikel</w:t>
      </w:r>
    </w:p>
    <w:p>
      <w:pPr>
        <w:jc w:val="both"/>
      </w:pPr>
      <w:r>
        <w:t>Judul: Competitive Strategies and Their Shift to the Future</w:t>
      </w:r>
    </w:p>
    <w:p>
      <w:pPr>
        <w:pStyle w:val="BodyText"/>
        <w:jc w:val="both"/>
      </w:pPr>
      <w:r>
        <w:t>Penulis: Helen E. Salavou (Department of Business Administration, Athens University of Economics and Business, Greece)</w:t>
      </w:r>
    </w:p>
    <w:p>
      <w:pPr>
        <w:pStyle w:val="BodyText"/>
        <w:jc w:val="both"/>
      </w:pPr>
      <w:r>
        <w:t>Publikasi: European Business Review, Vol. 27 No. 1 (2015), hlm. 80–99</w:t>
      </w:r>
    </w:p>
    <w:p>
      <w:pPr>
        <w:pStyle w:val="BodyText"/>
        <w:jc w:val="both"/>
      </w:pPr>
      <w:r>
        <w:t>DOI: 10.1108/EBR-04-2013-0073</w:t>
      </w:r>
    </w:p>
    <w:p>
      <w:pPr>
        <w:pStyle w:val="BodyText"/>
        <w:jc w:val="both"/>
      </w:pPr>
      <w:r>
        <w:t>Tipe Penelitian: Artikel konseptual berbasis tinjauan literatur (general review), dengan dukungan tabulasi 15 studi empiris pasca-2000 atas strategi hybrid</w:t>
      </w:r>
    </w:p>
    <w:p>
      <w:pPr>
        <w:pStyle w:val="BodyText"/>
        <w:jc w:val="both"/>
      </w:pPr>
      <w:r>
        <w:t>Salavou menulis dalam tradisi literatur strategi yang melanjutkan perdebatan empat dekade tentang validitas dan ketahanan kerangka Porter (1980). Artikel ini termasuk kategori theoretical synthesis. Tidak ada data empiris baru yang dipersembahkan; nilainya terletak pada pemetaan ulang argumen yang sudah lama beredar.</w:t>
      </w:r>
    </w:p>
    <w:p>
      <w:pPr>
        <w:pStyle w:val="Heading2"/>
        <w:jc w:val="left"/>
      </w:pPr>
      <w:r>
        <w:t>2. Tujuan Penelitian dan Posisi dalam Literatur</w:t>
      </w:r>
    </w:p>
    <w:p>
      <w:pPr>
        <w:jc w:val="both"/>
      </w:pPr>
      <w:r>
        <w:t>Salavou (2015) menulis artikelnya dengan dua tujuan eksplisit yang ia rumuskan pada abstrak dan pendahuluan. Tujuan pertama adalah memberikan tinjauan komprehensif atas tradisi strategi kompetitif sejak Porter (1980), dengan fokus khusus pada pergeseran konseptual yang muncul setelah meta-analisis Campbell-Hunt (2000). Tujuan kedua adalah mengangkat sebuah isu konseptual yang menurutnya belum cukup dibahas dalam literatur, yaitu bagaimana strategi hybrid harus dipahami secara teoretis, bukan sekadar dicatat secara empiris.</w:t>
      </w:r>
    </w:p>
    <w:p>
      <w:pPr>
        <w:pStyle w:val="BodyText"/>
        <w:jc w:val="both"/>
      </w:pPr>
      <w:r>
        <w:t>Posisi Salavou dalam literatur dapat dilihat sebagai jembatan antara tradisi Porter klasik dan tradisi hybrid strategies yang berkembang sejak akhir 1980-an. Ia tidak menyangkal nilai kerangka Porter. Sebaliknya, ia mempertahankan kerangka itu sebagai titik referensi sambil memperluasnya untuk mengakomodasi temuan empiris yang menunjukkan keterbatasan argumen strategic purity. Salavou (2015, hlm. 80) menulis bahwa "the era in which combining competitive strategies was synonymous with stuck-in-the-middle alternatives has been left behind, and the era in which hybrid strategies suggest the most attractive choices, at least in some circumstances, has already begun." Pernyataan itu mencerminkan posisi yang ia ambil: bukan revolusi paradigmatik, melainkan revisi kerangka untuk mencerminkan realitas empiris yang telah terakumulasi.</w:t>
      </w:r>
    </w:p>
    <w:p>
      <w:pPr>
        <w:pStyle w:val="BodyText"/>
        <w:jc w:val="both"/>
      </w:pPr>
      <w:r>
        <w:t>Konteks intelektual artikel ini juga penting untuk dipertimbangkan. Salavou menulis dari Eropa, di mana literatur strategi cenderung lebih reseptif terhadap pendekatan dimensional (versus taksonomik Porter) dan lebih sering melakukan studi empiris yang multi-sektoral. Pengaruh konteks ini terlihat di Tabel V artikel (Salavou 2015, hlm. 91–94), yang merangkum 15 studi pasca-2000 dengan sebagian besar dilakukan di negara-negara Eropa seperti Spanyol, Yunani, Austria, dan Portugal. Pengaruh konteks geografis ini perlu dibaca dengan kritis: temuan empiris yang dikumpulkan Salavou belum tentu generalisable ke konteks Asia atau Amerika Utara dengan derajat yang sama.</w:t>
      </w:r>
    </w:p>
    <w:p>
      <w:pPr>
        <w:pStyle w:val="Heading2"/>
        <w:jc w:val="left"/>
      </w:pPr>
      <w:r>
        <w:t>3. Argumen Utama: Tiga Pergeseran Konseptual</w:t>
      </w:r>
    </w:p>
    <w:p>
      <w:pPr>
        <w:jc w:val="both"/>
      </w:pPr>
      <w:r>
        <w:t>Argumen sentral Salavou bertumpu pada pemetaan tiga pergeseran konseptual yang menurutnya menstrukturkan evolusi literatur strategi kompetitif sejak 1980. Salavou tidak menyebut ketiganya secara eksplisit dengan label "tiga pergeseran" dalam artikelnya, tetapi struktur argumennya cukup mudah direkonstruksi ke dalam tiga kategori berikut.</w:t>
      </w:r>
    </w:p>
    <w:p>
      <w:pPr>
        <w:pStyle w:val="Heading3"/>
        <w:jc w:val="left"/>
      </w:pPr>
      <w:r>
        <w:t>3.1 Dari Mutually Exclusive ke Hybrid</w:t>
      </w:r>
    </w:p>
    <w:p>
      <w:pPr>
        <w:jc w:val="both"/>
      </w:pPr>
      <w:r>
        <w:t>Pergeseran pertama yang dikupas Salavou (2015, hlm. 84–85) adalah pergeseran dari logika strategic purity Porter, yang menempatkan low-cost, differentiation, dan focus sebagai pilihan yang saling eksklusif, ke pengakuan bahwa strategi hybrid (kombinasi dari beberapa dimensi generik) adalah pilihan yang sah dan bahkan sering lebih unggul. Salavou mengutip Hill (1988) sebagai kritik teoretis pertama yang serius, Miller (1992) tentang generic strategy trap, dan Campbell-Hunt (2000) sebagai meta-analisis yang menjadi titik balik. Tabel V artikel merangkum 15 studi pasca-2000 yang mendukung argumen bahwa strategi hybrid sering menghasilkan kinerja yang lebih baik daripada strategi murni.</w:t>
      </w:r>
    </w:p>
    <w:p>
      <w:pPr>
        <w:pStyle w:val="BodyText"/>
        <w:jc w:val="both"/>
      </w:pPr>
      <w:r>
        <w:t>Salavou (2015, hlm. 89–90) memperluas diskusi ini dengan tipologi 16 jenis strategi hybrid berdasarkan kombinasi tiga dimensi Porter (low-cost, differentiation, focus). Tipologi ini, yang ia tampilkan di Tabel IV, menunjukkan bahwa pilihan hybrid bukan tunggal melainkan keluarga konfigurasi. Sebagian dari konfigurasi tersebut menekankan satu dimensi tinggi dengan dua dimensi rata-rata, sebagian menekankan dua dimensi tinggi, dan sebagian (hybrid type 1) bahkan menekankan ketiga dimensi tinggi secara simultan. Pendekatan dimensional ini, yang Salavou ambil dari Pertusa-Ortega et al. (2009) dan Spanos et al. (2004), berdiri sebagai alternatif terhadap pendekatan taksonomik Porter.</w:t>
      </w:r>
    </w:p>
    <w:p>
      <w:pPr>
        <w:pStyle w:val="Heading3"/>
        <w:jc w:val="left"/>
      </w:pPr>
      <w:r>
        <w:t>3.2 Dari Static ke Dynamic</w:t>
      </w:r>
    </w:p>
    <w:p>
      <w:pPr>
        <w:jc w:val="both"/>
      </w:pPr>
      <w:r>
        <w:t>Pergeseran kedua menyangkut waktu. Porter (1980, 1985) memperlakukan pilihan strategi generik sebagai pilihan yang relatif stabil sekali ditetapkan. Salavou (2015, hlm. 90) berargumen bahwa pada lingkungan kompetisi modern, "strategies combining low costs and differentiation elements would be most appropriate in periods of hypercompetition". Kutipan dari Miller (1992) ini ia gunakan untuk menopang argumennya bahwa pilihan strategi tidak dapat dipahami terlepas dari dinamika lingkungan. Pada periode hyperkompetisi, strategi hybrid menjadi lebih appropriate karena memberi fleksibilitas yang dibutuhkan untuk merespons perubahan.</w:t>
      </w:r>
    </w:p>
    <w:p>
      <w:pPr>
        <w:pStyle w:val="BodyText"/>
        <w:jc w:val="both"/>
      </w:pPr>
      <w:r>
        <w:t>Argumen ini sebenarnya bisa dihubungkan dengan kerangka dynamic capabilities (Teece, Pisano &amp; Shuen 1997) dan hypercompetition (D'Aveni 1994), tetapi Salavou tidak melakukan integrasi yang substansial dengan literatur tersebut. Kelemahan yang lebih serius adalah Salavou tidak mengutip McGrath (2013) tentang transient advantage. Padahal McGrath sebenarnya memberikan formulasi paling jernih dari pergeseran static-to-dynamic dalam literatur strategi kontemporer. Mengingat artikel Salavou terbit pada 2015 dan buku McGrath sudah keluar pada 2013, kelalaian ini bukan masalah ketersediaan, melainkan pilihan editorial.</w:t>
      </w:r>
    </w:p>
    <w:p>
      <w:pPr>
        <w:pStyle w:val="Heading3"/>
        <w:jc w:val="left"/>
      </w:pPr>
      <w:r>
        <w:t>3.3 Dari Competitive ke Cooperative</w:t>
      </w:r>
    </w:p>
    <w:p>
      <w:pPr>
        <w:jc w:val="both"/>
      </w:pPr>
      <w:r>
        <w:t>Pergeseran ketiga, meskipun tidak dieksplisitkan dalam artikel Salavou seintens dua pergeseran sebelumnya, dapat direkonstruksi dari pernyataannya tentang perubahan lingkungan kompetisi pasca-2000. Pada Bab Diskusi (Salavou 2015, hlm. 95) ia mengakui bahwa "the global challenge of today is how scholars will revise theory to better capture reality." Pengakuan implisit ini sebenarnya membuka pintu pada literatur coopetition (Brandenburger &amp; Nalebuff 1996) yang memperluas Five Forces dengan dimensi complementor, dan literatur platform economics yang menempatkan kompetisi dan kerjasama sebagai dimensi yang berjalan simultan.</w:t>
      </w:r>
    </w:p>
    <w:p>
      <w:pPr>
        <w:pStyle w:val="BodyText"/>
        <w:jc w:val="both"/>
      </w:pPr>
      <w:r>
        <w:t>Sayangnya Salavou tidak melibatkan literatur coopetition secara eksplisit. Brandenburger dan Nalebuff (1996) serta tradisi Value Net tidak muncul dalam bibliografi artikelnya. Pergeseran ke cooperative dengan demikian tetap menjadi tema yang implisit dan kurang dikembangkan. Padahal di era platform yang menjadi konteks dominan kompetisi kontemporer, dimensi ini menjadi krusial.</w:t>
      </w:r>
    </w:p>
    <w:p>
      <w:pPr>
        <w:pStyle w:val="Heading3"/>
        <w:jc w:val="left"/>
      </w:pPr>
      <w:r>
        <w:t>3.4 Kerangka Komparatif dan Bukti Empiris: Tabel I–V Salavou</w:t>
      </w:r>
    </w:p>
    <w:p>
      <w:pPr>
        <w:jc w:val="both"/>
      </w:pPr>
      <w:r>
        <w:t>Salavou memperkuat argumen pergeseran dari strategic purity ke hybridization dengan mengidentifikasi tiga masalah struktural strategi murni (Salavou 2015, hlm. 83). Pertama, perusahaan yang mengkonsentrasikan diri pada satu strategi murni cenderung kurang responsif terhadap perubahan pasar dan kehilangan fleksibilitas untuk menawarkan produk yang mengakomodasi lebih dari satu atribut kompetitif sekaligus. Kedua, spesialisasi strategis dapat meninggalkan celah dalam penawaran produk yang mengabaikan kebutuhan pelanggan yang penting. Ketiga, strategi murni relatif mudah ditiru, sehingga perusahaan yang menggabungkan sumber-sumber keunggulan secara kreatif berada pada posisi yang lebih defensible. Tabel III artikel (hlm. 89) merangkum pertentangan ini secara ringkas: model orisinal Porter menciptakan pilihan strategis berbasis teori dengan tiga opsi murni, pendekatan taksonomik, dan cocok untuk analisis sektoral; model hybridization yang direvisi menciptakan pilihan berbasis fakta empiris dengan banyak opsi hybrid, pendekatan dimensional, dan cocok untuk analisis sektoral maupun multi-sektoral.</w:t>
      </w:r>
    </w:p>
    <w:p>
      <w:pPr>
        <w:pStyle w:val="BodyText"/>
        <w:jc w:val="both"/>
      </w:pPr>
      <w:r>
        <w:t>Tabel IV (Salavou 2015, hlm. 89) menyajikan 16 tipe strategi hybrid yang dikonstruksi dari tiga dimensi generik Porter: low cost (LC), differentiation (D), dan focus (F), masing-masing dengan tingkat penekanan High (H), Average (A), atau Low (L). Selain tiga strategi murni—Pure type 1 (H-L-L: dominan LC), Pure type 2 (L-H-L: dominan D), dan Pure type 3 (L-L-H: dominan F)—serta satu posisi stuck-in-the-middle (A-A-A), tipologi ini menambahkan 16 konfigurasi hybrid. Hybrid type 1 (H-H-H) menekankan ketiga dimensi secara tinggi; Hybrid type 2 (H-H-L) menekankan LC dan D tinggi; Hybrid type 7 (H-L-A) menekankan LC tinggi dengan F rata-rata; dan seterusnya hingga Hybrid type 16 (L-A-H) yang menekankan F tinggi dengan D rata-rata. Keberagaman ini memperlihatkan bahwa ruang strategis jauh lebih kaya dari model tiga sel Porter, dan bahwa 'pilihan strategi' dalam praktik manajerial adalah navigasi pada lanskap kontinu dengan banyak konfigurasi equilibrium yang berbeda.</w:t>
      </w:r>
    </w:p>
    <w:p>
      <w:pPr>
        <w:pStyle w:val="BodyText"/>
        <w:jc w:val="both"/>
      </w:pPr>
      <w:r>
        <w:t>Tabel V (Salavou 2015, hlm. 91–94) merangkum 15 studi empiris tentang strategi hybrid dari tahun 2000 ke depan. Studi-studi ini mencakup konteks Ghana (Acquaah &amp; Yasai-Ardekani 2008), Amerika Serikat (Beal 2000), lintas-negara (Campbell-Hunt 2000), Spanyol (Claver-Cortés et al. 2012), India (Gopalakrishna &amp; Subramanian 2001), Korea (Kim et al. 2004), Austria (Leitner &amp; Guldenberg 2010), China (Li &amp; Li 2008), Spanyol (Pertusa-Ortega et al. 2009), dan Yunani (Salavou &amp; Halikias 2009; Salavou 2010; Salavou 2013; Spanos et al. 2004; Thornhill &amp; White 2007; Walsh et al. 2008). Metodologi yang digunakan beragam: regression analysis, cluster analysis, meta-analysis logistic regression, dan ANOVA. Ukuran kinerja juga heterogen: ROA, ROE, profit margin, sales growth, dan ukuran subjektif berbasis persepsi manajer. Temuan dominan: strategi hybrid secara konsisten menghasilkan kinerja yang lebih tinggi dibandingkan strategi murni di berbagai konteks industri. Tidak ada satu pun studi dalam Tabel V yang berasal dari Asia Tenggara, sehingga generalisabilitas ke konteks Indonesia harus dipertimbangkan secara kritis.</w:t>
      </w:r>
    </w:p>
    <w:p>
      <w:pPr>
        <w:pStyle w:val="BodyText"/>
        <w:jc w:val="both"/>
      </w:pPr>
      <w:r>
        <w:t>Agenda penelitian yang dirumuskan Salavou (2015, hlm. 95–96) mencakup tiga arah utama. Pertama, dibutuhkan skema deskriptif konseptual yang lebih komprehensif untuk mengakomodasi seluruh variasi strategi hybrid—tidak hanya yang diturunkan dari tiga dimensi Porter, tetapi juga yang muncul dari dimensi-dimensi alternatif seperti inovasi, kualitas, dan waktu. Kedua, diperlukan spektrum teoretis yang menempatkan semua jenis strategi—single-emphasis, mixed-emphasis, no-distinctive-emphasis, dan stuck-in-the-middle—dalam satu kerangka yang koheren, sehingga peneliti dapat mengkontekstualisasikan setiap temuan empiris secara akurat. Ketiga, studi-studi mendatang perlu mempertimbangkan joint effects (moderating dan mediating) dari kapabilitas perusahaan terhadap hubungan antara jenis strategi kompetitif dan kinerja, mengingat bahwa konteks teknologis dan sektoral terbukti memengaruhi efektivitas pilihan strategi.</w:t>
      </w:r>
    </w:p>
    <w:p>
      <w:pPr>
        <w:pStyle w:val="Heading2"/>
        <w:jc w:val="left"/>
      </w:pPr>
      <w:r>
        <w:t>4. Koneksi ke Topik Silabus (Pertemuan 5 — TPGS Ch.5)</w:t>
      </w:r>
    </w:p>
    <w:p>
      <w:pPr>
        <w:jc w:val="both"/>
      </w:pPr>
      <w:r>
        <w:t>Artikel Salavou berfungsi sebagai pelengkap kritis terhadap pembahasan TPGS Bab 5. TPGS sendiri sebenarnya sudah mengakui best-cost provider sebagai posisi kelima yang sah, di luar empat sel klasik Porter. Pengakuan tersebut, kalau dibaca dalam terang argumen Salavou, sebenarnya merupakan akomodasi diam-diam terhadap literatur hybrid. TPGS sudah meninggalkan logika strategic purity Porter klasik, meskipun tidak menyatakannya secara eksplisit. Salavou (2015) memberi mahasiswa kerangka teoretis untuk membaca pengakuan TPGS tersebut secara reflektif. Posisi best-cost provider bukan tambahan ad-hoc, melainkan konsekuensi logis dari pergeseran paradigmatik yang sudah berlangsung sejak Hill (1988).</w:t>
      </w:r>
    </w:p>
    <w:p>
      <w:pPr>
        <w:pStyle w:val="BodyText"/>
        <w:jc w:val="both"/>
      </w:pPr>
      <w:r>
        <w:t>Lebih jauh, artikel Salavou mengingatkan mahasiswa bahwa lima strategi generik yang diajarkan dalam TPGS bukan kerangka final. Tabel IV Salavou menunjukkan bahwa di luar lima posisi tersebut, ada 16 tipe strategi hybrid yang secara teoretis mungkin berdasarkan kombinasi tiga dimensi Porter. Kerangka lima strategi generik dengan demikian sebaiknya diperlakukan sebagai titik masuk pedagogis, bukan sebagai peta lengkap atas ruang strategis yang tersedia bagi perusahaan.</w:t>
      </w:r>
    </w:p>
    <w:p>
      <w:pPr>
        <w:pStyle w:val="BodyText"/>
        <w:jc w:val="both"/>
      </w:pPr>
      <w:r>
        <w:t>Koneksi yang lebih substantif adalah bahwa argumen Salavou tentang strategic shift memberi konteks intelektual bagi diskusi tentang dynamic capabilities yang akan muncul lagi di Pertemuan 9 (TPGS Bab 10–12 tentang strategi pembaruan dan transformasi). Dengan membaca Salavou, mahasiswa diperlengkapi untuk memahami bahwa pilihan strategi pada Pertemuan 5 tidak terpisah dari kemampuan untuk mengubahnya. Keduanya adalah dua sisi dari satu kapabilitas strategis yang lebih fundamental.</w:t>
      </w:r>
    </w:p>
    <w:p>
      <w:pPr>
        <w:pStyle w:val="Heading2"/>
        <w:jc w:val="left"/>
      </w:pPr>
      <w:r>
        <w:t>5. Kekuatan Artikel</w:t>
      </w:r>
    </w:p>
    <w:p>
      <w:pPr>
        <w:jc w:val="both"/>
      </w:pPr>
      <w:r>
        <w:t>Kekuatan pertama Salavou adalah kejelasan kerangka pemetaan literatur. Ia berhasil meringkas tradisi tiga dekade penelitian strategi kompetitif ke dalam kerangka yang mudah diikuti. Pergeseran dari strategic purity ke hybridization dipetakan dengan rapi dan didukung oleh tabulasi studi empiris yang sistematis. Tabel I merangkum studi yang mendukung purity hingga 2000, dan Tabel V merangkum studi yang mendukung hybrid sejak 2000. Bagi pembaca, terutama mahasiswa, kerangka semacam ini sangat membantu untuk mengikuti perdebatan teoretis yang sebenarnya kompleks.</w:t>
      </w:r>
    </w:p>
    <w:p>
      <w:pPr>
        <w:pStyle w:val="BodyText"/>
        <w:jc w:val="both"/>
      </w:pPr>
      <w:r>
        <w:t>Kekuatan kedua adalah pengakuan bahwa stuck-in-the-middle berbeda dari hybrid. Salavou (2015, hlm. 85) secara eksplisit menarik garis pembeda yang sering kabur dalam literatur: "stuck-in-the-middle strategies reflect a firm's unwillingness to make choices about how to compete (Pertusa-Ortega et al., 2009) or a non-competitive advantage with high costs and low differentiation. To further mark this difference, researchers claim that a stuck-in-the-middle strategy is by definition a particular underdeveloped form of a hybrid strategy." Pembedaan ini penting secara konseptual karena ia mengakhiri kebingungan yang sudah berlangsung sejak Porter (1985). Mengejar hybrid bukan berarti otomatis menjadi stuck in the middle. Stuck in the middle adalah bentuk hybrid yang gagal dieksekusi.</w:t>
      </w:r>
    </w:p>
    <w:p>
      <w:pPr>
        <w:pStyle w:val="BodyText"/>
        <w:jc w:val="both"/>
      </w:pPr>
      <w:r>
        <w:t>Kekuatan ketiga adalah sumbangan tipologi 16 jenis hybrid. Tabel IV (Salavou 2015, hlm. 89) menyajikan tipologi yang dapat dipakai oleh peneliti maupun praktisi untuk mendiagnosis konfigurasi strategi yang spesifik. Tipologi ini lebih kaya dari pengelompokan biner purity vs hybrid dan memberi alat untuk pembedaan yang lebih halus.</w:t>
      </w:r>
    </w:p>
    <w:p>
      <w:pPr>
        <w:pStyle w:val="BodyText"/>
        <w:jc w:val="both"/>
      </w:pPr>
      <w:r>
        <w:t>Kekuatan keempat adalah kepekaan terhadap konteks geografis. Salavou secara eksplisit mengakui bahwa bukti empiris yang ia kumpulkan terkonsentrasi di Eropa dan bahwa konteks Amerika Utara serta Asia bisa memberikan pola yang berbeda. Kepekaan semacam ini, walaupun tidak diteruskan ke analisis komparatif yang mendalam, menunjukkan kesadaran metodologis yang patut diapresiasi.</w:t>
      </w:r>
    </w:p>
    <w:p>
      <w:pPr>
        <w:pStyle w:val="BodyText"/>
        <w:jc w:val="both"/>
      </w:pPr>
      <w:r>
        <w:t>Kekuatan kelima adalah kontribusi pada agenda penelitian. Pada Bab Diskusi, Salavou (2015, hlm. 95–96) merumuskan tiga arah penelitian untuk masa depan: pengembangan kerangka konseptual untuk hybrid yang lebih fine-grained, integrasi tipologi dengan kerangka teori yang sudah ada, dan pemetaan hubungan kontingensi antara strategi dan kinerja. Agenda ini berguna bagi peneliti yang hendak melanjutkan tradisi.</w:t>
      </w:r>
    </w:p>
    <w:p>
      <w:pPr>
        <w:pStyle w:val="Heading2"/>
        <w:jc w:val="left"/>
      </w:pPr>
      <w:r>
        <w:t>6. Keterbatasan dan Kelemahan</w:t>
      </w:r>
    </w:p>
    <w:p>
      <w:pPr>
        <w:jc w:val="both"/>
      </w:pPr>
      <w:r>
        <w:t>Keterbatasan pertama adalah ketiadaan data empiris baru. Salavou (2015) adalah literature review murni. Tidak ada survei, studi kasus, atau analisis data sekunder yang baru. Untuk publikasi pada jurnal seperti European Business Review, format ini lazim, tetapi ia membatasi klaim kausal yang dapat ditarik. Pernyataan bahwa "strategi hybrid sering lebih unggul" tetap merupakan rangkuman dari studi-studi yang sebagiannya menggunakan metodologi yang berbeda, ukuran kinerja yang berbeda, dan konteks industri yang berbeda. Salavou tidak melakukan meta-analisis kuantitatif yang akan memberi klaim ini fondasi statistik yang lebih kuat daripada Campbell-Hunt (2000).</w:t>
      </w:r>
    </w:p>
    <w:p>
      <w:pPr>
        <w:pStyle w:val="BodyText"/>
        <w:jc w:val="both"/>
      </w:pPr>
      <w:r>
        <w:t>Keterbatasan kedua adalah kelalaian bibliografis yang signifikan. Tiga absensi patut dicatat. McGrath (2013) tentang transient advantage tidak muncul dalam bibliografi, padahal buku ini adalah formulasi paling jernih dari argumen static-to-dynamic yang Salavou angkat. Brandenburger dan Nalebuff (1996) tentang coopetition dan Value Net juga absen, padahal pergeseran competitive-to-cooperative yang Salavou implisit angkat membutuhkan dialog dengan literatur ini. Literatur platform economics (Rochet &amp; Tirole 2003; Eisenmann, Parker &amp; Van Alstyne 2006), yang sebenarnya menjadi konteks dominan kompetisi kontemporer, tidak dilibatkan sama sekali. Akumulasi tiga kelalaian ini mengindikasikan bahwa Salavou bekerja dalam tradisi literatur strategi yang lebih sempit daripada yang ia klaim.</w:t>
      </w:r>
    </w:p>
    <w:p>
      <w:pPr>
        <w:pStyle w:val="BodyText"/>
        <w:jc w:val="both"/>
      </w:pPr>
      <w:r>
        <w:t>Keterbatasan ketiga adalah kontribusi orisinalitas yang terbatas. Pertanyaan yang patut diajukan: apakah "shift" yang didokumentasikan Salavou benar-benar kemajuan teoretis yang genuine, ataukah label akademis untuk apa yang sudah dilakukan praktisi selama dua dekade? Banyak observasi Salavou sudah didokumentasikan lebih awal di literatur lain. Treacy dan Wiersema (1995) sudah menawarkan tipologi paralel (operational excellence, product leadership, customer intimacy) yang secara substantif setara dengan apa yang Salavou rangkum sebagai hybrid. Pertusa-Ortega et al. (2009) dan Spanos et al. (2004) sudah memetakan pendekatan dimensional yang menjadi tulang punggung tipologi 16 hybrid Salavou. Kontribusi orisinal Salavou terletak pada sintesis, bukan pada penemuan baru.</w:t>
      </w:r>
    </w:p>
    <w:p>
      <w:pPr>
        <w:pStyle w:val="BodyText"/>
        <w:jc w:val="both"/>
      </w:pPr>
      <w:r>
        <w:t>Keterbatasan keempat adalah pengakuan yang terlalu minim atas Treacy dan Wiersema. Mengingat similaritas substantif antara value disciplines mereka dengan hybrid strategies Salavou, pengakuan dalam artikel sangat tipis. Treacy dan Wiersema disebut hanya sekali pada hlm. 96, dalam konteks "future work should place any competitive strategy ... within a specified theoretical context (March, 1991; Treacy and Wiersema, 1997)." Kesan saya, ini terlalu superficial. Pertanyaan yang seharusnya diajukan oleh Salavou: dalam hal apa tipologi 16 hybrid-nya menambahkan dimensi baru yang tidak ada dalam tipologi tiga value disciplines Treacy dan Wiersema? Pertanyaan itu tidak dijawab.</w:t>
      </w:r>
    </w:p>
    <w:p>
      <w:pPr>
        <w:pStyle w:val="BodyText"/>
        <w:jc w:val="both"/>
      </w:pPr>
      <w:r>
        <w:t>Keterbatasan kelima adalah generalisasi yang prematur dari konteks Eropa. Sebagian besar studi yang Salavou rangkum dilakukan di negara-negara Eropa atau pada pasar Eropa. Klaim umum bahwa "hybrid menjadi pilihan yang lebih unggul" mungkin tidak sepenuhnya berlaku pada konteks Amerika Utara, di mana kompetisi sektor teknologi sering didominasi winner-take-all dynamics yang justru menyukai strategi murni differentiation atau cost leadership. Klaim itu juga bisa goyah pada pasar-pasar berkembang seperti Indonesia, di mana struktur pasar masih sering didominasi proteksi regulatif yang membentuk pilihan strategis secara berbeda.</w:t>
      </w:r>
    </w:p>
    <w:p>
      <w:pPr>
        <w:pStyle w:val="BodyText"/>
        <w:jc w:val="both"/>
      </w:pPr>
      <w:r>
        <w:t>Keterbatasan keenam adalah ketiadaan pembahasan eksekusi. Salavou (2015) bekerja terutama pada level konseptual; ia tidak banyak membahas tantangan eksekusi strategi hybrid. Padahal kritik utama Porter (1985) terhadap hybrid sebenarnya bukan pada tataran konseptual (apakah hybrid mungkin) melainkan pada tataran organisasional (apakah hybrid dapat dieksekusi tanpa konflik internal). Tanpa membahas tantangan eksekusi, argumen Salavou tetap berhenti pada level kemungkinan, bukan kelaikan praktis.</w:t>
      </w:r>
    </w:p>
    <w:p>
      <w:pPr>
        <w:pStyle w:val="Heading2"/>
        <w:jc w:val="left"/>
      </w:pPr>
      <w:r>
        <w:t>7. Evaluasi Kritis</w:t>
      </w:r>
    </w:p>
    <w:p>
      <w:pPr>
        <w:jc w:val="both"/>
      </w:pPr>
      <w:r>
        <w:t>Posisi yang adil terhadap Salavou (2015) menurut saya adalah mengakui kontribusinya sebagai bridge work yang berguna sambil mencatat batas-batas argumennya. Empat pengamatan kritis layak ditekankan.</w:t>
      </w:r>
    </w:p>
    <w:p>
      <w:pPr>
        <w:pStyle w:val="BodyText"/>
        <w:jc w:val="both"/>
      </w:pPr>
      <w:r>
        <w:t>Pertama, kontribusi terbesar Salavou sebenarnya adalah memetakan secara sistematis bahwa literatur strategi kompetitif telah bergeser dari logika purity ke hybridization. Pemetaan itu sangat bermanfaat bagi pembaca yang membutuhkan orientasi cepat atas perdebatan tiga dekade. Tetapi pemetaan bukan klaim teoretis. Salavou tidak menambahkan teori baru, ia menyusun ulang teori yang sudah ada. Ini tidak merendahkan nilai artikelnya, hanya mengkalibrasi ekspektasi pembaca.</w:t>
      </w:r>
    </w:p>
    <w:p>
      <w:pPr>
        <w:pStyle w:val="BodyText"/>
        <w:jc w:val="both"/>
      </w:pPr>
      <w:r>
        <w:t>Kedua, klaim bahwa strategi hybrid sering lebih unggul perlu dibaca dengan kehati-hatian metodologis. Studi-studi yang Salavou rangkum memakai ukuran kinerja yang heterogen (ROA, ROE, gross margin, ukuran subjektif), populasi yang berbeda (manufaktur, jasa, lintas-sektor), dan konteks industri yang sangat beragam. Generalisasi bahwa "hybrid mengungguli purity" tidak bisa dibangun secara meyakinkan dari rangkuman semacam ini. Klaim itu butuh meta-analisis kuantitatif yang lebih ketat. Salavou sendiri sebenarnya mengakui keterbatasan ini secara implisit ketika ia menyebut bahwa hybrid lebih unggul "at least in some circumstances" (hlm. 80).</w:t>
      </w:r>
    </w:p>
    <w:p>
      <w:pPr>
        <w:pStyle w:val="BodyText"/>
        <w:jc w:val="both"/>
      </w:pPr>
      <w:r>
        <w:t>Ketiga, pertanyaan yang lebih penting daripada apakah hybrid lebih unggul adalah kapan hybrid lebih unggul dan kapan purity lebih unggul. Pertanyaan kontingensi ini sebenarnya muncul di literatur (Miller 1988, Beal 2000) tetapi tidak diangkat sebagai inti diskusi oleh Salavou. Pembaca yang menutup artikel ini tanpa pertanyaan kontingensi yang tegas akan terjebak pada generalisasi yang menyederhanakan, yaitu bahwa hybrid selalu lebih baik. Padahal kondisi industri tertentu seperti komoditas dengan biaya pengalihan rendah, atau segmen yang sangat price-sensitive, tetap mendukung low-cost provider murni.</w:t>
      </w:r>
    </w:p>
    <w:p>
      <w:pPr>
        <w:pStyle w:val="BodyText"/>
        <w:jc w:val="both"/>
      </w:pPr>
      <w:r>
        <w:t>Keempat, ada satu kritik tambahan tentang format. Artikel Salavou banyak bersandar pada tabulasi studi sebelumnya tanpa analisis kritis individual atas masing-masing studi. Tabel V yang merangkum 15 studi pasca-2000 disajikan secara deskriptif (penulis, metode, temuan utama) tanpa pengamatan tentang kelemahan metodologis spesifik atau ketidakkonsistenan antar studi. Ini membuat tabulasi tampak otoritatif lebih dari yang seharusnya. Pembaca cenderung mengakumulasi kesan bahwa "ada banyak bukti", padahal sebagian dari bukti tersebut mungkin saling bertentangan kalau diuraikan dengan teliti.</w:t>
      </w:r>
    </w:p>
    <w:p>
      <w:pPr>
        <w:pStyle w:val="Heading2"/>
        <w:jc w:val="left"/>
      </w:pPr>
      <w:r>
        <w:t>8. Implikasi bagi Pemahaman Manajemen Strategik</w:t>
      </w:r>
    </w:p>
    <w:p>
      <w:pPr>
        <w:jc w:val="both"/>
      </w:pPr>
      <w:r>
        <w:t>Untuk mahasiswa Magister Akuntansi, Salavou memberi orientasi penting bahwa kerangka strategi kompetitif telah bergeser dari taksonomi statis ke pendekatan dimensional. Implikasinya bagi praktik akuntansi manajemen cukup serius: pengukuran kinerja strategis tidak bisa lagi mengandalkan pengelompokan biner (cost vs differentiation), melainkan harus mengakomodasi kombinasi dimensi yang lebih halus. Sistem KPI yang dirancang hanya untuk mengukur strategi low-cost murni akan miss representasi pada perusahaan yang menjalankan best-cost provider.</w:t>
      </w:r>
    </w:p>
    <w:p>
      <w:pPr>
        <w:pStyle w:val="BodyText"/>
        <w:jc w:val="both"/>
      </w:pPr>
      <w:r>
        <w:t>Bagi auditor strategis dan analis investasi, kerangka Salavou memperlengkapi kemampuan untuk mendiagnosis posisi kompetitif perusahaan dengan lebih akurat. Pertanyaan yang dulu cukup dijawab dengan "perusahaan ini mengejar diferensiasi" sekarang dapat dipertajam menjadi "perusahaan ini mengejar kombinasi innovation differentiation dan cost efficiency dengan profil yang menyerupai hybrid type 4 menurut tipologi Salavou." Dengan begitu, evaluasi kelayakan strategis menjadi lebih fine-grained.</w:t>
      </w:r>
    </w:p>
    <w:p>
      <w:pPr>
        <w:pStyle w:val="BodyText"/>
        <w:jc w:val="both"/>
      </w:pPr>
      <w:r>
        <w:t>Dalam konteks Indonesia, beberapa contoh paradigmatik dapat dibaca melalui kerangka Salavou. Indomaret dan Alfamart adalah ilustrasi best-cost provider yang dibangun di atas kombinasi efisiensi distribusi (elemen low-cost) dengan kenyamanan lokasi serta keseragaman pengalaman (elemen differentiation). Keduanya bukan stuck in the middle karena keduanya berhasil membangun konfigurasi sumber daya yang konsisten untuk mendukung kombinasi tersebut. Hasilnya adalah penggantian struktural ekosistem warung tradisional, bukan sekadar peningkatan pangsa pasar pada ritel modern.</w:t>
      </w:r>
    </w:p>
    <w:p>
      <w:pPr>
        <w:pStyle w:val="BodyText"/>
        <w:jc w:val="both"/>
      </w:pPr>
      <w:r>
        <w:t>GoTo (merger Gojek-Tokopedia 2021) menjadi contoh yang lebih kompleks. Ia memperlihatkan bahwa pergeseran competitive-to-cooperative, yang Salavou tidak gali secara mendalam, dapat berkembang lebih jauh menjadi integrasi penuh. Sebelum merger, Gojek dan Tokopedia sudah berkolaborasi pada beberapa dimensi (pembayaran via GoPay, integrasi logistik) sambil bersaing di dimensi lain. Merger menjadi formalisasi dari coopetition yang sudah ada secara informal. Pertanyaan yang relevan dengan kerangka Salavou: apakah ini coopetition yang berhasil, atau eliminasi pesaing yang dibungkus sebagai kerjasama? Jawabannya membutuhkan analisis struktur pasar pasca-merger yang berada di luar cakupan artikel.</w:t>
      </w:r>
    </w:p>
    <w:p>
      <w:pPr>
        <w:pStyle w:val="BodyText"/>
        <w:jc w:val="both"/>
      </w:pPr>
      <w:r>
        <w:t>AirAsia di Asia Tenggara adalah contoh dynamic shift yang mengilustrasikan argumen Salavou tentang static-to-dynamic. AirAsia memulai sebagai focused low-cost pada rute-rute spesifik di Malaysia, lalu memperluas menjadi broad low-cost yang mencakup seluruh kawasan Asia Tenggara. Pergeseran ini bukan sekadar ekspansi geografis melainkan perubahan posisi strategis: dari segmen sempit ke segmen luas, dengan kapabilitas yang berbeda. AirAsia menjadi contoh eksekusi pergeseran strategis yang relatif berhasil di pasar yang menantang.</w:t>
      </w:r>
    </w:p>
    <w:p>
      <w:pPr>
        <w:pStyle w:val="BodyText"/>
        <w:jc w:val="both"/>
      </w:pPr>
      <w:r>
        <w:t>Tokopedia, Shopee, dan Lazada dalam dinamika e-commerce Indonesia adalah laboratorium transient advantage (McGrath 2013) yang Salavou justru tidak gali. Ketiga platform secara berkala menggeser kombinasi strategi: subsidi agresif untuk akuisisi pengguna, lalu transisi ke fokus margin, lalu eksperimen live commerce dan social commerce. Setiap fase membawa profil strategis yang berbeda, dan tidak satu pun yang dapat dipertahankan untuk periode panjang. Konteks ini menegaskan bahwa argumen static-to-dynamic Salavou perlu diperluas dengan literatur McGrath agar menjadi diagnostik yang utuh.</w:t>
      </w:r>
    </w:p>
    <w:sectPr w:rsidR="00477CCC" w:rsidRPr="0006288A"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1D4E8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8652401">
    <w:abstractNumId w:val="8"/>
  </w:num>
  <w:num w:numId="2" w16cid:durableId="100689006">
    <w:abstractNumId w:val="6"/>
  </w:num>
  <w:num w:numId="3" w16cid:durableId="1041898313">
    <w:abstractNumId w:val="5"/>
  </w:num>
  <w:num w:numId="4" w16cid:durableId="1746688331">
    <w:abstractNumId w:val="4"/>
  </w:num>
  <w:num w:numId="5" w16cid:durableId="353386633">
    <w:abstractNumId w:val="7"/>
  </w:num>
  <w:num w:numId="6" w16cid:durableId="2063820179">
    <w:abstractNumId w:val="3"/>
  </w:num>
  <w:num w:numId="7" w16cid:durableId="1518732742">
    <w:abstractNumId w:val="2"/>
  </w:num>
  <w:num w:numId="8" w16cid:durableId="429856926">
    <w:abstractNumId w:val="1"/>
  </w:num>
  <w:num w:numId="9" w16cid:durableId="537352385">
    <w:abstractNumId w:val="0"/>
  </w:num>
  <w:num w:numId="10" w16cid:durableId="1969387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8A"/>
    <w:rsid w:val="0015074B"/>
    <w:rsid w:val="002960FA"/>
    <w:rsid w:val="0029639D"/>
    <w:rsid w:val="00326F90"/>
    <w:rsid w:val="00477CCC"/>
    <w:rsid w:val="00514387"/>
    <w:rsid w:val="00AA1D8D"/>
    <w:rsid w:val="00B47730"/>
    <w:rsid w:val="00CB0664"/>
    <w:rsid w:val="00FB3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DE292"/>
  <w15:docId w15:val="{874F363F-9A99-4096-88C9-6E15D6A6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3200</Words>
  <Characters>18243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3</cp:revision>
  <dcterms:created xsi:type="dcterms:W3CDTF">2026-05-01T07:42:00Z</dcterms:created>
  <dcterms:modified xsi:type="dcterms:W3CDTF">2026-05-08T11:34:00Z</dcterms:modified>
</cp:coreProperties>
</file>