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Calibri" w:hAnsi="Calibri" w:cs="Calibri"/>
          <w:b/>
          <w:i w:val="0"/>
          <w:sz w:val="28"/>
        </w:rPr>
        <w:t>RINGKASAN MATERI KULIAH (RMK) — PERTEMUAN 10</w:t>
      </w:r>
    </w:p>
    <w:p>
      <w:pPr>
        <w:spacing w:line="360" w:lineRule="auto" w:before="0" w:after="40"/>
        <w:jc w:val="center"/>
      </w:pPr>
      <w:r>
        <w:rPr>
          <w:rFonts w:ascii="Calibri" w:hAnsi="Calibri" w:cs="Calibri"/>
          <w:b w:val="0"/>
          <w:i w:val="0"/>
          <w:sz w:val="24"/>
        </w:rPr>
        <w:t>Mata Kuliah: Pelaporan Keuangan Korporat (MNK202)</w:t>
      </w:r>
    </w:p>
    <w:p>
      <w:pPr>
        <w:spacing w:line="360" w:lineRule="auto" w:before="0" w:after="40"/>
        <w:jc w:val="center"/>
      </w:pPr>
      <w:r>
        <w:rPr>
          <w:rFonts w:ascii="Calibri" w:hAnsi="Calibri" w:cs="Calibri"/>
          <w:b w:val="0"/>
          <w:i w:val="0"/>
          <w:sz w:val="24"/>
        </w:rPr>
        <w:t>Topik: Statement of Cash Flows</w:t>
      </w:r>
    </w:p>
    <w:p>
      <w:pPr>
        <w:spacing w:line="360" w:lineRule="auto" w:before="0" w:after="40"/>
        <w:jc w:val="center"/>
      </w:pPr>
      <w:r>
        <w:rPr>
          <w:rFonts w:ascii="Calibri" w:hAnsi="Calibri" w:cs="Calibri"/>
          <w:b w:val="0"/>
          <w:i w:val="0"/>
          <w:sz w:val="24"/>
        </w:rPr>
        <w:t>Dosen Pengampu: [—]</w:t>
      </w:r>
    </w:p>
    <w:p>
      <w:pPr>
        <w:spacing w:line="360" w:lineRule="auto" w:before="0" w:after="40"/>
        <w:jc w:val="center"/>
      </w:pPr>
      <w:r>
        <w:rPr>
          <w:rFonts w:ascii="Calibri" w:hAnsi="Calibri" w:cs="Calibri"/>
          <w:b w:val="0"/>
          <w:i w:val="0"/>
          <w:sz w:val="24"/>
        </w:rPr>
        <w:t>Nama Mahasiswa: Dzaki Muhammad Yusfian — NIM 1225 01079</w:t>
      </w:r>
    </w:p>
    <w:p>
      <w:pPr>
        <w:spacing w:line="360" w:lineRule="auto" w:before="0" w:after="40"/>
        <w:jc w:val="center"/>
      </w:pPr>
      <w:r>
        <w:rPr>
          <w:rFonts w:ascii="Calibri" w:hAnsi="Calibri" w:cs="Calibri"/>
          <w:b w:val="0"/>
          <w:i w:val="0"/>
          <w:sz w:val="24"/>
        </w:rPr>
        <w:t>Program Studi: Pascasarjana — Magister Akuntansi / Magister Manajemen, STIE YKPN</w:t>
      </w:r>
    </w:p>
    <w:p>
      <w:pPr>
        <w:spacing w:line="360" w:lineRule="auto" w:before="0" w:after="40"/>
        <w:jc w:val="center"/>
      </w:pPr>
      <w:r>
        <w:rPr>
          <w:rFonts w:ascii="Calibri" w:hAnsi="Calibri" w:cs="Calibri"/>
          <w:b w:val="0"/>
          <w:i w:val="0"/>
          <w:sz w:val="24"/>
        </w:rPr>
        <w:t>Tanggal: [—] (Pertemuan X — Selasa, sesuai jadwal silabus)</w:t>
      </w:r>
    </w:p>
    <w:p>
      <w:pPr>
        <w:spacing w:line="360" w:lineRule="auto" w:before="0" w:after="40"/>
        <w:jc w:val="center"/>
      </w:pPr>
      <w:r>
        <w:rPr>
          <w:rFonts w:ascii="Calibri" w:hAnsi="Calibri" w:cs="Calibri"/>
          <w:b w:val="0"/>
          <w:i w:val="0"/>
          <w:sz w:val="24"/>
        </w:rPr>
        <w:t>Sumber: Wolk, Dodd &amp; Rozycki (2017), Accounting Theory (9th ed.), Bab 13 — Statement of Cash Flows</w:t>
      </w:r>
    </w:p>
    <w:p>
      <w:pPr>
        <w:spacing w:line="360" w:lineRule="auto" w:before="0" w:after="200"/>
        <w:jc w:val="both"/>
        <w:pBdr>
          <w:bottom w:val="single" w:sz="8" w:color="000000"/>
        </w:pBdr>
      </w:pPr>
      <w:r>
        <w:rPr>
          <w:rFonts w:ascii="Calibri" w:hAnsi="Calibri" w:cs="Calibri"/>
          <w:b w:val="0"/>
          <w:i w:val="0"/>
          <w:sz w:val="24"/>
        </w:rPr>
      </w:r>
    </w:p>
    <w:p>
      <w:pPr>
        <w:spacing w:line="360" w:lineRule="auto" w:before="80" w:after="40"/>
        <w:jc w:val="left"/>
      </w:pPr>
      <w:r>
        <w:rPr>
          <w:rFonts w:ascii="Calibri" w:hAnsi="Calibri" w:cs="Calibri"/>
          <w:b/>
          <w:i w:val="0"/>
          <w:sz w:val="26"/>
        </w:rPr>
        <w:t>Bagian A — Cornell Notes</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bab ini dibuka dengan ungkapan "cash is cash is cash"?</w:t>
            </w:r>
          </w:p>
        </w:tc>
        <w:tc>
          <w:tcPr>
            <w:tcW w:type="dxa" w:w="5669"/>
          </w:tcPr>
          <w:p>
            <w:pPr>
              <w:spacing w:line="360" w:lineRule="auto"/>
              <w:jc w:val="both"/>
            </w:pPr>
            <w:r/>
            <w:r>
              <w:rPr>
                <w:rFonts w:ascii="Calibri" w:hAnsi="Calibri" w:cs="Calibri"/>
                <w:b w:val="0"/>
                <w:i w:val="0"/>
                <w:sz w:val="22"/>
              </w:rPr>
              <w:t xml:space="preserve">Wolk membuka bab ini dengan anekdot dari musikal </w:t>
            </w:r>
            <w:r>
              <w:rPr>
                <w:rFonts w:ascii="Calibri" w:hAnsi="Calibri" w:cs="Calibri"/>
                <w:b w:val="0"/>
                <w:i/>
                <w:sz w:val="22"/>
              </w:rPr>
              <w:t>The Music Man</w:t>
            </w:r>
            <w:r>
              <w:rPr>
                <w:rFonts w:ascii="Calibri" w:hAnsi="Calibri" w:cs="Calibri"/>
                <w:b w:val="0"/>
                <w:i w:val="0"/>
                <w:sz w:val="22"/>
              </w:rPr>
              <w:t xml:space="preserve">. Dalam adegan itu, para pedagang menuntut pembayaran tunai atas barang dagangan mereka. Pesannya satu: pada akhirnya semua tagihan, investasi, utang, dan dividen dibayar dengan kas, bukan dengan laba. Perusahaan yang tidak mampu menghasilkan kas yang cukup dari operasinya akan tutup. Di sinilah letak kelebihan laporan berbasis kas, yaitu angkanya jelas dan tidak banyak menyisakan ruang tafsir seperti laba akrual. Alasan inilah yang menjadikan </w:t>
            </w:r>
            <w:r>
              <w:rPr>
                <w:rFonts w:ascii="Calibri" w:hAnsi="Calibri" w:cs="Calibri"/>
                <w:b w:val="0"/>
                <w:i/>
                <w:sz w:val="22"/>
              </w:rPr>
              <w:t>Statement of Cash Flows</w:t>
            </w:r>
            <w:r>
              <w:rPr>
                <w:rFonts w:ascii="Calibri" w:hAnsi="Calibri" w:cs="Calibri"/>
                <w:b w:val="0"/>
                <w:i w:val="0"/>
                <w:sz w:val="22"/>
              </w:rPr>
              <w:t xml:space="preserve"> (SCF, laporan arus kas) sebagai pelengkap wajib bagi laporan keuangan berbasis akrual (Wolk et al., 2017).</w:t>
            </w:r>
          </w:p>
        </w:tc>
      </w:tr>
      <w:tr>
        <w:tc>
          <w:tcPr>
            <w:tcW w:type="dxa" w:w="2835"/>
          </w:tcPr>
          <w:p>
            <w:pPr>
              <w:spacing w:line="360" w:lineRule="auto"/>
              <w:jc w:val="left"/>
            </w:pPr>
            <w:r/>
            <w:r>
              <w:rPr>
                <w:rFonts w:ascii="Calibri" w:hAnsi="Calibri" w:cs="Calibri"/>
                <w:b/>
                <w:i w:val="0"/>
                <w:sz w:val="22"/>
              </w:rPr>
              <w:t>Bagaimana alur bab ini dan apa dua masalah utamanya?</w:t>
            </w:r>
          </w:p>
        </w:tc>
        <w:tc>
          <w:tcPr>
            <w:tcW w:type="dxa" w:w="5669"/>
          </w:tcPr>
          <w:p>
            <w:pPr>
              <w:spacing w:line="360" w:lineRule="auto"/>
              <w:jc w:val="both"/>
            </w:pPr>
            <w:r/>
            <w:r>
              <w:rPr>
                <w:rFonts w:ascii="Calibri" w:hAnsi="Calibri" w:cs="Calibri"/>
                <w:b w:val="0"/>
                <w:i w:val="0"/>
                <w:sz w:val="22"/>
              </w:rPr>
              <w:t xml:space="preserve">Bab ini lebih dulu membahas pendahulu SCF, yaitu </w:t>
            </w:r>
            <w:r>
              <w:rPr>
                <w:rFonts w:ascii="Calibri" w:hAnsi="Calibri" w:cs="Calibri"/>
                <w:b w:val="0"/>
                <w:i/>
                <w:sz w:val="22"/>
              </w:rPr>
              <w:t>Statement of Changes in Financial Position</w:t>
            </w:r>
            <w:r>
              <w:rPr>
                <w:rFonts w:ascii="Calibri" w:hAnsi="Calibri" w:cs="Calibri"/>
                <w:b w:val="0"/>
                <w:i w:val="0"/>
                <w:sz w:val="22"/>
              </w:rPr>
              <w:t xml:space="preserve"> (SCFP, laporan perubahan posisi keuangan), baru kemudian masuk ke alasan dan struktur SCF. Wolk juga terus terang menyebut dua kelemahan SCF. Pertama, ketakterartikulasian (</w:t>
            </w:r>
            <w:r>
              <w:rPr>
                <w:rFonts w:ascii="Calibri" w:hAnsi="Calibri" w:cs="Calibri"/>
                <w:b w:val="0"/>
                <w:i/>
                <w:sz w:val="22"/>
              </w:rPr>
              <w:t>nonarticulation</w:t>
            </w:r>
            <w:r>
              <w:rPr>
                <w:rFonts w:ascii="Calibri" w:hAnsi="Calibri" w:cs="Calibri"/>
                <w:b w:val="0"/>
                <w:i w:val="0"/>
                <w:sz w:val="22"/>
              </w:rPr>
              <w:t xml:space="preserve">), yang muncul dari pemakaian metode tidak langsung pada bagian operasi. Kedua, masalah klasifikasi dalam pembagian tiga arah ala FASB. Keduanya mengarah pada satu pesan praktis: SCF harus dibaca secara utuh, bukan sepotong-sepotong. Bagian akhir bab memperkenalkan </w:t>
            </w:r>
            <w:r>
              <w:rPr>
                <w:rFonts w:ascii="Calibri" w:hAnsi="Calibri" w:cs="Calibri"/>
                <w:b w:val="0"/>
                <w:i/>
                <w:sz w:val="22"/>
              </w:rPr>
              <w:t>free cash flow</w:t>
            </w:r>
            <w:r>
              <w:rPr>
                <w:rFonts w:ascii="Calibri" w:hAnsi="Calibri" w:cs="Calibri"/>
                <w:b w:val="0"/>
                <w:i w:val="0"/>
                <w:sz w:val="22"/>
              </w:rPr>
              <w:t xml:space="preserve"> (FCF, arus kas bebas), sebuah ukuran non-GAAP yang justru lahir karena kelemahan SCF, lalu ditutup dengan ulasan riset dan usulan perbaikan (Wolk et al., 2017).</w:t>
            </w:r>
          </w:p>
        </w:tc>
      </w:tr>
      <w:tr>
        <w:tc>
          <w:tcPr>
            <w:tcW w:type="dxa" w:w="2835"/>
          </w:tcPr>
          <w:p>
            <w:pPr>
              <w:spacing w:line="360" w:lineRule="auto"/>
              <w:jc w:val="left"/>
            </w:pPr>
            <w:r/>
            <w:r>
              <w:rPr>
                <w:rFonts w:ascii="Calibri" w:hAnsi="Calibri" w:cs="Calibri"/>
                <w:b/>
                <w:i w:val="0"/>
                <w:sz w:val="22"/>
              </w:rPr>
              <w:t>Apa warisan SCFP dan peran APB Opinion No. 19 (1971)?</w:t>
            </w:r>
          </w:p>
        </w:tc>
        <w:tc>
          <w:tcPr>
            <w:tcW w:type="dxa" w:w="5669"/>
          </w:tcPr>
          <w:p>
            <w:pPr>
              <w:spacing w:line="360" w:lineRule="auto"/>
              <w:jc w:val="both"/>
            </w:pPr>
            <w:r/>
            <w:r>
              <w:rPr>
                <w:rFonts w:ascii="Calibri" w:hAnsi="Calibri" w:cs="Calibri"/>
                <w:b w:val="0"/>
                <w:i w:val="0"/>
                <w:sz w:val="22"/>
              </w:rPr>
              <w:t>Untuk memahami pentingnya SCF, kita perlu melihat pendahulunya. SCFP adalah kelanjutan dari laporan arus dana (</w:t>
            </w:r>
            <w:r>
              <w:rPr>
                <w:rFonts w:ascii="Calibri" w:hAnsi="Calibri" w:cs="Calibri"/>
                <w:b w:val="0"/>
                <w:i/>
                <w:sz w:val="22"/>
              </w:rPr>
              <w:t>funds flow statement</w:t>
            </w:r>
            <w:r>
              <w:rPr>
                <w:rFonts w:ascii="Calibri" w:hAnsi="Calibri" w:cs="Calibri"/>
                <w:b w:val="0"/>
                <w:i w:val="0"/>
                <w:sz w:val="22"/>
              </w:rPr>
              <w:t>). Laporan ini memperlakukan akun-akun modal kerja sebagai saldo dana, dan tujuannya menunjukkan bagaimana saldo itu naik karena laba dan turun karena rugi atau penggunaan lain. APB Opinion No. 19 menetapkan tiga tujuan laporan ini: melengkapi pengungkapan perubahan posisi keuangan, meringkas aktivitas pendanaan dan investasi, serta melaporkan arus dana dari operasi. Karena seluruh angkanya hanya menata ulang data yang sudah ada di laporan laba rugi dan neraca, SCFP disebut laporan turunan. Pengakuannya berlangsung bertahap. APB Opinion No. 3 (1963) baru menyarankan pencantumannya, SEC mewajibkannya untuk pelaporan resmi pada 1971, dan pada tahun yang sama APB merespons dengan Opinion No. 19 yang mewajibkannya secara penuh (Wolk et al., 2017).</w:t>
            </w:r>
          </w:p>
        </w:tc>
      </w:tr>
      <w:tr>
        <w:tc>
          <w:tcPr>
            <w:tcW w:type="dxa" w:w="2835"/>
          </w:tcPr>
          <w:p>
            <w:pPr>
              <w:spacing w:line="360" w:lineRule="auto"/>
              <w:jc w:val="left"/>
            </w:pPr>
            <w:r/>
            <w:r>
              <w:rPr>
                <w:rFonts w:ascii="Calibri" w:hAnsi="Calibri" w:cs="Calibri"/>
                <w:b/>
                <w:i w:val="0"/>
                <w:sz w:val="22"/>
              </w:rPr>
              <w:t>Bagaimana logika sources/uses dan empat pilihan definisi dana?</w:t>
            </w:r>
          </w:p>
        </w:tc>
        <w:tc>
          <w:tcPr>
            <w:tcW w:type="dxa" w:w="5669"/>
          </w:tcPr>
          <w:p>
            <w:pPr>
              <w:spacing w:line="360" w:lineRule="auto"/>
              <w:jc w:val="both"/>
            </w:pPr>
            <w:r/>
            <w:r>
              <w:rPr>
                <w:rFonts w:ascii="Calibri" w:hAnsi="Calibri" w:cs="Calibri"/>
                <w:b w:val="0"/>
                <w:i w:val="0"/>
                <w:sz w:val="22"/>
              </w:rPr>
              <w:t>SCFP memiliki dua sisi yang saling mengimbangi. Sisi pertama adalah sumber sumber daya (</w:t>
            </w:r>
            <w:r>
              <w:rPr>
                <w:rFonts w:ascii="Calibri" w:hAnsi="Calibri" w:cs="Calibri"/>
                <w:b w:val="0"/>
                <w:i/>
                <w:sz w:val="22"/>
              </w:rPr>
              <w:t>sources of resources</w:t>
            </w:r>
            <w:r>
              <w:rPr>
                <w:rFonts w:ascii="Calibri" w:hAnsi="Calibri" w:cs="Calibri"/>
                <w:b w:val="0"/>
                <w:i w:val="0"/>
                <w:sz w:val="22"/>
              </w:rPr>
              <w:t>), yang berasal dari kenaikan ekuitas dan penurunan aset. Sisi kedua adalah penggunaan sumber daya (</w:t>
            </w:r>
            <w:r>
              <w:rPr>
                <w:rFonts w:ascii="Calibri" w:hAnsi="Calibri" w:cs="Calibri"/>
                <w:b w:val="0"/>
                <w:i/>
                <w:sz w:val="22"/>
              </w:rPr>
              <w:t>uses of resources</w:t>
            </w:r>
            <w:r>
              <w:rPr>
                <w:rFonts w:ascii="Calibri" w:hAnsi="Calibri" w:cs="Calibri"/>
                <w:b w:val="0"/>
                <w:i w:val="0"/>
                <w:sz w:val="22"/>
              </w:rPr>
              <w:t>), yang berasal dari penurunan ekuitas dan kenaikan aset. Keduanya bertemu pada satu persamaan dasar, yaitu persamaan 13.1: kredit transaksi sama dengan debit transaksi. Kenaikan ekuitas menandakan adanya pendanaan, baik dari luar (utang dan penerbitan saham) maupun dari dalam (laba dan hasil penjualan aset). Sebaliknya, penurunan ekuitas menandakan pembayaran utang, pembelian saham treasuri, pembagian dividen, atau rugi. Bila transaksi yang tidak melibatkan kas ikut dicatat, misalnya utang yang diubah menjadi saham, SCFP menjadi ringkasan menyeluruh yang disebut pendekatan mencakup-semua (</w:t>
            </w:r>
            <w:r>
              <w:rPr>
                <w:rFonts w:ascii="Calibri" w:hAnsi="Calibri" w:cs="Calibri"/>
                <w:b w:val="0"/>
                <w:i/>
                <w:sz w:val="22"/>
              </w:rPr>
              <w:t>all-inclusive</w:t>
            </w:r>
            <w:r>
              <w:rPr>
                <w:rFonts w:ascii="Calibri" w:hAnsi="Calibri" w:cs="Calibri"/>
                <w:b w:val="0"/>
                <w:i w:val="0"/>
                <w:sz w:val="22"/>
              </w:rPr>
              <w:t>). Opinion No. 19 sebenarnya menyediakan empat pilihan arti dana, yaitu kas, kas plus near cash, quick assets, atau modal kerja. Karena definisi modal kerja paling murah disusun dan paling sederhana, sebagian besar perusahaan memilihnya (Wolk et al., 2017; lihat Exhibit 13.1).</w:t>
            </w:r>
          </w:p>
        </w:tc>
      </w:tr>
    </w:tbl>
    <w:p>
      <w:pPr>
        <w:spacing w:before="40" w:after="40"/>
        <w:jc w:val="center"/>
      </w:pPr>
      <w:r>
        <w:drawing>
          <wp:inline xmlns:a="http://schemas.openxmlformats.org/drawingml/2006/main" xmlns:pic="http://schemas.openxmlformats.org/drawingml/2006/picture">
            <wp:extent cx="5220000" cy="2437830"/>
            <wp:docPr id="1" name="Picture 1"/>
            <wp:cNvGraphicFramePr>
              <a:graphicFrameLocks noChangeAspect="1"/>
            </wp:cNvGraphicFramePr>
            <a:graphic>
              <a:graphicData uri="http://schemas.openxmlformats.org/drawingml/2006/picture">
                <pic:pic>
                  <pic:nvPicPr>
                    <pic:cNvPr id="0" name="exhibit-13-1.png"/>
                    <pic:cNvPicPr/>
                  </pic:nvPicPr>
                  <pic:blipFill>
                    <a:blip r:embed="rId10"/>
                    <a:stretch>
                      <a:fillRect/>
                    </a:stretch>
                  </pic:blipFill>
                  <pic:spPr>
                    <a:xfrm>
                      <a:off x="0" y="0"/>
                      <a:ext cx="5220000" cy="2437830"/>
                    </a:xfrm>
                    <a:prstGeom prst="rect"/>
                  </pic:spPr>
                </pic:pic>
              </a:graphicData>
            </a:graphic>
          </wp:inline>
        </w:drawing>
      </w:r>
    </w:p>
    <w:p>
      <w:pPr>
        <w:spacing w:line="360" w:lineRule="auto" w:before="0" w:after="0"/>
        <w:jc w:val="center"/>
      </w:pPr>
      <w:r>
        <w:rPr>
          <w:rFonts w:ascii="Calibri" w:hAnsi="Calibri" w:cs="Calibri"/>
          <w:b w:val="0"/>
          <w:i w:val="0"/>
          <w:sz w:val="22"/>
        </w:rPr>
        <w:t>Exhibit 13.1 — Format Standar Statement of Changes in Financial Position</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341589"/>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220000" cy="1341589"/>
                    </a:xfrm>
                    <a:prstGeom prst="rect"/>
                  </pic:spPr>
                </pic:pic>
              </a:graphicData>
            </a:graphic>
          </wp:inline>
        </w:drawing>
      </w:r>
    </w:p>
    <w:p>
      <w:pPr>
        <w:spacing w:line="360" w:lineRule="auto" w:before="0" w:after="0"/>
        <w:jc w:val="center"/>
      </w:pPr>
      <w:r>
        <w:rPr>
          <w:rFonts w:ascii="Calibri" w:hAnsi="Calibri" w:cs="Calibri"/>
          <w:b/>
          <w:i w:val="0"/>
          <w:sz w:val="22"/>
        </w:rPr>
        <w:t xml:space="preserve">Gambar 1. </w:t>
      </w:r>
      <w:r>
        <w:rPr>
          <w:rFonts w:ascii="Calibri" w:hAnsi="Calibri" w:cs="Calibri"/>
          <w:b w:val="0"/>
          <w:i w:val="0"/>
          <w:sz w:val="22"/>
        </w:rPr>
        <w:t>Lini Masa Warisan Pelaporan Arus Dana (APB No. 3 1963 → SEC 1971 → APB No. 19 1971 → SFAS No. 95 1987)</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pada akhirnya dana didefinisikan sebagai kas?</w:t>
            </w:r>
          </w:p>
        </w:tc>
        <w:tc>
          <w:tcPr>
            <w:tcW w:type="dxa" w:w="5669"/>
          </w:tcPr>
          <w:p>
            <w:pPr>
              <w:spacing w:line="360" w:lineRule="auto"/>
              <w:jc w:val="both"/>
            </w:pPr>
            <w:r/>
            <w:r>
              <w:rPr>
                <w:rFonts w:ascii="Calibri" w:hAnsi="Calibri" w:cs="Calibri"/>
                <w:b w:val="0"/>
                <w:i w:val="0"/>
                <w:sz w:val="22"/>
              </w:rPr>
              <w:t>Saat menyusun SCF, FASB menyimpulkan bahwa dana sebaiknya berarti kas, bukan modal kerja bersih. Alasannya, modal kerja bersih adalah ukuran likuiditas yang lemah, dan ada tiga sebabnya. Pertama, di dalamnya terdapat beban dan kredit tangguhan yang sebenarnya tidak berkaitan dengan kas. Kedua, bagi perusahaan dengan siklus operasi panjang, mengubah aset lancar menjadi kas bisa memakan waktu setahun atau lebih. Ketiga, pos seperti persediaan dicatat berdasarkan biaya, sehingga tidak menunjukkan berapa kas yang dapat dihasilkan. Di tengah kerumitan itu, pelaporan berbasis kas jauh lebih mudah dipahami (Wolk et al., 2017).</w:t>
            </w:r>
          </w:p>
        </w:tc>
      </w:tr>
      <w:tr>
        <w:tc>
          <w:tcPr>
            <w:tcW w:type="dxa" w:w="2835"/>
          </w:tcPr>
          <w:p>
            <w:pPr>
              <w:spacing w:line="360" w:lineRule="auto"/>
              <w:jc w:val="left"/>
            </w:pPr>
            <w:r/>
            <w:r>
              <w:rPr>
                <w:rFonts w:ascii="Calibri" w:hAnsi="Calibri" w:cs="Calibri"/>
                <w:b/>
                <w:i w:val="0"/>
                <w:sz w:val="22"/>
              </w:rPr>
              <w:t>Bagaimana SFAS No. 95 menggantikan SCFP, dan apa kaitannya dengan SFAC No. 1 dan No. 5?</w:t>
            </w:r>
          </w:p>
        </w:tc>
        <w:tc>
          <w:tcPr>
            <w:tcW w:type="dxa" w:w="5669"/>
          </w:tcPr>
          <w:p>
            <w:pPr>
              <w:spacing w:line="360" w:lineRule="auto"/>
              <w:jc w:val="both"/>
            </w:pPr>
            <w:r/>
            <w:r>
              <w:rPr>
                <w:rFonts w:ascii="Calibri" w:hAnsi="Calibri" w:cs="Calibri"/>
                <w:b w:val="0"/>
                <w:i w:val="0"/>
                <w:sz w:val="22"/>
              </w:rPr>
              <w:t>Pada 1987 FASB mewajibkan SCF melalui SFAS No. 95, sekaligus menggantikan SCFP. Dasarnya sudah disiapkan oleh kerangka konseptual. SFAC No. 1 menyebut tiga tujuan pelaporan keuangan. Tujuan pertama bersifat luas, yaitu menyediakan informasi yang berguna untuk keputusan investasi dan kredit. Dua tujuan berikutnya, yaitu informasi tentang sumber daya bersih perusahaan beserta perubahannya dan informasi untuk menilai arus kas masa depan, sebenarnya merupakan cara konkret mewujudkan tujuan pertama. Dua tujuan terakhir inilah yang mendorong adopsi SCF pada 1980-an. SFAC No. 5 menegaskan bahwa SCF menunjukkan bagaimana perusahaan menghasilkan kas dari operasi untuk membayar utang, membagi dividen, atau berinvestasi kembali, di samping aktivitas pendanaan dan investasinya. Informasi ini berguna untuk menilai likuiditas, fleksibilitas keuangan, profitabilitas, dan risiko (Wolk et al., 2017).</w:t>
            </w:r>
          </w:p>
        </w:tc>
      </w:tr>
      <w:tr>
        <w:tc>
          <w:tcPr>
            <w:tcW w:type="dxa" w:w="2835"/>
          </w:tcPr>
          <w:p>
            <w:pPr>
              <w:spacing w:line="360" w:lineRule="auto"/>
              <w:jc w:val="left"/>
            </w:pPr>
            <w:r/>
            <w:r>
              <w:rPr>
                <w:rFonts w:ascii="Calibri" w:hAnsi="Calibri" w:cs="Calibri"/>
                <w:b/>
                <w:i w:val="0"/>
                <w:sz w:val="22"/>
              </w:rPr>
              <w:t>Apa enam manfaat data arus kas menurut FASB?</w:t>
            </w:r>
          </w:p>
        </w:tc>
        <w:tc>
          <w:tcPr>
            <w:tcW w:type="dxa" w:w="5669"/>
          </w:tcPr>
          <w:p>
            <w:pPr>
              <w:spacing w:line="360" w:lineRule="auto"/>
              <w:jc w:val="both"/>
            </w:pPr>
            <w:r/>
            <w:r>
              <w:rPr>
                <w:rFonts w:ascii="Calibri" w:hAnsi="Calibri" w:cs="Calibri"/>
                <w:b w:val="0"/>
                <w:i w:val="0"/>
                <w:sz w:val="22"/>
              </w:rPr>
              <w:t>Sebuah discussion memorandum FASB menyebut enam alasan mengapa data arus kas adalah pelengkap yang berharga. Data ini memberi umpan balik atas arus kas yang sebenarnya, membantu mengaitkan laba akuntansi dengan arus kas, menunjukkan kualitas laba, memperbaiki keterbandingan informasi, membantu menilai fleksibilitas dan likuiditas, serta membantu memprediksi arus kas masa depan. Keenam alasan ini sebenarnya berakar pada satu hal yang sama, yaitu keterbatasan akuntansi akrual. Karena itu, data arus kas tidak menggantikan data akrual, melainkan melengkapinya (Wolk et al., 2017).</w:t>
            </w:r>
          </w:p>
        </w:tc>
      </w:tr>
      <w:tr>
        <w:tc>
          <w:tcPr>
            <w:tcW w:type="dxa" w:w="2835"/>
          </w:tcPr>
          <w:p>
            <w:pPr>
              <w:spacing w:line="360" w:lineRule="auto"/>
              <w:jc w:val="left"/>
            </w:pPr>
            <w:r/>
            <w:r>
              <w:rPr>
                <w:rFonts w:ascii="Calibri" w:hAnsi="Calibri" w:cs="Calibri"/>
                <w:b/>
                <w:i w:val="0"/>
                <w:sz w:val="22"/>
              </w:rPr>
              <w:t>Apa itu kualitas laba, dan bagaimana arus kas membantu masalah keseragaman?</w:t>
            </w:r>
          </w:p>
        </w:tc>
        <w:tc>
          <w:tcPr>
            <w:tcW w:type="dxa" w:w="5669"/>
          </w:tcPr>
          <w:p>
            <w:pPr>
              <w:spacing w:line="360" w:lineRule="auto"/>
              <w:jc w:val="both"/>
            </w:pPr>
            <w:r/>
            <w:r>
              <w:rPr>
                <w:rFonts w:ascii="Calibri" w:hAnsi="Calibri" w:cs="Calibri"/>
                <w:b w:val="0"/>
                <w:i w:val="0"/>
                <w:sz w:val="22"/>
              </w:rPr>
              <w:t>Kualitas laba (</w:t>
            </w:r>
            <w:r>
              <w:rPr>
                <w:rFonts w:ascii="Calibri" w:hAnsi="Calibri" w:cs="Calibri"/>
                <w:b w:val="0"/>
                <w:i/>
                <w:sz w:val="22"/>
              </w:rPr>
              <w:t>quality of income</w:t>
            </w:r>
            <w:r>
              <w:rPr>
                <w:rFonts w:ascii="Calibri" w:hAnsi="Calibri" w:cs="Calibri"/>
                <w:b w:val="0"/>
                <w:i w:val="0"/>
                <w:sz w:val="22"/>
              </w:rPr>
              <w:t>) adalah istilah analis untuk menggambarkan seberapa dekat arus kas dengan laba akuntansi. Semakin sejalan keduanya, semakin tinggi kualitas labanya. Konsep ini berangkat dari kenyataan bahwa laba penuh dengan akrual dan penundaan yang tidak melibatkan kas, sehingga tidak selalu menjadi penanda likuiditas yang baik. Ada pula sisi lain, yaitu masalah keseragaman. Kebebasan memilih kebijakan akuntansi dapat membuat perusahaan sulit dibandingkan satu sama lain. Sebaliknya, arus kas operasi memiliki lebih sedikit pilihan kebijakan, sehingga lebih seragam dan lebih mudah dibandingkan. Itulah sebabnya SCF dianjurkan sebagai penawar kesewenang-wenangan dalam mengukur laba, sebab arus kas bersifat jelas dan nyata, berbeda dengan laba yang abstrak (Wolk et al., 2017).</w:t>
            </w:r>
          </w:p>
        </w:tc>
      </w:tr>
      <w:tr>
        <w:tc>
          <w:tcPr>
            <w:tcW w:type="dxa" w:w="2835"/>
          </w:tcPr>
          <w:p>
            <w:pPr>
              <w:spacing w:line="360" w:lineRule="auto"/>
              <w:jc w:val="left"/>
            </w:pPr>
            <w:r/>
            <w:r>
              <w:rPr>
                <w:rFonts w:ascii="Calibri" w:hAnsi="Calibri" w:cs="Calibri"/>
                <w:b/>
                <w:i w:val="0"/>
                <w:sz w:val="22"/>
              </w:rPr>
              <w:t>Apa beda fleksibilitas keuangan dan likuiditas, dan mengapa neraca tidak cukup?</w:t>
            </w:r>
          </w:p>
        </w:tc>
        <w:tc>
          <w:tcPr>
            <w:tcW w:type="dxa" w:w="5669"/>
          </w:tcPr>
          <w:p>
            <w:pPr>
              <w:spacing w:line="360" w:lineRule="auto"/>
              <w:jc w:val="both"/>
            </w:pPr>
            <w:r/>
            <w:r>
              <w:rPr>
                <w:rFonts w:ascii="Calibri" w:hAnsi="Calibri" w:cs="Calibri"/>
                <w:b w:val="0"/>
                <w:i w:val="0"/>
                <w:sz w:val="22"/>
              </w:rPr>
              <w:t>Fleksibilitas keuangan (</w:t>
            </w:r>
            <w:r>
              <w:rPr>
                <w:rFonts w:ascii="Calibri" w:hAnsi="Calibri" w:cs="Calibri"/>
                <w:b w:val="0"/>
                <w:i/>
                <w:sz w:val="22"/>
              </w:rPr>
              <w:t>financial flexibility</w:t>
            </w:r>
            <w:r>
              <w:rPr>
                <w:rFonts w:ascii="Calibri" w:hAnsi="Calibri" w:cs="Calibri"/>
                <w:b w:val="0"/>
                <w:i w:val="0"/>
                <w:sz w:val="22"/>
              </w:rPr>
              <w:t>) adalah kemampuan perusahaan menyesuaikan diri dengan keadaan dan peluang baru. Likuiditas (</w:t>
            </w:r>
            <w:r>
              <w:rPr>
                <w:rFonts w:ascii="Calibri" w:hAnsi="Calibri" w:cs="Calibri"/>
                <w:b w:val="0"/>
                <w:i/>
                <w:sz w:val="22"/>
              </w:rPr>
              <w:t>liquidity</w:t>
            </w:r>
            <w:r>
              <w:rPr>
                <w:rFonts w:ascii="Calibri" w:hAnsi="Calibri" w:cs="Calibri"/>
                <w:b w:val="0"/>
                <w:i w:val="0"/>
                <w:sz w:val="22"/>
              </w:rPr>
              <w:t>) adalah kemampuan mengubah aset menjadi kas dengan cepat tanpa mengalami kerugian. Kas yang dihasilkan sendiri dari operasi memberi petunjuk atas keduanya, sebab kas itulah yang dipakai untuk membayar utang, mendanai investasi baru, dan membagikan hasil kepada pemegang saham. Inilah alasan laporan arus dana dahulu diwajibkan. Neraca memang memuat informasi likuiditas, tetapi pembagian lancar dan taklancar adalah pemandu yang kasar. Sebagian pos lancar hanya beban tangguhan tanpa dampak kas, persediaan belum tentu cepat menjadi kas, dan angka di neraca umumnya bukan nilai jual bersih sehingga kas yang akan dihasilkan suatu aset tidak dapat dipastikan. Ada pula akuntansi harga keluar (</w:t>
            </w:r>
            <w:r>
              <w:rPr>
                <w:rFonts w:ascii="Calibri" w:hAnsi="Calibri" w:cs="Calibri"/>
                <w:b w:val="0"/>
                <w:i/>
                <w:sz w:val="22"/>
              </w:rPr>
              <w:t>exit-price accounting</w:t>
            </w:r>
            <w:r>
              <w:rPr>
                <w:rFonts w:ascii="Calibri" w:hAnsi="Calibri" w:cs="Calibri"/>
                <w:b w:val="0"/>
                <w:i w:val="0"/>
                <w:sz w:val="22"/>
              </w:rPr>
              <w:t>) yang mencoba mengukur fleksibilitas melalui kas dari likuidasi tanpa paksaan, tetapi tetap kasar karena yang menentukan likuiditas adalah kecepatan mengubahnya menjadi kas. Soal mana yang paling tepat meramalkan arus kas masa depan, antara arus kas, arus dana, atau laba, masih menjadi pertanyaan terbuka (Wolk et al., 2017).</w:t>
            </w:r>
          </w:p>
        </w:tc>
      </w:tr>
      <w:tr>
        <w:tc>
          <w:tcPr>
            <w:tcW w:type="dxa" w:w="2835"/>
          </w:tcPr>
          <w:p>
            <w:pPr>
              <w:spacing w:line="360" w:lineRule="auto"/>
              <w:jc w:val="left"/>
            </w:pPr>
            <w:r/>
            <w:r>
              <w:rPr>
                <w:rFonts w:ascii="Calibri" w:hAnsi="Calibri" w:cs="Calibri"/>
                <w:b/>
                <w:i w:val="0"/>
                <w:sz w:val="22"/>
              </w:rPr>
              <w:t>Seperti apa struktur SCF dengan trikotomi operasi–investasi–pendanaan?</w:t>
            </w:r>
          </w:p>
        </w:tc>
        <w:tc>
          <w:tcPr>
            <w:tcW w:type="dxa" w:w="5669"/>
          </w:tcPr>
          <w:p>
            <w:pPr>
              <w:spacing w:line="360" w:lineRule="auto"/>
              <w:jc w:val="both"/>
            </w:pPr>
            <w:r/>
            <w:r>
              <w:rPr>
                <w:rFonts w:ascii="Calibri" w:hAnsi="Calibri" w:cs="Calibri"/>
                <w:b w:val="0"/>
                <w:i w:val="0"/>
                <w:sz w:val="22"/>
              </w:rPr>
              <w:t>SCFP hanya bekerja dengan kerangka sumber dan penggunaan yang mekanis. SCF melangkah lebih jauh dengan menata penerimaan dan pengeluaran kas ke dalam tiga kelompok yang lebih bermakna, yaitu aktivitas operasi, investasi, dan pendanaan. Pembagian tiga arah ini membuat klasifikasinya lebih konsisten dan lebih mudah dibandingkan daripada SCFP. Meski begitu, tiga dari tujuh anggota FASB tidak setuju. Menurut mereka, bunga dan dividen yang diterima sebenarnya termasuk aktivitas investasi (paragraf 22), dan bunga yang dibayar termasuk pendanaan, bukan biaya operasi (paragraf 23). Pandangan ini justru lebih sesuai dengan cara berpikir ilmu keuangan masa kini (Wolk et al., 2017).</w:t>
            </w:r>
          </w:p>
        </w:tc>
      </w:tr>
    </w:tbl>
    <w:p>
      <w:pPr>
        <w:spacing w:before="40" w:after="40"/>
        <w:jc w:val="center"/>
      </w:pPr>
      <w:r>
        <w:drawing>
          <wp:inline xmlns:a="http://schemas.openxmlformats.org/drawingml/2006/main" xmlns:pic="http://schemas.openxmlformats.org/drawingml/2006/picture">
            <wp:extent cx="5220000" cy="1890421"/>
            <wp:docPr id="3" name="Picture 3"/>
            <wp:cNvGraphicFramePr>
              <a:graphicFrameLocks noChangeAspect="1"/>
            </wp:cNvGraphicFramePr>
            <a:graphic>
              <a:graphicData uri="http://schemas.openxmlformats.org/drawingml/2006/picture">
                <pic:pic>
                  <pic:nvPicPr>
                    <pic:cNvPr id="0" name="trichotomy.png"/>
                    <pic:cNvPicPr/>
                  </pic:nvPicPr>
                  <pic:blipFill>
                    <a:blip r:embed="rId12"/>
                    <a:stretch>
                      <a:fillRect/>
                    </a:stretch>
                  </pic:blipFill>
                  <pic:spPr>
                    <a:xfrm>
                      <a:off x="0" y="0"/>
                      <a:ext cx="5220000" cy="1890421"/>
                    </a:xfrm>
                    <a:prstGeom prst="rect"/>
                  </pic:spPr>
                </pic:pic>
              </a:graphicData>
            </a:graphic>
          </wp:inline>
        </w:drawing>
      </w:r>
    </w:p>
    <w:p>
      <w:pPr>
        <w:spacing w:line="360" w:lineRule="auto" w:before="0" w:after="0"/>
        <w:jc w:val="center"/>
      </w:pPr>
      <w:r>
        <w:rPr>
          <w:rFonts w:ascii="Calibri" w:hAnsi="Calibri" w:cs="Calibri"/>
          <w:b/>
          <w:i w:val="0"/>
          <w:sz w:val="22"/>
        </w:rPr>
        <w:t xml:space="preserve">Gambar 2. </w:t>
      </w:r>
      <w:r>
        <w:rPr>
          <w:rFonts w:ascii="Calibri" w:hAnsi="Calibri" w:cs="Calibri"/>
          <w:b w:val="0"/>
          <w:i w:val="0"/>
          <w:sz w:val="22"/>
        </w:rPr>
        <w:t>Trikotomi Arus Kas SFAS No. 95: Operasi, Investasi, dan Pendanaan</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Bagaimana kas, setara kas, dan transaksi nonkas diperlakukan?</w:t>
            </w:r>
          </w:p>
        </w:tc>
        <w:tc>
          <w:tcPr>
            <w:tcW w:type="dxa" w:w="5669"/>
          </w:tcPr>
          <w:p>
            <w:pPr>
              <w:spacing w:line="360" w:lineRule="auto"/>
              <w:jc w:val="both"/>
            </w:pPr>
            <w:r/>
            <w:r>
              <w:rPr>
                <w:rFonts w:ascii="Calibri" w:hAnsi="Calibri" w:cs="Calibri"/>
                <w:b w:val="0"/>
                <w:i w:val="0"/>
                <w:sz w:val="22"/>
              </w:rPr>
              <w:t>Dalam SCF, kas berarti uang tunai di tangan atau simpanan yang dapat diambil sewaktu-waktu, ditambah setara kas (</w:t>
            </w:r>
            <w:r>
              <w:rPr>
                <w:rFonts w:ascii="Calibri" w:hAnsi="Calibri" w:cs="Calibri"/>
                <w:b w:val="0"/>
                <w:i/>
                <w:sz w:val="22"/>
              </w:rPr>
              <w:t>cash equivalents</w:t>
            </w:r>
            <w:r>
              <w:rPr>
                <w:rFonts w:ascii="Calibri" w:hAnsi="Calibri" w:cs="Calibri"/>
                <w:b w:val="0"/>
                <w:i w:val="0"/>
                <w:sz w:val="22"/>
              </w:rPr>
              <w:t>), yaitu investasi jangka pendek yang sangat mudah dicairkan menjadi sejumlah kas yang sudah diketahui nilainya. Sama seperti APB Opinion No. 19, SFAS No. 95 mewajibkan setiap transaksi investasi dan pendanaan yang tidak melibatkan kas tetap dilaporkan sebagai pelengkap, baik dalam bentuk skedul maupun narasi. Inilah penerapan pendekatan mencakup-semua, yang memastikan tidak ada satu pun transaksi perusahaan yang luput dari laporan (Wolk et al., 2017).</w:t>
            </w:r>
          </w:p>
        </w:tc>
      </w:tr>
      <w:tr>
        <w:tc>
          <w:tcPr>
            <w:tcW w:type="dxa" w:w="2835"/>
          </w:tcPr>
          <w:p>
            <w:pPr>
              <w:spacing w:line="360" w:lineRule="auto"/>
              <w:jc w:val="left"/>
            </w:pPr>
            <w:r/>
            <w:r>
              <w:rPr>
                <w:rFonts w:ascii="Calibri" w:hAnsi="Calibri" w:cs="Calibri"/>
                <w:b/>
                <w:i w:val="0"/>
                <w:sz w:val="22"/>
              </w:rPr>
              <w:t>Apa beda metode langsung dan tidak langsung?</w:t>
            </w:r>
          </w:p>
        </w:tc>
        <w:tc>
          <w:tcPr>
            <w:tcW w:type="dxa" w:w="5669"/>
          </w:tcPr>
          <w:p>
            <w:pPr>
              <w:spacing w:line="360" w:lineRule="auto"/>
              <w:jc w:val="both"/>
            </w:pPr>
            <w:r/>
            <w:r>
              <w:rPr>
                <w:rFonts w:ascii="Calibri" w:hAnsi="Calibri" w:cs="Calibri"/>
                <w:b w:val="0"/>
                <w:i w:val="0"/>
                <w:sz w:val="22"/>
              </w:rPr>
              <w:t>SFAS No. 95 membolehkan arus kas operasi disajikan dengan metode langsung (</w:t>
            </w:r>
            <w:r>
              <w:rPr>
                <w:rFonts w:ascii="Calibri" w:hAnsi="Calibri" w:cs="Calibri"/>
                <w:b w:val="0"/>
                <w:i/>
                <w:sz w:val="22"/>
              </w:rPr>
              <w:t>direct method</w:t>
            </w:r>
            <w:r>
              <w:rPr>
                <w:rFonts w:ascii="Calibri" w:hAnsi="Calibri" w:cs="Calibri"/>
                <w:b w:val="0"/>
                <w:i w:val="0"/>
                <w:sz w:val="22"/>
              </w:rPr>
              <w:t>) atau metode tidak langsung (</w:t>
            </w:r>
            <w:r>
              <w:rPr>
                <w:rFonts w:ascii="Calibri" w:hAnsi="Calibri" w:cs="Calibri"/>
                <w:b w:val="0"/>
                <w:i/>
                <w:sz w:val="22"/>
              </w:rPr>
              <w:t>indirect method</w:t>
            </w:r>
            <w:r>
              <w:rPr>
                <w:rFonts w:ascii="Calibri" w:hAnsi="Calibri" w:cs="Calibri"/>
                <w:b w:val="0"/>
                <w:i w:val="0"/>
                <w:sz w:val="22"/>
              </w:rPr>
              <w:t>). Metode langsung melaporkan arus kas apa adanya, sejajar dengan pos laporan laba rugi seperti pendapatan dan harga pokok penjualan. Metode ini menyajikan lebih banyak informasi dan menjadi pilihan FASB. Metode tidak langsung, yang juga disebut metode rekonsiliasi, bertolak dari laba akrual lalu disesuaikan untuk pos-pos yang tidak melibatkan kas. FASB mengakui metode langsung dapat lebih mahal, sebab tidak semua perusahaan memiliki catatan yang rapi untuk menghasilkan datanya, dan dalam praktik sering dibutuhkan angka penyeimbang agar laporannya cocok. Bila metode langsung dipakai pun, perusahaan tetap wajib melampirkan skedul yang mencocokkan arus kas operasi dengan laba bersih, sehingga metode tidak langsung praktis selalu hadir. Sebagian anggota FASB bahkan menilai izin atas metode tidak langsung membuat pengguna sulit memahami laporan dan menurunkan mutunya (Wolk et al., 2017; lihat Exhibit 13.2 dan 13.3).</w:t>
            </w:r>
          </w:p>
        </w:tc>
      </w:tr>
    </w:tbl>
    <w:p>
      <w:pPr>
        <w:spacing w:before="40" w:after="40"/>
        <w:jc w:val="center"/>
      </w:pPr>
      <w:r>
        <w:drawing>
          <wp:inline xmlns:a="http://schemas.openxmlformats.org/drawingml/2006/main" xmlns:pic="http://schemas.openxmlformats.org/drawingml/2006/picture">
            <wp:extent cx="5220000" cy="6260507"/>
            <wp:docPr id="4" name="Picture 4"/>
            <wp:cNvGraphicFramePr>
              <a:graphicFrameLocks noChangeAspect="1"/>
            </wp:cNvGraphicFramePr>
            <a:graphic>
              <a:graphicData uri="http://schemas.openxmlformats.org/drawingml/2006/picture">
                <pic:pic>
                  <pic:nvPicPr>
                    <pic:cNvPr id="0" name="exhibit-13-2.png"/>
                    <pic:cNvPicPr/>
                  </pic:nvPicPr>
                  <pic:blipFill>
                    <a:blip r:embed="rId13"/>
                    <a:stretch>
                      <a:fillRect/>
                    </a:stretch>
                  </pic:blipFill>
                  <pic:spPr>
                    <a:xfrm>
                      <a:off x="0" y="0"/>
                      <a:ext cx="5220000" cy="6260507"/>
                    </a:xfrm>
                    <a:prstGeom prst="rect"/>
                  </pic:spPr>
                </pic:pic>
              </a:graphicData>
            </a:graphic>
          </wp:inline>
        </w:drawing>
      </w:r>
    </w:p>
    <w:p>
      <w:pPr>
        <w:spacing w:line="360" w:lineRule="auto" w:before="0" w:after="0"/>
        <w:jc w:val="center"/>
      </w:pPr>
      <w:r>
        <w:rPr>
          <w:rFonts w:ascii="Calibri" w:hAnsi="Calibri" w:cs="Calibri"/>
          <w:b w:val="0"/>
          <w:i w:val="0"/>
          <w:sz w:val="22"/>
        </w:rPr>
        <w:t>Exhibit 13.2 — Penyajian SCF Metode Langsung (Company M, 2000)</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491979"/>
            <wp:docPr id="5" name="Picture 5"/>
            <wp:cNvGraphicFramePr>
              <a:graphicFrameLocks noChangeAspect="1"/>
            </wp:cNvGraphicFramePr>
            <a:graphic>
              <a:graphicData uri="http://schemas.openxmlformats.org/drawingml/2006/picture">
                <pic:pic>
                  <pic:nvPicPr>
                    <pic:cNvPr id="0" name="exhibit-13-3.png"/>
                    <pic:cNvPicPr/>
                  </pic:nvPicPr>
                  <pic:blipFill>
                    <a:blip r:embed="rId14"/>
                    <a:stretch>
                      <a:fillRect/>
                    </a:stretch>
                  </pic:blipFill>
                  <pic:spPr>
                    <a:xfrm>
                      <a:off x="0" y="0"/>
                      <a:ext cx="5220000" cy="5491979"/>
                    </a:xfrm>
                    <a:prstGeom prst="rect"/>
                  </pic:spPr>
                </pic:pic>
              </a:graphicData>
            </a:graphic>
          </wp:inline>
        </w:drawing>
      </w:r>
    </w:p>
    <w:p>
      <w:pPr>
        <w:spacing w:line="360" w:lineRule="auto" w:before="0" w:after="0"/>
        <w:jc w:val="center"/>
      </w:pPr>
      <w:r>
        <w:rPr>
          <w:rFonts w:ascii="Calibri" w:hAnsi="Calibri" w:cs="Calibri"/>
          <w:b w:val="0"/>
          <w:i w:val="0"/>
          <w:sz w:val="22"/>
        </w:rPr>
        <w:t>Exhibit 13.3 — Metode Tidak Langsung / Rekonsiliasi Arus Kas Operasi (Company M)</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praktik condong ke metode tidak langsung, dan apa temuan McEnroe?</w:t>
            </w:r>
          </w:p>
        </w:tc>
        <w:tc>
          <w:tcPr>
            <w:tcW w:type="dxa" w:w="5669"/>
          </w:tcPr>
          <w:p>
            <w:pPr>
              <w:spacing w:line="360" w:lineRule="auto"/>
              <w:jc w:val="both"/>
            </w:pPr>
            <w:r/>
            <w:r>
              <w:rPr>
                <w:rFonts w:ascii="Calibri" w:hAnsi="Calibri" w:cs="Calibri"/>
                <w:b w:val="0"/>
                <w:i w:val="0"/>
                <w:sz w:val="22"/>
              </w:rPr>
              <w:t>Sebagian besar perusahaan Amerika memakai metode tidak langsung, dan alasan utamanya tampaknya soal biaya. Padahal kedua metode menghasilkan angka arus kas operasi bersih yang sama, yaitu $1.365 pada Company M. Yang berbeda hanyalah informasi yang ditampilkan: metode langsung menunjukkan arus kas untuk penjualan dan harga pokok, sedangkan metode tidak langsung menunjukkan proses mencocokkan laba akrual dengan versi kasnya. Jadi persoalannya adalah biaya berhadapan dengan manfaat informasi. Menariknya, riset yang terbatas justru menunjukkan pengguna luar lebih menyukai metode langsung. Studi McEnroe terhadap 282 responden, yang terdiri atas analis keuangan, penasihat investasi, profesor akuntansi, dan akuntan, menemukan 56 persen memilih metode langsung dan 44 persen metode tidak langsung. Singkatnya, metode langsung mudah dibaca tetapi sulit disusun, sedangkan metode tidak langsung sebaliknya (Wolk et al., 2017).</w:t>
            </w:r>
          </w:p>
        </w:tc>
      </w:tr>
      <w:tr>
        <w:tc>
          <w:tcPr>
            <w:tcW w:type="dxa" w:w="2835"/>
          </w:tcPr>
          <w:p>
            <w:pPr>
              <w:spacing w:line="360" w:lineRule="auto"/>
              <w:jc w:val="left"/>
            </w:pPr>
            <w:r/>
            <w:r>
              <w:rPr>
                <w:rFonts w:ascii="Calibri" w:hAnsi="Calibri" w:cs="Calibri"/>
                <w:b/>
                <w:i w:val="0"/>
                <w:sz w:val="22"/>
              </w:rPr>
              <w:t>Apa masalah nonartikulasi yang ditemukan Bahnson, Miller, dan Budge?</w:t>
            </w:r>
          </w:p>
        </w:tc>
        <w:tc>
          <w:tcPr>
            <w:tcW w:type="dxa" w:w="5669"/>
          </w:tcPr>
          <w:p>
            <w:pPr>
              <w:spacing w:line="360" w:lineRule="auto"/>
              <w:jc w:val="both"/>
            </w:pPr>
            <w:r/>
            <w:r>
              <w:rPr>
                <w:rFonts w:ascii="Calibri" w:hAnsi="Calibri" w:cs="Calibri"/>
                <w:b w:val="0"/>
                <w:i w:val="0"/>
                <w:sz w:val="22"/>
              </w:rPr>
              <w:t>Ada satu masalah penting yang melekat pada metode tidak langsung. Studi besar dari Bahnson, Miller, dan Budge menemukan terjadinya nonartikulasi, yaitu keadaan ketika arus kas dari perubahan akun modal kerja tidak sama dengan penyesuaian modal kerja yang ditulis di bagian operasi SCF. Akibatnya, SCF terlihat tidak sejalan dengan neracanya sendiri, dan hal ini membingungkan pengguna. Selisih seperti ini muncul pada 75 persen kasus dalam sampel mereka, dan ukurannya tidak kecil. Pada Exhibit 13.4, perubahan akun neraca 3M untuk piutang usaha, persediaan, dan utang usaha dibandingkan dengan penyesuaian modal kerja di SCF. Selisih pada piutang usaha saja mencapai sekitar 300 persen, bahkan pada beberapa kasus tandanya pun berbeda (Wolk et al., 2017; lihat Exhibit 13.4).</w:t>
            </w:r>
          </w:p>
        </w:tc>
      </w:tr>
    </w:tbl>
    <w:p>
      <w:pPr>
        <w:spacing w:before="40" w:after="40"/>
        <w:jc w:val="center"/>
      </w:pPr>
      <w:r>
        <w:drawing>
          <wp:inline xmlns:a="http://schemas.openxmlformats.org/drawingml/2006/main" xmlns:pic="http://schemas.openxmlformats.org/drawingml/2006/picture">
            <wp:extent cx="5220000" cy="1404809"/>
            <wp:docPr id="6" name="Picture 6"/>
            <wp:cNvGraphicFramePr>
              <a:graphicFrameLocks noChangeAspect="1"/>
            </wp:cNvGraphicFramePr>
            <a:graphic>
              <a:graphicData uri="http://schemas.openxmlformats.org/drawingml/2006/picture">
                <pic:pic>
                  <pic:nvPicPr>
                    <pic:cNvPr id="0" name="exhibit-13-4.png"/>
                    <pic:cNvPicPr/>
                  </pic:nvPicPr>
                  <pic:blipFill>
                    <a:blip r:embed="rId15"/>
                    <a:stretch>
                      <a:fillRect/>
                    </a:stretch>
                  </pic:blipFill>
                  <pic:spPr>
                    <a:xfrm>
                      <a:off x="0" y="0"/>
                      <a:ext cx="5220000" cy="1404809"/>
                    </a:xfrm>
                    <a:prstGeom prst="rect"/>
                  </pic:spPr>
                </pic:pic>
              </a:graphicData>
            </a:graphic>
          </wp:inline>
        </w:drawing>
      </w:r>
    </w:p>
    <w:p>
      <w:pPr>
        <w:spacing w:line="360" w:lineRule="auto" w:before="0" w:after="0"/>
        <w:jc w:val="center"/>
      </w:pPr>
      <w:r>
        <w:rPr>
          <w:rFonts w:ascii="Calibri" w:hAnsi="Calibri" w:cs="Calibri"/>
          <w:b w:val="0"/>
          <w:i w:val="0"/>
          <w:sz w:val="22"/>
        </w:rPr>
        <w:t>Exhibit 13.4 — Perbandingan Perubahan Neraca dan Penyesuaian Modal Kerja 3M Company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tiga penyebab nonartikulasi?</w:t>
            </w:r>
          </w:p>
        </w:tc>
        <w:tc>
          <w:tcPr>
            <w:tcW w:type="dxa" w:w="5669"/>
          </w:tcPr>
          <w:p>
            <w:pPr>
              <w:spacing w:line="360" w:lineRule="auto"/>
              <w:jc w:val="both"/>
            </w:pPr>
            <w:r/>
            <w:r>
              <w:rPr>
                <w:rFonts w:ascii="Calibri" w:hAnsi="Calibri" w:cs="Calibri"/>
                <w:b w:val="0"/>
                <w:i w:val="0"/>
                <w:sz w:val="22"/>
              </w:rPr>
              <w:t>Ada tiga hal yang menyebabkan nonartikulasi. Penyebab pertama adalah akuisisi anak perusahaan di tengah tahun. Saldo modal kerja awal perusahaan yang dibeli tidak masuk ke neraca konsolidasi awal, sehingga agar sejalan, saldo yang tertinggal itu harus ditambahkan ke saldo awal. Penyebab kedua adalah transaksi akun modal kerja yang tidak melibatkan kas, dan ini bahkan terjadi pada perusahaan yang tidak konsolidasi. Contohnya adalah penilaian-naik atau penilaian-turun pos modal kerja saat akuisisi pembelian (biasanya persediaan), alokasi penyusutan ke persediaan yang diproduksi, serta pemindahan akun modal kerja antara kategori lancar dan taklancar. Penyebab ketiga adalah satu akun utang usaha yang dipakai bersama untuk membeli aset modal kerja sekaligus aset di luar modal kerja. Pembelian persediaan secara kredit tergolong operasi, sedangkan pembelian peralatan secara kredit tergolong investasi, sehingga perubahan utang usaha di neraca tidak akan sama dengan penyesuaiannya di bagian operasi. Sebagai catatan, pada 2008 FASB dan IASB menerbitkan discussion paper yang mengusulkan format baru. Gagasan menggabungkan aktivitas operasi dan investasi menjadi satu kelompok "business" dipandang berguna karena memperkecil peluang pemindahan klasifikasi di antara keduanya (Wolk et al., 2017).</w:t>
            </w:r>
          </w:p>
        </w:tc>
      </w:tr>
    </w:tbl>
    <w:p>
      <w:pPr>
        <w:spacing w:before="40" w:after="40"/>
        <w:jc w:val="center"/>
      </w:pPr>
      <w:r>
        <w:drawing>
          <wp:inline xmlns:a="http://schemas.openxmlformats.org/drawingml/2006/main" xmlns:pic="http://schemas.openxmlformats.org/drawingml/2006/picture">
            <wp:extent cx="5220000" cy="2134346"/>
            <wp:docPr id="7" name="Picture 7"/>
            <wp:cNvGraphicFramePr>
              <a:graphicFrameLocks noChangeAspect="1"/>
            </wp:cNvGraphicFramePr>
            <a:graphic>
              <a:graphicData uri="http://schemas.openxmlformats.org/drawingml/2006/picture">
                <pic:pic>
                  <pic:nvPicPr>
                    <pic:cNvPr id="0" name="nonarticulation.png"/>
                    <pic:cNvPicPr/>
                  </pic:nvPicPr>
                  <pic:blipFill>
                    <a:blip r:embed="rId16"/>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3. </w:t>
      </w:r>
      <w:r>
        <w:rPr>
          <w:rFonts w:ascii="Calibri" w:hAnsi="Calibri" w:cs="Calibri"/>
          <w:b w:val="0"/>
          <w:i w:val="0"/>
          <w:sz w:val="22"/>
        </w:rPr>
        <w:t>Anatomi Masalah Nonartikulasi: Sumber Selisih antara Penyesuaian SCF dan Perubahan Neraca</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keberatan Nurnberg atas klasifikasi SFAS No. 95?</w:t>
            </w:r>
          </w:p>
        </w:tc>
        <w:tc>
          <w:tcPr>
            <w:tcW w:type="dxa" w:w="5669"/>
          </w:tcPr>
          <w:p>
            <w:pPr>
              <w:spacing w:line="360" w:lineRule="auto"/>
              <w:jc w:val="both"/>
            </w:pPr>
            <w:r/>
            <w:r>
              <w:rPr>
                <w:rFonts w:ascii="Calibri" w:hAnsi="Calibri" w:cs="Calibri"/>
                <w:b w:val="0"/>
                <w:i w:val="0"/>
                <w:sz w:val="22"/>
              </w:rPr>
              <w:t>Selain tiga suara penolak tadi, Nurnberg mengajukan pertanyaan mendasar tentang struktur SCF. Ia menyoroti bahwa SCF menempatkan penerimaan bunga dan dividen sebagai arus masuk operasi, dan pembayaran bunga sebagai arus keluar operasi. Padahal menurut literatur keuangan, yang pertama seharusnya investasi dan yang kedua pendanaan. Dalam menyusun SFAS No. 95, FASB mengikuti format laporan laba rugi yang berorientasi teori kepemilikan (</w:t>
            </w:r>
            <w:r>
              <w:rPr>
                <w:rFonts w:ascii="Calibri" w:hAnsi="Calibri" w:cs="Calibri"/>
                <w:b w:val="0"/>
                <w:i/>
                <w:sz w:val="22"/>
              </w:rPr>
              <w:t>proprietary theory</w:t>
            </w:r>
            <w:r>
              <w:rPr>
                <w:rFonts w:ascii="Calibri" w:hAnsi="Calibri" w:cs="Calibri"/>
                <w:b w:val="0"/>
                <w:i w:val="0"/>
                <w:sz w:val="22"/>
              </w:rPr>
              <w:t>). Teori ini memandang pendapatan dan beban bunga serta pendapatan dividen sebagai pos operasi. Pandangan ini berbeda dengan teori entitas (</w:t>
            </w:r>
            <w:r>
              <w:rPr>
                <w:rFonts w:ascii="Calibri" w:hAnsi="Calibri" w:cs="Calibri"/>
                <w:b w:val="0"/>
                <w:i/>
                <w:sz w:val="22"/>
              </w:rPr>
              <w:t>entity theory</w:t>
            </w:r>
            <w:r>
              <w:rPr>
                <w:rFonts w:ascii="Calibri" w:hAnsi="Calibri" w:cs="Calibri"/>
                <w:b w:val="0"/>
                <w:i w:val="0"/>
                <w:sz w:val="22"/>
              </w:rPr>
              <w:t>), yang menempatkan pendapatan bunga dan dividen sebagai investasi serta beban bunga sebagai pendanaan. Ada pula pertimbangan praktis. Industri perbankan mendukung bunga dimasukkan ke operasi, yang memang masuk akal bagi bank, agar tidak melaporkan arus kas operasi negatif. Konsistensi dengan laporan laba rugi ditambah kepentingan perbankan inilah yang mungkin membentuk keputusan FASB (Wolk et al., 2017).</w:t>
            </w:r>
          </w:p>
        </w:tc>
      </w:tr>
      <w:tr>
        <w:tc>
          <w:tcPr>
            <w:tcW w:type="dxa" w:w="2835"/>
          </w:tcPr>
          <w:p>
            <w:pPr>
              <w:spacing w:line="360" w:lineRule="auto"/>
              <w:jc w:val="left"/>
            </w:pPr>
            <w:r/>
            <w:r>
              <w:rPr>
                <w:rFonts w:ascii="Calibri" w:hAnsi="Calibri" w:cs="Calibri"/>
                <w:b/>
                <w:i w:val="0"/>
                <w:sz w:val="22"/>
              </w:rPr>
              <w:t>Bagaimana sikap IAS 7 atas bunga dan dividen?</w:t>
            </w:r>
          </w:p>
        </w:tc>
        <w:tc>
          <w:tcPr>
            <w:tcW w:type="dxa" w:w="5669"/>
          </w:tcPr>
          <w:p>
            <w:pPr>
              <w:spacing w:line="360" w:lineRule="auto"/>
              <w:jc w:val="both"/>
            </w:pPr>
            <w:r/>
            <w:r>
              <w:rPr>
                <w:rFonts w:ascii="Calibri" w:hAnsi="Calibri" w:cs="Calibri"/>
                <w:b w:val="0"/>
                <w:i w:val="0"/>
                <w:sz w:val="22"/>
              </w:rPr>
              <w:t>IAS 7 mengambil sikap yang lebih lentur. Bunga dan dividen, baik yang diterima maupun dibayar, boleh dimasukkan ke aktivitas operasi, investasi, atau pendanaan, asalkan diperlakukan secara konsisten dari tahun ke tahun. Sikap ini berbeda dengan orientasi proprietary pada SFAS No. 95, dan juga dengan pendekatan entity theory yang dianjurkan bab ini serta Bab 12. Bagi bank, memandang bunga dan dividen sebagai arus kas operasi tetap wajar. Karena itu, seandainya IAS 7 membolehkan klasifikasi tersebut khusus bagi bank, IASB justru akan memperoleh keseragaman di industri perbankan (Wolk et al., 2017).</w:t>
            </w:r>
          </w:p>
        </w:tc>
      </w:tr>
      <w:tr>
        <w:tc>
          <w:tcPr>
            <w:tcW w:type="dxa" w:w="2835"/>
          </w:tcPr>
          <w:p>
            <w:pPr>
              <w:spacing w:line="360" w:lineRule="auto"/>
              <w:jc w:val="left"/>
            </w:pPr>
            <w:r/>
            <w:r>
              <w:rPr>
                <w:rFonts w:ascii="Calibri" w:hAnsi="Calibri" w:cs="Calibri"/>
                <w:b/>
                <w:i w:val="0"/>
                <w:sz w:val="22"/>
              </w:rPr>
              <w:t>Bagaimana premium dan diskonto obligasi diperlakukan menurut Vent, Cowling, dan Sevalstad?</w:t>
            </w:r>
          </w:p>
        </w:tc>
        <w:tc>
          <w:tcPr>
            <w:tcW w:type="dxa" w:w="5669"/>
          </w:tcPr>
          <w:p>
            <w:pPr>
              <w:spacing w:line="360" w:lineRule="auto"/>
              <w:jc w:val="both"/>
            </w:pPr>
            <w:r/>
            <w:r>
              <w:rPr>
                <w:rFonts w:ascii="Calibri" w:hAnsi="Calibri" w:cs="Calibri"/>
                <w:b w:val="0"/>
                <w:i w:val="0"/>
                <w:sz w:val="22"/>
              </w:rPr>
              <w:t>Pemisahan antara pendapatan bunga (operasi), pembelian saham perusahaan lain (investasi), dan peminjaman atau pelunasan pokok (pendanaan) menimbulkan pertanyaan lanjutan: ke mana premium atau diskonto obligasi digolongkan? Pos ini adalah penyesuaian bunga, tetapi sekaligus bagian dari pokok yang dipinjam. Vent, Cowling, dan Sevalstad menemukan empat cara berbeda dalam laporan tahunan yang terbit. Contohnya begini. Sebuah perusahaan menerbitkan obligasi kupon 8 persen berjangka empat tahun dengan nilai nominal $10.000. Obligasi itu laku $11.000 pada 31 Desember 2000, sehingga ada premium $1.000. Dengan amortisasi garis lurus, beban bunga setahun menjadi $550, yaitu kupon $800 dikurangi amortisasi premium $250. Cara pertama paling mudah diikuti dan cocok dengan metode langsung, meski jumlah arus operasinya berbeda dari beban bunga akrual karena premium $1.000 masuk ke arus pendanaan tahun 2000. Cara kedua dan ketiga memindahkan premium dari arus investasi ke operasi, masing-masing pada tahun pembayaran 2004 dan tahun penerbitan 2000. Cara keempat menyebar premium sepanjang umur obligasi. Wolk lebih memilih cara pertama meski ada selisih antara nilai akrual dan kas, dan menilai cara keempat paling tidak masuk akal karena memecah arus kas tahunan $800 menjadi dua bagian sehingga keliru menggambarkan arus kas yang sebenarnya. Sekali lagi, ini adalah contoh masalah alokasi (Wolk et al., 2017; lihat Exhibit 13.5).</w:t>
            </w:r>
          </w:p>
        </w:tc>
      </w:tr>
    </w:tbl>
    <w:p>
      <w:pPr>
        <w:spacing w:before="40" w:after="40"/>
        <w:jc w:val="center"/>
      </w:pPr>
      <w:r>
        <w:drawing>
          <wp:inline xmlns:a="http://schemas.openxmlformats.org/drawingml/2006/main" xmlns:pic="http://schemas.openxmlformats.org/drawingml/2006/picture">
            <wp:extent cx="5220000" cy="3465860"/>
            <wp:docPr id="8" name="Picture 8"/>
            <wp:cNvGraphicFramePr>
              <a:graphicFrameLocks noChangeAspect="1"/>
            </wp:cNvGraphicFramePr>
            <a:graphic>
              <a:graphicData uri="http://schemas.openxmlformats.org/drawingml/2006/picture">
                <pic:pic>
                  <pic:nvPicPr>
                    <pic:cNvPr id="0" name="exhibit-13-5.png"/>
                    <pic:cNvPicPr/>
                  </pic:nvPicPr>
                  <pic:blipFill>
                    <a:blip r:embed="rId17"/>
                    <a:stretch>
                      <a:fillRect/>
                    </a:stretch>
                  </pic:blipFill>
                  <pic:spPr>
                    <a:xfrm>
                      <a:off x="0" y="0"/>
                      <a:ext cx="5220000" cy="3465860"/>
                    </a:xfrm>
                    <a:prstGeom prst="rect"/>
                  </pic:spPr>
                </pic:pic>
              </a:graphicData>
            </a:graphic>
          </wp:inline>
        </w:drawing>
      </w:r>
    </w:p>
    <w:p>
      <w:pPr>
        <w:spacing w:line="360" w:lineRule="auto" w:before="0" w:after="0"/>
        <w:jc w:val="center"/>
      </w:pPr>
      <w:r>
        <w:rPr>
          <w:rFonts w:ascii="Calibri" w:hAnsi="Calibri" w:cs="Calibri"/>
          <w:b w:val="0"/>
          <w:i w:val="0"/>
          <w:sz w:val="22"/>
        </w:rPr>
        <w:t>Exhibit 13.5 — Alokasi Premium antara Arus Kas Operasi dan Pendanaan (Empat Metode)</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Bagaimana bunga dikapitalisasi (SFAS No. 34) dan sewa menimbulkan dilema serupa?</w:t>
            </w:r>
          </w:p>
        </w:tc>
        <w:tc>
          <w:tcPr>
            <w:tcW w:type="dxa" w:w="5669"/>
          </w:tcPr>
          <w:p>
            <w:pPr>
              <w:spacing w:line="360" w:lineRule="auto"/>
              <w:jc w:val="both"/>
            </w:pPr>
            <w:r/>
            <w:r>
              <w:rPr>
                <w:rFonts w:ascii="Calibri" w:hAnsi="Calibri" w:cs="Calibri"/>
                <w:b w:val="0"/>
                <w:i w:val="0"/>
                <w:sz w:val="22"/>
              </w:rPr>
              <w:t>Munter mengangkat masalah yang serupa. Ketika pembayaran bunga dikapitalisasi sesuai SFAS No. 34, bunga itu keluar dari aktivitas operasi dan masuk ke investasi sebagai bagian biaya perolehan aset tetap. Pertanyaannya, apakah suatu kejadian digolongkan menurut sifat dasarnya (yaitu pembayaran bunga) atau menurut tujuan akhirnya (yaitu memperoleh aset). Dilema yang sama muncul pada sewa. Pada sewa operasi, seluruh pengeluaran kas tergolong arus keluar operasi. Pada sewa pembiayaan, porsi bunga tergolong operasi sedangkan porsi pelunasan pokok tergolong pendanaan. Mana yang seharusnya menentukan, sifat dasar atau tujuan akhir, masih belum terjawab (Wolk et al., 2017).</w:t>
            </w:r>
          </w:p>
        </w:tc>
      </w:tr>
      <w:tr>
        <w:tc>
          <w:tcPr>
            <w:tcW w:type="dxa" w:w="2835"/>
          </w:tcPr>
          <w:p>
            <w:pPr>
              <w:spacing w:line="360" w:lineRule="auto"/>
              <w:jc w:val="left"/>
            </w:pPr>
            <w:r/>
            <w:r>
              <w:rPr>
                <w:rFonts w:ascii="Calibri" w:hAnsi="Calibri" w:cs="Calibri"/>
                <w:b/>
                <w:i w:val="0"/>
                <w:sz w:val="22"/>
              </w:rPr>
              <w:t>Bagaimana SFAS No. 104 melonggarkan penyajian lindung nilai?</w:t>
            </w:r>
          </w:p>
        </w:tc>
        <w:tc>
          <w:tcPr>
            <w:tcW w:type="dxa" w:w="5669"/>
          </w:tcPr>
          <w:p>
            <w:pPr>
              <w:spacing w:line="360" w:lineRule="auto"/>
              <w:jc w:val="both"/>
            </w:pPr>
            <w:r/>
            <w:r>
              <w:rPr>
                <w:rFonts w:ascii="Calibri" w:hAnsi="Calibri" w:cs="Calibri"/>
                <w:b w:val="0"/>
                <w:i w:val="0"/>
                <w:sz w:val="22"/>
              </w:rPr>
              <w:t>Dalam SFAS No. 95, kegiatan lindung nilai (</w:t>
            </w:r>
            <w:r>
              <w:rPr>
                <w:rFonts w:ascii="Calibri" w:hAnsi="Calibri" w:cs="Calibri"/>
                <w:b w:val="0"/>
                <w:i/>
                <w:sz w:val="22"/>
              </w:rPr>
              <w:t>hedging</w:t>
            </w:r>
            <w:r>
              <w:rPr>
                <w:rFonts w:ascii="Calibri" w:hAnsi="Calibri" w:cs="Calibri"/>
                <w:b w:val="0"/>
                <w:i w:val="0"/>
                <w:sz w:val="22"/>
              </w:rPr>
              <w:t>) dianggap aktivitas investasi. Klasifikasi ini kaku karena hanya melihat sifat transaksinya. SFAS No. 104 yang merevisi aturan itu melonggarkannya dengan membolehkan lindung nilai dikaitkan ke akun neraca tertentu. Jika sebuah kontrak forward, futures, opsi, atau swap berkaitan dengan pos tertentu seperti persediaan, misalnya untuk melindungi dari kenaikan harga persediaan, lindung nilai itu boleh ditempatkan bersama pos tersebut sebagai operasi, atau tetap dianggap investasi. Nurnberg dan Largay menilai pelonggaran ini umumnya menurunkan keterbandingan, tetapi dapat dibenarkan sebagai informasi yang lebih halus dalam situasi tertentu (Wolk et al., 2017).</w:t>
            </w:r>
          </w:p>
        </w:tc>
      </w:tr>
      <w:tr>
        <w:tc>
          <w:tcPr>
            <w:tcW w:type="dxa" w:w="2835"/>
          </w:tcPr>
          <w:p>
            <w:pPr>
              <w:spacing w:line="360" w:lineRule="auto"/>
              <w:jc w:val="left"/>
            </w:pPr>
            <w:r/>
            <w:r>
              <w:rPr>
                <w:rFonts w:ascii="Calibri" w:hAnsi="Calibri" w:cs="Calibri"/>
                <w:b/>
                <w:i w:val="0"/>
                <w:sz w:val="22"/>
              </w:rPr>
              <w:t>Seberapa berguna SCF untuk analisis menurut model Ingram dan Lee?</w:t>
            </w:r>
          </w:p>
        </w:tc>
        <w:tc>
          <w:tcPr>
            <w:tcW w:type="dxa" w:w="5669"/>
          </w:tcPr>
          <w:p>
            <w:pPr>
              <w:spacing w:line="360" w:lineRule="auto"/>
              <w:jc w:val="both"/>
            </w:pPr>
            <w:r/>
            <w:r>
              <w:rPr>
                <w:rFonts w:ascii="Calibri" w:hAnsi="Calibri" w:cs="Calibri"/>
                <w:b w:val="0"/>
                <w:i w:val="0"/>
                <w:sz w:val="22"/>
              </w:rPr>
              <w:t>Meski memiliki masalah klasifikasi dan nonartikulasi, SCF tetap sangat berguna, dan riset Ingram dan Lee membuktikannya dengan memakai laporan laba rugi dan SCF secara bersamaan. Argumen mereka, dari waktu ke waktu, perusahaan yang sedang tumbuh biasanya berlaba lebih tinggi tetapi berarus kas operasi lebih rendah. Sebabnya, ekspansi menambah persediaan dan piutang usaha. Meski sebagian tertutup kenaikan utang usaha, efek bersih pertumbuhan modal kerja membuat kenaikan laba melampaui kenaikan arus kas operasi setiap tahun. Pada fase ekspansi juga muncul arus keluar untuk membeli aset tetap dan arus masuk dari utang atau saham baru, sementara dividen ditahan. Bagi perusahaan yang menyusut, polanya berbalik. Analisis statistik mereka terhadap hampir 1.000 perusahaan sepanjang 1974 hingga 1992 secara umum mendukung argumen tersebut, sekaligus menemukan bahwa perusahaan yang berekspansi cenderung memikul utang lebih besar daripada yang menyusut (Wolk et al., 2017).</w:t>
            </w:r>
          </w:p>
        </w:tc>
      </w:tr>
      <w:tr>
        <w:tc>
          <w:tcPr>
            <w:tcW w:type="dxa" w:w="2835"/>
          </w:tcPr>
          <w:p>
            <w:pPr>
              <w:spacing w:line="360" w:lineRule="auto"/>
              <w:jc w:val="left"/>
            </w:pPr>
            <w:r/>
            <w:r>
              <w:rPr>
                <w:rFonts w:ascii="Calibri" w:hAnsi="Calibri" w:cs="Calibri"/>
                <w:b/>
                <w:i w:val="0"/>
                <w:sz w:val="22"/>
              </w:rPr>
              <w:t>Bagaimana klasifikasi dimanipulasi pada Tyco dan industri otomotif?</w:t>
            </w:r>
          </w:p>
        </w:tc>
        <w:tc>
          <w:tcPr>
            <w:tcW w:type="dxa" w:w="5669"/>
          </w:tcPr>
          <w:p>
            <w:pPr>
              <w:spacing w:line="360" w:lineRule="auto"/>
              <w:jc w:val="both"/>
            </w:pPr>
            <w:r/>
            <w:r>
              <w:rPr>
                <w:rFonts w:ascii="Calibri" w:hAnsi="Calibri" w:cs="Calibri"/>
                <w:b w:val="0"/>
                <w:i w:val="0"/>
                <w:sz w:val="22"/>
              </w:rPr>
              <w:t>SCF memang lebih sulit dimanipulasi daripada laba, tetapi tidak kebal. Karena banyak pengguna menganggap arus kas dari operasi (CFO) sebagai bagian terpenting, muncul godaan untuk menaikkannya. Caranya, menggeser arus keluar dari operasi ke investasi, atau menarik arus masuk dari investasi ke operasi. Total kasnya tidak berubah, tetapi tanpa pemeriksaan teliti, pengguna langsung menilainya positif. Maremont mencontohkan Tyco International di bisnis alarm rumah. Kas untuk mengembangkan penjualan sendiri dan kas untuk membeli kontrak layanan dari dealer lain semestinya diperlakukan sama, tetapi Tyco mencatat kontrak dealer yang dibeli sebagai "akuisisi" dan mengakuinya sebagai arus keluar operasi dengan tempo yang jauh lebih lambat. Mulford, dalam Wall Street Journal, mencontohkan industri otomotif. Ford, General Motors, dan Harley-Davidson meminjamkan dana ke dealer dalam bentuk piutang wesel agar dealer membeli persediaan. Perusahaan mengakui pendapatan penjualan, tetapi menggolongkan pinjaman itu sebagai aktivitas investasi, sehingga CFO terangkat. Pada GM, CFO yang dilaporkan $7,6 miliar, padahal seandainya piutang wesel diperlakukan sebagai operasi, angkanya hanya $3,5 miliar. Sebaliknya, Navistar justru memindahkan piutang wesel dealernya ke operasi. Mark Oberle selaku direktur hubungan investor menyebutnya bagian dari bisnis inti perusahaan manufaktur yang memiliki anak usaha pembiayaan. Jadi, meski aturannya tidak dilanggar, area abu-abu seperti ini memungkinkan perusahaan dalam satu industri menampilkan gambaran yang sangat berbeda (Wolk et al., 2017).</w:t>
            </w:r>
          </w:p>
        </w:tc>
      </w:tr>
      <w:tr>
        <w:tc>
          <w:tcPr>
            <w:tcW w:type="dxa" w:w="2835"/>
          </w:tcPr>
          <w:p>
            <w:pPr>
              <w:spacing w:line="360" w:lineRule="auto"/>
              <w:jc w:val="left"/>
            </w:pPr>
            <w:r/>
            <w:r>
              <w:rPr>
                <w:rFonts w:ascii="Calibri" w:hAnsi="Calibri" w:cs="Calibri"/>
                <w:b/>
                <w:i w:val="0"/>
                <w:sz w:val="22"/>
              </w:rPr>
              <w:t>Mengapa SCF harus dibaca utuh, dan apa pelajaran dari WorldCom?</w:t>
            </w:r>
          </w:p>
        </w:tc>
        <w:tc>
          <w:tcPr>
            <w:tcW w:type="dxa" w:w="5669"/>
          </w:tcPr>
          <w:p>
            <w:pPr>
              <w:spacing w:line="360" w:lineRule="auto"/>
              <w:jc w:val="both"/>
            </w:pPr>
            <w:r/>
            <w:r>
              <w:rPr>
                <w:rFonts w:ascii="Calibri" w:hAnsi="Calibri" w:cs="Calibri"/>
                <w:b w:val="0"/>
                <w:i w:val="0"/>
                <w:sz w:val="22"/>
              </w:rPr>
              <w:t>Memusatkan perhatian hanya pada satu bagian SCF, yaitu CFO, sangat berisiko, sebab laporan ini terdiri atas tiga bagian yang semuanya penting. Pada 21 Juli 2002, WorldCom mengajukan reorganisasi sukarela berdasarkan Bab 11 Undang-Undang Kepailitan Amerika Serikat. Sebelum jatuh, perusahaan ini mengapitalisasi beban yang seharusnya tergolong aktivitas operasi. Kesalahan klasifikasi ini menggelembungkan CFO yang dilaporkan dan membuat laba bersihnya tampak meyakinkan. Banyak investor terkecoh, padahal SCF yang dibaca secara utuh sebenarnya menyediakan cukup alasan untuk curiga. Exhibit 13.6 menampilkan pos-pos terpilih SCF WorldCom. Laba bersihnya positif selama tiga tahun menjelang pailit, tetapi jika CFI mencerminkan investasi yang diperlukan, selisih CFO dikurangi CFI menunjukkan berapa kas yang sebenarnya tersedia bagi investor. Ternyata WorldCom terus kehabisan kas pada tiga dari empat tahun terakhir, hingga menggali defisit kumulatif sebesar $12 miliar pada 31 Desember 2001. Tinggal menunggu kapan defisit itu berhenti membesar. Investor yang mengabaikan satu atau lebih bagian SCF menanggung sendiri akibatnya (Wolk et al., 2017; lihat Exhibit 13.6).</w:t>
            </w:r>
          </w:p>
        </w:tc>
      </w:tr>
    </w:tbl>
    <w:p>
      <w:pPr>
        <w:spacing w:before="40" w:after="40"/>
        <w:jc w:val="center"/>
      </w:pPr>
      <w:r>
        <w:drawing>
          <wp:inline xmlns:a="http://schemas.openxmlformats.org/drawingml/2006/main" xmlns:pic="http://schemas.openxmlformats.org/drawingml/2006/picture">
            <wp:extent cx="5220000" cy="1749149"/>
            <wp:docPr id="9" name="Picture 9"/>
            <wp:cNvGraphicFramePr>
              <a:graphicFrameLocks noChangeAspect="1"/>
            </wp:cNvGraphicFramePr>
            <a:graphic>
              <a:graphicData uri="http://schemas.openxmlformats.org/drawingml/2006/picture">
                <pic:pic>
                  <pic:nvPicPr>
                    <pic:cNvPr id="0" name="exhibit-13-6.png"/>
                    <pic:cNvPicPr/>
                  </pic:nvPicPr>
                  <pic:blipFill>
                    <a:blip r:embed="rId18"/>
                    <a:stretch>
                      <a:fillRect/>
                    </a:stretch>
                  </pic:blipFill>
                  <pic:spPr>
                    <a:xfrm>
                      <a:off x="0" y="0"/>
                      <a:ext cx="5220000" cy="1749149"/>
                    </a:xfrm>
                    <a:prstGeom prst="rect"/>
                  </pic:spPr>
                </pic:pic>
              </a:graphicData>
            </a:graphic>
          </wp:inline>
        </w:drawing>
      </w:r>
    </w:p>
    <w:p>
      <w:pPr>
        <w:spacing w:line="360" w:lineRule="auto" w:before="0" w:after="0"/>
        <w:jc w:val="center"/>
      </w:pPr>
      <w:r>
        <w:rPr>
          <w:rFonts w:ascii="Calibri" w:hAnsi="Calibri" w:cs="Calibri"/>
          <w:b w:val="0"/>
          <w:i w:val="0"/>
          <w:sz w:val="22"/>
        </w:rPr>
        <w:t>Exhibit 13.6 — Pos Terpilih Statement of Cash Flows WorldCom 1998–2001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kebutuhan pengguna menurut Buffett dan logika NPV?</w:t>
            </w:r>
          </w:p>
        </w:tc>
        <w:tc>
          <w:tcPr>
            <w:tcW w:type="dxa" w:w="5669"/>
          </w:tcPr>
          <w:p>
            <w:pPr>
              <w:spacing w:line="360" w:lineRule="auto"/>
              <w:jc w:val="both"/>
            </w:pPr>
            <w:r/>
            <w:r>
              <w:rPr>
                <w:rFonts w:ascii="Calibri" w:hAnsi="Calibri" w:cs="Calibri"/>
                <w:b w:val="0"/>
                <w:i w:val="0"/>
                <w:sz w:val="22"/>
              </w:rPr>
              <w:t>Dalam suratnya tahun 1988 kepada pemegang saham Berkshire Hathaway, Warren Buffett merangkum apa yang sebenarnya perlu dilaporkan, yaitu data yang membantu pembaca yang melek finansial menjawab tiga hal. Pertama, kira-kira berapa nilai perusahaan. Kedua, seberapa besar kemungkinannya memenuhi kewajiban masa depan. Ketiga, seberapa baik kinerja manajernya. Dengan kata lain, laporan keuangan harus menjadi bahan untuk menilai perusahaan, mengambil keputusan kredit, dan mengukur kinerja manajemen. Penilaian kinerja menuntut ukuran arus kas masa lalu yang akurat, sedangkan keputusan kredit dan valuasi menuntut ramalan arus kas masa depan yang tidak bias, sejalan dengan SFAC No. 1. Keputusan investasi pada dasarnya adalah alokasi modal yang memakai logika penganggaran modal: sebuah investasi diterima bila nilai sekarang dari arus kas bersih yang diharapkan bernilai positif, atau dengan kata lain bila NPV (</w:t>
            </w:r>
            <w:r>
              <w:rPr>
                <w:rFonts w:ascii="Calibri" w:hAnsi="Calibri" w:cs="Calibri"/>
                <w:b w:val="0"/>
                <w:i/>
                <w:sz w:val="22"/>
              </w:rPr>
              <w:t>net present value</w:t>
            </w:r>
            <w:r>
              <w:rPr>
                <w:rFonts w:ascii="Calibri" w:hAnsi="Calibri" w:cs="Calibri"/>
                <w:b w:val="0"/>
                <w:i w:val="0"/>
                <w:sz w:val="22"/>
              </w:rPr>
              <w:t>, nilai sekarang bersih) positif. Begitu pula pembelian saham, layak dilakukan bila nilai sekarang arus kas masa depan per saham, yaitu nilai intrinsiknya, melebihi harga pasar. Buffett mendefinisikan nilai intrinsik sebagai nilai terdiskonto dari kas yang dapat ditarik dari bisnis sepanjang sisa umurnya (Wolk et al., 2017).</w:t>
            </w:r>
          </w:p>
        </w:tc>
      </w:tr>
      <w:tr>
        <w:tc>
          <w:tcPr>
            <w:tcW w:type="dxa" w:w="2835"/>
          </w:tcPr>
          <w:p>
            <w:pPr>
              <w:spacing w:line="360" w:lineRule="auto"/>
              <w:jc w:val="left"/>
            </w:pPr>
            <w:r/>
            <w:r>
              <w:rPr>
                <w:rFonts w:ascii="Calibri" w:hAnsi="Calibri" w:cs="Calibri"/>
                <w:b/>
                <w:i w:val="0"/>
                <w:sz w:val="22"/>
              </w:rPr>
              <w:t>Apa definisi free cash flow dan persamaan 13.2?</w:t>
            </w:r>
          </w:p>
        </w:tc>
        <w:tc>
          <w:tcPr>
            <w:tcW w:type="dxa" w:w="5669"/>
          </w:tcPr>
          <w:p>
            <w:pPr>
              <w:spacing w:line="360" w:lineRule="auto"/>
              <w:jc w:val="both"/>
            </w:pPr>
            <w:r/>
            <w:r>
              <w:rPr>
                <w:rFonts w:ascii="Calibri" w:hAnsi="Calibri" w:cs="Calibri"/>
                <w:b w:val="0"/>
                <w:i w:val="0"/>
                <w:sz w:val="22"/>
              </w:rPr>
              <w:t>Arus kas yang menjadi dasar penilaian nilai intrinsik perusahaan disebut free cash flow (FCF, arus kas bebas). Menurut Mulford dan Comiskey, kata "bebas" menunjuk pada tidak adanya klaim yang lebih utama atas kas itu. Kas tersebut bebas dipakai, dan pemakaiannya tidak mengganggu kemampuan perusahaan menghasilkan kas berikutnya. Mengikuti teori entitas, Wolk berfokus pada arus kas ke perusahaan. FCF tidak dapat dibaca langsung dari SCF, melainkan dirumuskan dalam persamaan 13.2: FCF sama dengan NOPLAT dikurangi investasi pada modal terinvestasi operasi. NOPLAT (</w:t>
            </w:r>
            <w:r>
              <w:rPr>
                <w:rFonts w:ascii="Calibri" w:hAnsi="Calibri" w:cs="Calibri"/>
                <w:b w:val="0"/>
                <w:i/>
                <w:sz w:val="22"/>
              </w:rPr>
              <w:t>net operating profit less adjusted taxes</w:t>
            </w:r>
            <w:r>
              <w:rPr>
                <w:rFonts w:ascii="Calibri" w:hAnsi="Calibri" w:cs="Calibri"/>
                <w:b w:val="0"/>
                <w:i w:val="0"/>
                <w:sz w:val="22"/>
              </w:rPr>
              <w:t>) adalah laba operasi bersih setelah pajak yang disesuaikan, yang dalam kasus sederhana berarti laba operasi setelah pajak. Investasi pada modal terinvestasi operasi biasanya dipecah menjadi investasi pada modal kerja operasi bersih dan investasi pada aset taklancar. Yang perlu dicatat, FCF tidak memasukkan beban bunga karena bunga adalah beban pendanaan. Sejalan dengan asumsi perusahaan akan terus berjalan, kas operasi diperlakukan sebagai bagian modal kerja operasi bersih, sama seperti piutang dan persediaan (Wolk et al., 2017).</w:t>
            </w:r>
          </w:p>
        </w:tc>
      </w:tr>
      <w:tr>
        <w:tc>
          <w:tcPr>
            <w:tcW w:type="dxa" w:w="2835"/>
          </w:tcPr>
          <w:p>
            <w:pPr>
              <w:spacing w:line="360" w:lineRule="auto"/>
              <w:jc w:val="left"/>
            </w:pPr>
            <w:r/>
            <w:r>
              <w:rPr>
                <w:rFonts w:ascii="Calibri" w:hAnsi="Calibri" w:cs="Calibri"/>
                <w:b/>
                <w:i w:val="0"/>
                <w:sz w:val="22"/>
              </w:rPr>
              <w:t>Bagaimana contoh ABC Company menghubungkan CFO ke FCF?</w:t>
            </w:r>
          </w:p>
        </w:tc>
        <w:tc>
          <w:tcPr>
            <w:tcW w:type="dxa" w:w="5669"/>
          </w:tcPr>
          <w:p>
            <w:pPr>
              <w:spacing w:line="360" w:lineRule="auto"/>
              <w:jc w:val="both"/>
            </w:pPr>
            <w:r/>
            <w:r>
              <w:rPr>
                <w:rFonts w:ascii="Calibri" w:hAnsi="Calibri" w:cs="Calibri"/>
                <w:b w:val="0"/>
                <w:i w:val="0"/>
                <w:sz w:val="22"/>
              </w:rPr>
              <w:t>Wolk memakai ABC Company untuk memperagakan penyusunan FCF. Exhibit 13.7 menyajikan laporan laba rugi dan neraca ABC. Dari keduanya disusun SCF pada Exhibit 13.8 dengan CFO $527, $466, dan $434; CFI $(277), $(309), dan $(360); serta CFF $(306), $(78), dan $(58) untuk 2005, 2006, dan 2007. Exhibit 13.9 lalu menyusun statement of free cash flows. Dari laba operasi dikurangi pajak basis kas diperoleh NOPLAT $346, $333, dan $353. Ditambah penyusutan, angkanya menjadi gross cash flow $561, $553, dan $581. Dikurangi total investasi, FCF dari aset operasi menjadi $332, $99, dan $80, yang juga setara dengan FCF ke ekuitas. Exhibit 13.10 menutup dengan cara menghitung FCF langsung dari SCF. Bertolak dari CFO, beban bunga setelah pajak ditambahkan untuk menghapus efek pendanaan, kenaikan kas operasi dikurangkan karena merupakan bagian modal terinvestasi, lalu CFI ditambahkan. Angka CFI ini umumnya negatif, misalnya $(277) pada 2005 yang menekan FCF, sehingga diperoleh kembali FCF $332, $99, dan $80 (Wolk et al., 2017).</w:t>
            </w:r>
          </w:p>
        </w:tc>
      </w:tr>
    </w:tbl>
    <w:p>
      <w:pPr>
        <w:spacing w:before="40" w:after="40"/>
        <w:jc w:val="center"/>
      </w:pPr>
      <w:r>
        <w:drawing>
          <wp:inline xmlns:a="http://schemas.openxmlformats.org/drawingml/2006/main" xmlns:pic="http://schemas.openxmlformats.org/drawingml/2006/picture">
            <wp:extent cx="5220000" cy="4493891"/>
            <wp:docPr id="10" name="Picture 10"/>
            <wp:cNvGraphicFramePr>
              <a:graphicFrameLocks noChangeAspect="1"/>
            </wp:cNvGraphicFramePr>
            <a:graphic>
              <a:graphicData uri="http://schemas.openxmlformats.org/drawingml/2006/picture">
                <pic:pic>
                  <pic:nvPicPr>
                    <pic:cNvPr id="0" name="exhibit-13-7.png"/>
                    <pic:cNvPicPr/>
                  </pic:nvPicPr>
                  <pic:blipFill>
                    <a:blip r:embed="rId19"/>
                    <a:stretch>
                      <a:fillRect/>
                    </a:stretch>
                  </pic:blipFill>
                  <pic:spPr>
                    <a:xfrm>
                      <a:off x="0" y="0"/>
                      <a:ext cx="5220000" cy="4493891"/>
                    </a:xfrm>
                    <a:prstGeom prst="rect"/>
                  </pic:spPr>
                </pic:pic>
              </a:graphicData>
            </a:graphic>
          </wp:inline>
        </w:drawing>
      </w:r>
    </w:p>
    <w:p>
      <w:pPr>
        <w:spacing w:line="360" w:lineRule="auto" w:before="0" w:after="0"/>
        <w:jc w:val="center"/>
      </w:pPr>
      <w:r>
        <w:rPr>
          <w:rFonts w:ascii="Calibri" w:hAnsi="Calibri" w:cs="Calibri"/>
          <w:b w:val="0"/>
          <w:i w:val="0"/>
          <w:sz w:val="22"/>
        </w:rPr>
        <w:t>Exhibit 13.7 — Laporan Laba Rugi dan Neraca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4077189"/>
            <wp:docPr id="11" name="Picture 11"/>
            <wp:cNvGraphicFramePr>
              <a:graphicFrameLocks noChangeAspect="1"/>
            </wp:cNvGraphicFramePr>
            <a:graphic>
              <a:graphicData uri="http://schemas.openxmlformats.org/drawingml/2006/picture">
                <pic:pic>
                  <pic:nvPicPr>
                    <pic:cNvPr id="0" name="exhibit-13-8.png"/>
                    <pic:cNvPicPr/>
                  </pic:nvPicPr>
                  <pic:blipFill>
                    <a:blip r:embed="rId20"/>
                    <a:stretch>
                      <a:fillRect/>
                    </a:stretch>
                  </pic:blipFill>
                  <pic:spPr>
                    <a:xfrm>
                      <a:off x="0" y="0"/>
                      <a:ext cx="5220000" cy="4077189"/>
                    </a:xfrm>
                    <a:prstGeom prst="rect"/>
                  </pic:spPr>
                </pic:pic>
              </a:graphicData>
            </a:graphic>
          </wp:inline>
        </w:drawing>
      </w:r>
    </w:p>
    <w:p>
      <w:pPr>
        <w:spacing w:line="360" w:lineRule="auto" w:before="0" w:after="0"/>
        <w:jc w:val="center"/>
      </w:pPr>
      <w:r>
        <w:rPr>
          <w:rFonts w:ascii="Calibri" w:hAnsi="Calibri" w:cs="Calibri"/>
          <w:b w:val="0"/>
          <w:i w:val="0"/>
          <w:sz w:val="22"/>
        </w:rPr>
        <w:t>Exhibit 13.8 — Statement of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908680"/>
            <wp:docPr id="12" name="Picture 12"/>
            <wp:cNvGraphicFramePr>
              <a:graphicFrameLocks noChangeAspect="1"/>
            </wp:cNvGraphicFramePr>
            <a:graphic>
              <a:graphicData uri="http://schemas.openxmlformats.org/drawingml/2006/picture">
                <pic:pic>
                  <pic:nvPicPr>
                    <pic:cNvPr id="0" name="exhibit-13-9.png"/>
                    <pic:cNvPicPr/>
                  </pic:nvPicPr>
                  <pic:blipFill>
                    <a:blip r:embed="rId21"/>
                    <a:stretch>
                      <a:fillRect/>
                    </a:stretch>
                  </pic:blipFill>
                  <pic:spPr>
                    <a:xfrm>
                      <a:off x="0" y="0"/>
                      <a:ext cx="5220000" cy="5908680"/>
                    </a:xfrm>
                    <a:prstGeom prst="rect"/>
                  </pic:spPr>
                </pic:pic>
              </a:graphicData>
            </a:graphic>
          </wp:inline>
        </w:drawing>
      </w:r>
    </w:p>
    <w:p>
      <w:pPr>
        <w:spacing w:line="360" w:lineRule="auto" w:before="0" w:after="0"/>
        <w:jc w:val="center"/>
      </w:pPr>
      <w:r>
        <w:rPr>
          <w:rFonts w:ascii="Calibri" w:hAnsi="Calibri" w:cs="Calibri"/>
          <w:b w:val="0"/>
          <w:i w:val="0"/>
          <w:sz w:val="22"/>
        </w:rPr>
        <w:t>Exhibit 13.9 — Statement of Free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499627"/>
            <wp:docPr id="13" name="Picture 13"/>
            <wp:cNvGraphicFramePr>
              <a:graphicFrameLocks noChangeAspect="1"/>
            </wp:cNvGraphicFramePr>
            <a:graphic>
              <a:graphicData uri="http://schemas.openxmlformats.org/drawingml/2006/picture">
                <pic:pic>
                  <pic:nvPicPr>
                    <pic:cNvPr id="0" name="exhibit-13-10.png"/>
                    <pic:cNvPicPr/>
                  </pic:nvPicPr>
                  <pic:blipFill>
                    <a:blip r:embed="rId22"/>
                    <a:stretch>
                      <a:fillRect/>
                    </a:stretch>
                  </pic:blipFill>
                  <pic:spPr>
                    <a:xfrm>
                      <a:off x="0" y="0"/>
                      <a:ext cx="5220000" cy="1499627"/>
                    </a:xfrm>
                    <a:prstGeom prst="rect"/>
                  </pic:spPr>
                </pic:pic>
              </a:graphicData>
            </a:graphic>
          </wp:inline>
        </w:drawing>
      </w:r>
    </w:p>
    <w:p>
      <w:pPr>
        <w:spacing w:line="360" w:lineRule="auto" w:before="0" w:after="0"/>
        <w:jc w:val="center"/>
      </w:pPr>
      <w:r>
        <w:rPr>
          <w:rFonts w:ascii="Calibri" w:hAnsi="Calibri" w:cs="Calibri"/>
          <w:b w:val="0"/>
          <w:i w:val="0"/>
          <w:sz w:val="22"/>
        </w:rPr>
        <w:t>Exhibit 13.10 — Menghitung Free Cash Flow dari SCF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2134346"/>
            <wp:docPr id="14" name="Picture 14"/>
            <wp:cNvGraphicFramePr>
              <a:graphicFrameLocks noChangeAspect="1"/>
            </wp:cNvGraphicFramePr>
            <a:graphic>
              <a:graphicData uri="http://schemas.openxmlformats.org/drawingml/2006/picture">
                <pic:pic>
                  <pic:nvPicPr>
                    <pic:cNvPr id="0" name="fcf_waterfall.png"/>
                    <pic:cNvPicPr/>
                  </pic:nvPicPr>
                  <pic:blipFill>
                    <a:blip r:embed="rId23"/>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4. </w:t>
      </w:r>
      <w:r>
        <w:rPr>
          <w:rFonts w:ascii="Calibri" w:hAnsi="Calibri" w:cs="Calibri"/>
          <w:b w:val="0"/>
          <w:i w:val="0"/>
          <w:sz w:val="22"/>
        </w:rPr>
        <w:t>Air Terjun (Waterfall) FCF: dari Laba Operasi ke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empat ukuran kinerja kas dan peran diskonto WACC?</w:t>
            </w:r>
          </w:p>
        </w:tc>
        <w:tc>
          <w:tcPr>
            <w:tcW w:type="dxa" w:w="5669"/>
          </w:tcPr>
          <w:p>
            <w:pPr>
              <w:spacing w:line="360" w:lineRule="auto"/>
              <w:jc w:val="both"/>
            </w:pPr>
            <w:r/>
            <w:r>
              <w:rPr>
                <w:rFonts w:ascii="Calibri" w:hAnsi="Calibri" w:cs="Calibri"/>
                <w:b w:val="0"/>
                <w:i w:val="0"/>
                <w:sz w:val="22"/>
              </w:rPr>
              <w:t>Ukuran kinerja mana yang dipakai bergantung pada waktu, sumber daya, dan tujuan valuasi pengguna. Pengguna yang ingin cepat cukup melihat laba bersih. Pengguna yang ingin memahami operasi dan menimbang kualitas laba berfokus pada CFO. Untuk menghindari masalah beban operasi yang digolongkan sebagai investasi, sekaligus menangkap kemampuan menghasilkan kas bersih, masuk akal mengurangkan CFI, sehingga diperoleh selisih CFO dikurangi CFI. Karena CFO masih tercampur beban bunga yang sebenarnya pendanaan, FCF dihitung agar benar-benar berfokus pada operasi sekaligus mengakui kas operasi sebagai bagian modal terinvestasi. Bagi ABC, keempat ukuran untuk 2005, 2006, dan 2007 adalah laba bersih $320, $312, dan $331; CFO $527, $466, dan $434; selisih CFO dikurangi CFI $250, $157, dan $74; serta FCF $332, $99, dan $80. Investor dapat menaksir nilai intrinsik dengan mendiskontokan FCF yang diramalkan memakai WACC (</w:t>
            </w:r>
            <w:r>
              <w:rPr>
                <w:rFonts w:ascii="Calibri" w:hAnsi="Calibri" w:cs="Calibri"/>
                <w:b w:val="0"/>
                <w:i/>
                <w:sz w:val="22"/>
              </w:rPr>
              <w:t>weighted average cost of capital</w:t>
            </w:r>
            <w:r>
              <w:rPr>
                <w:rFonts w:ascii="Calibri" w:hAnsi="Calibri" w:cs="Calibri"/>
                <w:b w:val="0"/>
                <w:i w:val="0"/>
                <w:sz w:val="22"/>
              </w:rPr>
              <w:t>, biaya modal rata-rata tertimbang). Dengan empat ukuran yang dapat memberi gambaran berbeda, dunia nyata memang tidak pernah sesederhana yang diharapkan (Wolk et al., 2017).</w:t>
            </w:r>
          </w:p>
        </w:tc>
      </w:tr>
    </w:tbl>
    <w:p>
      <w:pPr>
        <w:spacing w:before="40" w:after="40"/>
        <w:jc w:val="center"/>
      </w:pPr>
      <w:r>
        <w:drawing>
          <wp:inline xmlns:a="http://schemas.openxmlformats.org/drawingml/2006/main" xmlns:pic="http://schemas.openxmlformats.org/drawingml/2006/picture">
            <wp:extent cx="5220000" cy="2317290"/>
            <wp:docPr id="15" name="Picture 15"/>
            <wp:cNvGraphicFramePr>
              <a:graphicFrameLocks noChangeAspect="1"/>
            </wp:cNvGraphicFramePr>
            <a:graphic>
              <a:graphicData uri="http://schemas.openxmlformats.org/drawingml/2006/picture">
                <pic:pic>
                  <pic:nvPicPr>
                    <pic:cNvPr id="0" name="four_measures.png"/>
                    <pic:cNvPicPr/>
                  </pic:nvPicPr>
                  <pic:blipFill>
                    <a:blip r:embed="rId24"/>
                    <a:stretch>
                      <a:fillRect/>
                    </a:stretch>
                  </pic:blipFill>
                  <pic:spPr>
                    <a:xfrm>
                      <a:off x="0" y="0"/>
                      <a:ext cx="5220000" cy="2317290"/>
                    </a:xfrm>
                    <a:prstGeom prst="rect"/>
                  </pic:spPr>
                </pic:pic>
              </a:graphicData>
            </a:graphic>
          </wp:inline>
        </w:drawing>
      </w:r>
    </w:p>
    <w:p>
      <w:pPr>
        <w:spacing w:line="360" w:lineRule="auto" w:before="0" w:after="0"/>
        <w:jc w:val="center"/>
      </w:pPr>
      <w:r>
        <w:rPr>
          <w:rFonts w:ascii="Calibri" w:hAnsi="Calibri" w:cs="Calibri"/>
          <w:b/>
          <w:i w:val="0"/>
          <w:sz w:val="22"/>
        </w:rPr>
        <w:t xml:space="preserve">Gambar 5. </w:t>
      </w:r>
      <w:r>
        <w:rPr>
          <w:rFonts w:ascii="Calibri" w:hAnsi="Calibri" w:cs="Calibri"/>
          <w:b w:val="0"/>
          <w:i w:val="0"/>
          <w:sz w:val="22"/>
        </w:rPr>
        <w:t>Empat Ukuran Kinerja: Laba Bersih, CFO, CFO−CFI, dan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pandangan riset tentang kas versus akrual (Lawson dan Lee)?</w:t>
            </w:r>
          </w:p>
        </w:tc>
        <w:tc>
          <w:tcPr>
            <w:tcW w:type="dxa" w:w="5669"/>
          </w:tcPr>
          <w:p>
            <w:pPr>
              <w:spacing w:line="360" w:lineRule="auto"/>
              <w:jc w:val="both"/>
            </w:pPr>
            <w:r/>
            <w:r>
              <w:rPr>
                <w:rFonts w:ascii="Calibri" w:hAnsi="Calibri" w:cs="Calibri"/>
                <w:b w:val="0"/>
                <w:i w:val="0"/>
                <w:sz w:val="22"/>
              </w:rPr>
              <w:t>Lawson dan Lee, dua pendukung lama pelaporan arus kas, berpendapat bahwa laporan arus kas diperlukan untuk menggambarkan kinerja, sebab likuiditas adalah bagian tak terpisahkan dari kinerja. Lee bahkan menyatakan bahwa arus kas, bukan laba, adalah hasil akhir aktivitas perusahaan, karena laba hanyalah abstraksi sedangkan kas adalah sumber daya yang nyata. Model valuasi dalam literatur ekonomi keuangan sependapat bahwa arus kas perusahaanlah penentu akhir nilainya, bukan laba akrual. Namun, riset pasar modal yang terus berkembang menunjukkan akrual memberi informasi tambahan di luar arus kas, khususnya terkait harga saham. Maka tafsiran yang masuk akal adalah kas dan akrual lebih berguna bila dibaca bersama, sehingga SCF bersifat melengkapi laporan akrual. Survei terhadap investor dan analis secara konsisten menunjukkan analisis berbasis akrual masih dominan, meski survei yang ditugaskan Financial Accounting Foundation menemukan kepentingan data arus dana meningkat sementara data akrual menurun (Wolk et al., 2017).</w:t>
            </w:r>
          </w:p>
        </w:tc>
      </w:tr>
      <w:tr>
        <w:tc>
          <w:tcPr>
            <w:tcW w:type="dxa" w:w="2835"/>
          </w:tcPr>
          <w:p>
            <w:pPr>
              <w:spacing w:line="360" w:lineRule="auto"/>
              <w:jc w:val="left"/>
            </w:pPr>
            <w:r/>
            <w:r>
              <w:rPr>
                <w:rFonts w:ascii="Calibri" w:hAnsi="Calibri" w:cs="Calibri"/>
                <w:b/>
                <w:i w:val="0"/>
                <w:sz w:val="22"/>
              </w:rPr>
              <w:t>Apa tiga rekomendasi Broome untuk memperbaiki SCF?</w:t>
            </w:r>
          </w:p>
        </w:tc>
        <w:tc>
          <w:tcPr>
            <w:tcW w:type="dxa" w:w="5669"/>
          </w:tcPr>
          <w:p>
            <w:pPr>
              <w:spacing w:line="360" w:lineRule="auto"/>
              <w:jc w:val="both"/>
            </w:pPr>
            <w:r/>
            <w:r>
              <w:rPr>
                <w:rFonts w:ascii="Calibri" w:hAnsi="Calibri" w:cs="Calibri"/>
                <w:b w:val="0"/>
                <w:i w:val="0"/>
                <w:sz w:val="22"/>
              </w:rPr>
              <w:t>SCF adalah alat penting bagi investor, kreditor, dan manajer, tetapi masih dapat diperbaiki. Berlatar serangkaian skandal akuntansi seperti Adelphia, Dynegy, Qwest, Tyco, dan WorldCom, Broome berpendapat SCF dapat dan seharusnya dibenahi. Sebabnya, keleluasaan SFAS No. 95 yang membolehkan metode langsung atau tidak langsung justru menimbulkan kebingungan. Penyesuaian yang rumit pada metode tidak langsung sulit dipahami, dan dalam banyak kasus tidak dapat dicocokkan dengan perubahan akun neraca yang teramati. Broome mengajukan tiga usulan. Pertama, FASB sebaiknya mewajibkan metode langsung sekaligus rekonsiliasi laba bersih ke arus kas operasi. Kedua, FASB memberi panduan klasifikasi yang lebih jelas untuk ketiga bagian. Ketiga, rekonsiliasi pelengkap disusun mulai dari arus kas operasi menuju laba bersih, kebalikan dari praktik sekarang. Wolk setuju metode langsung sebaiknya diwajibkan. Namun seandainya sistem pilihan tetap dipertahankan, perusahaan sebaiknya wajib menyajikan skedul transaksi nonkas yang memengaruhi akun modal kerja, skedul rekonsiliasi untuk akuisisi tengah tahun, dan secara umum menjelaskan asal setiap nonartikulasi pada bagian operasi SCF (Wolk et al., 2017).</w:t>
            </w:r>
          </w:p>
        </w:tc>
      </w:tr>
    </w:tbl>
    <w:p>
      <w:pPr>
        <w:spacing w:line="360" w:lineRule="auto" w:before="80" w:after="40"/>
        <w:jc w:val="left"/>
      </w:pPr>
      <w:r>
        <w:rPr>
          <w:rFonts w:ascii="Calibri" w:hAnsi="Calibri" w:cs="Calibri"/>
          <w:b/>
          <w:i w:val="0"/>
          <w:sz w:val="26"/>
        </w:rPr>
        <w:t>Bagian B — Ringkasan</w:t>
      </w:r>
    </w:p>
    <w:p>
      <w:pPr>
        <w:spacing w:line="360" w:lineRule="auto" w:before="0" w:after="80"/>
        <w:jc w:val="both"/>
      </w:pPr>
      <w:r>
        <w:rPr>
          <w:rFonts w:ascii="Calibri" w:hAnsi="Calibri" w:cs="Calibri"/>
          <w:b w:val="0"/>
          <w:i w:val="0"/>
          <w:sz w:val="24"/>
        </w:rPr>
        <w:t>Bab 13 menelusuri bagaimana pelaporan arus kas berkembang dari pendahulunya, yaitu Statement of Changes in Financial Position (SCFP), menjadi Statement of Cash Flows (SCF) yang dipakai sekarang. SCFP yang diwajibkan APB Opinion No. 19 pada 1971 masih berupa laporan arus dana dengan kerangka sumber dan penggunaan. Laporan ini membuka empat pilihan arti dana, yaitu kas, kas plus near cash, quick assets, atau modal kerja, dan sebagian besar perusahaan memilih modal kerja karena paling murah disusun. Masalahnya, modal kerja bersih adalah ukuran likuiditas yang lemah, sebab memuat pos tangguhan tanpa kaitan dengan kas, mengandaikan siklus operasi yang bisa lebih dari setahun, dan menilai persediaan berdasarkan biaya. Atas dasar itu, FASB melalui SFAS No. 95 pada 1987 mengubah arti dana menjadi kas dan menggantikan SCFP. Inti SFAS No. 95 adalah pembagian tiga arah, yaitu aktivitas operasi, investasi, dan pendanaan, yang membuat klasifikasi lebih konsisten. Standar ini juga memberi definisi kas dan setara kas serta mewajibkan pengungkapan transaksi nonkas. Arus kas operasi boleh disajikan dengan metode langsung, yang lebih informatif dan disukai FASB meski lebih mahal, atau metode tidak langsung, yang paling banyak dipakai karena lebih murah meski lebih sulit dibaca.</w:t>
      </w:r>
    </w:p>
    <w:p>
      <w:pPr>
        <w:spacing w:line="360" w:lineRule="auto" w:before="0" w:after="80"/>
        <w:jc w:val="both"/>
      </w:pPr>
      <w:r>
        <w:rPr>
          <w:rFonts w:ascii="Calibri" w:hAnsi="Calibri" w:cs="Calibri"/>
          <w:b w:val="0"/>
          <w:i w:val="0"/>
          <w:sz w:val="24"/>
        </w:rPr>
        <w:t>Bab ini juga jujur menjelaskan dua keterbatasan SCF. Pertama, nonartikulasi yang ditemukan Bahnson, Miller, dan Budge. Penyesuaian modal kerja di bagian operasi sering tidak sama dengan perubahan akun neraca. Hal ini terjadi pada 75 persen sampel, dengan kasus 3M yang menunjukkan selisih piutang hingga 300 persen, akibat akuisisi tengah tahun, transaksi nonkas, dan akun yang dipakai bersama. Kedua, masalah klasifikasi. Orientasi proprietary menempatkan bunga dan dividen di bagian operasi, padahal teori entitas dan literatur keuangan menggolongkannya sebagai investasi atau pendanaan. Kelonggaran penerapan, seperti pada IAS 7, premium obligasi versi Vent, Cowling, dan Sevalstad, bunga dikapitalisasi SFAS No. 34, serta lindung nilai SFAS No. 104, membuka ruang manipulasi yang tampak pada kasus Tyco, industri otomotif (CFO GM $7,6 miliar yang sebenarnya $3,5 miliar), dan WorldCom. Meski demikian, SCF tetap sangat berguna untuk analisis, sebagaimana ditunjukkan model Ingram dan Lee serta kebutuhan valuasi ala Buffett. Dari sinilah lahir free cash flow, dengan rumus FCF sama dengan NOPLAT dikurangi investasi pada modal terinvestasi operasi, sebagai ukuran non-GAAP untuk valuasi. Kesimpulan Wolk, perpindahan dari SCFP ke SCF meningkatkan konsistensi dan daya prediksi karena melepaskan diri dari kesewenang-wenangan laba, asalkan SCF dibaca secara utuh dan tidak dibatasi pada arus kas operasi saja (Wolk et al., 2017).</w:t>
      </w:r>
    </w:p>
    <w:p>
      <w:pPr>
        <w:spacing w:line="360" w:lineRule="auto" w:before="80" w:after="40"/>
        <w:jc w:val="left"/>
      </w:pPr>
      <w:r>
        <w:rPr>
          <w:rFonts w:ascii="Calibri" w:hAnsi="Calibri" w:cs="Calibri"/>
          <w:b/>
          <w:i w:val="0"/>
          <w:sz w:val="26"/>
        </w:rPr>
        <w:t>Bagian C — Refleksi dan Analisis Akademik</w:t>
      </w:r>
    </w:p>
    <w:p>
      <w:pPr>
        <w:spacing w:line="360" w:lineRule="auto" w:before="40" w:after="20"/>
        <w:jc w:val="left"/>
      </w:pPr>
      <w:r>
        <w:rPr>
          <w:rFonts w:ascii="Calibri" w:hAnsi="Calibri" w:cs="Calibri"/>
          <w:b/>
          <w:i/>
          <w:sz w:val="24"/>
        </w:rPr>
        <w:t>Apa pemahaman saya terhadap materi ini?</w:t>
      </w:r>
    </w:p>
    <w:p>
      <w:pPr>
        <w:spacing w:line="360" w:lineRule="auto" w:before="0" w:after="80"/>
        <w:jc w:val="both"/>
      </w:pPr>
      <w:r>
        <w:rPr>
          <w:rFonts w:ascii="Calibri" w:hAnsi="Calibri" w:cs="Calibri"/>
          <w:b w:val="0"/>
          <w:i w:val="0"/>
          <w:sz w:val="24"/>
        </w:rPr>
        <w:t>Menurut pemahaman saya, SCF bukan laporan keuangan keempat yang berdiri sendiri, melainkan laporan turunan yang menyusun ulang data dari laporan laba rugi dan neraca ke dalam tiga sudut pandang, yaitu operasi, investasi, dan pendanaan. Nilai SCF tidak terletak pada kebaruan datanya, sebab datanya memang sudah ada, melainkan pada cara ia memisahkan komponen kas dari komponen akrual. Pemisahan inilah yang menghasilkan informasi baru tentang likuiditas dan kualitas laba. Yang menarik, kelebihan utama SCF, yaitu kejelasan kas, sekaligus menjadi sumber masalahnya. Begitu standar harus memutuskan suatu arus kas masuk ke bagian yang mana, kejelasan itu terganggu oleh pilihan teori antara proprietary dan entity, serta oleh pilihan metode antara langsung dan tidak langsung. Jadi, SCF adalah laporan yang konsepnya sederhana tetapi penyajiannya penuh keputusan yang tidak netral.</w:t>
      </w:r>
    </w:p>
    <w:p>
      <w:pPr>
        <w:spacing w:line="360" w:lineRule="auto" w:before="40" w:after="20"/>
        <w:jc w:val="left"/>
      </w:pPr>
      <w:r>
        <w:rPr>
          <w:rFonts w:ascii="Calibri" w:hAnsi="Calibri" w:cs="Calibri"/>
          <w:b/>
          <w:i/>
          <w:sz w:val="24"/>
        </w:rPr>
        <w:t>Mengapa materi ini penting?</w:t>
      </w:r>
    </w:p>
    <w:p>
      <w:pPr>
        <w:spacing w:line="360" w:lineRule="auto" w:before="0" w:after="80"/>
        <w:jc w:val="both"/>
      </w:pPr>
      <w:r>
        <w:rPr>
          <w:rFonts w:ascii="Calibri" w:hAnsi="Calibri" w:cs="Calibri"/>
          <w:b w:val="0"/>
          <w:i w:val="0"/>
          <w:sz w:val="24"/>
        </w:rPr>
        <w:t>Materi ini penting karena menyentuh pertanyaan paling mendasar tentang kelangsungan usaha, yaitu apakah perusahaan menghasilkan kas yang cukup untuk bertahan. Laba bisa saja terlihat positif sementara kas menipis, dan keadaan seperti ini sudah berkali-kali terbukti fatal. Belajar SCF melatih kita untuk tidak terpaku pada satu angka, baik laba bersih maupun arus kas operasi, melainkan membaca interaksi ketiga bagiannya sekaligus. Ada pula pelajaran yang lebih dalam. Materi ini menunjukkan bahwa standar akuntansi adalah hasil kompromi politik dan ekonomi, misalnya tekanan industri perbankan atas klasifikasi bunga, dan bukan kebenaran yang netral. Inilah pelajaran inti dari mata kuliah Pelaporan Keuangan Korporat.</w:t>
      </w:r>
    </w:p>
    <w:p>
      <w:pPr>
        <w:spacing w:line="360" w:lineRule="auto" w:before="40" w:after="20"/>
        <w:jc w:val="left"/>
      </w:pPr>
      <w:r>
        <w:rPr>
          <w:rFonts w:ascii="Calibri" w:hAnsi="Calibri" w:cs="Calibri"/>
          <w:b/>
          <w:i/>
          <w:sz w:val="24"/>
        </w:rPr>
        <w:t>Bagaimana penerapannya dalam dunia nyata?</w:t>
      </w:r>
    </w:p>
    <w:p>
      <w:pPr>
        <w:spacing w:line="360" w:lineRule="auto" w:before="0" w:after="80"/>
        <w:jc w:val="both"/>
      </w:pPr>
      <w:r>
        <w:rPr>
          <w:rFonts w:ascii="Calibri" w:hAnsi="Calibri" w:cs="Calibri"/>
          <w:b w:val="0"/>
          <w:i w:val="0"/>
          <w:sz w:val="24"/>
        </w:rPr>
        <w:t>Penerapan SCF paling terasa dalam analisis solvabilitas dan deteksi manipulasi. Contoh paling jelas adalah WorldCom. Selisih CFO dikurangi CFI yang terus negatif, hingga membentuk defisit kumulatif $12 miliar, sudah memberi tanda bahaya jauh sebelum laba bersih dan CFO yang dipoles lewat kapitalisasi beban itu runtuh. Pola serupa terlihat pada industri otomotif, ketika GM melaporkan CFO $7,6 miliar yang sebenarnya hanya $3,5 miliar seandainya piutang dealer digolongkan operasi. Dalam praktik valuasi, FCF yang didiskontokan dengan WACC menjadi tulang punggung penilaian saham, persis seperti logika nilai intrinsik yang dianjurkan Buffett. Karena itu, baik analis kredit maupun investor sebaiknya menyusun ulang arus kas terlebih dahulu, bukan menerimanya begitu saja.</w:t>
      </w:r>
    </w:p>
    <w:p>
      <w:pPr>
        <w:spacing w:line="360" w:lineRule="auto" w:before="40" w:after="20"/>
        <w:jc w:val="left"/>
      </w:pPr>
      <w:r>
        <w:rPr>
          <w:rFonts w:ascii="Calibri" w:hAnsi="Calibri" w:cs="Calibri"/>
          <w:b/>
          <w:i/>
          <w:sz w:val="24"/>
        </w:rPr>
        <w:t>Apa hubungan materi ini dengan mata kuliah lain?</w:t>
      </w:r>
    </w:p>
    <w:p>
      <w:pPr>
        <w:spacing w:line="360" w:lineRule="auto" w:before="0" w:after="80"/>
        <w:jc w:val="both"/>
      </w:pPr>
      <w:r>
        <w:rPr>
          <w:rFonts w:ascii="Calibri" w:hAnsi="Calibri" w:cs="Calibri"/>
          <w:b w:val="0"/>
          <w:i w:val="0"/>
          <w:sz w:val="24"/>
        </w:rPr>
        <w:t>Materi ini berkaitan dengan beberapa mata kuliah sekaligus. Dalam analisis laporan keuangan, SCF menyediakan dasar rasio likuiditas dan kualitas laba yang lebih dapat diandalkan daripada rasio dari neraca. Dalam manajemen keuangan, konsep FCF, NOPLAT, NPV, dan WACC menjadi jembatan langsung menuju teori penilaian dan penganggaran modal. Bahkan definisi FCF di bab ini sama dengan yang dipakai dalam corporate valuation. Dalam audit, masalah nonartikulasi dan ruang klasifikasi menjadi area berisiko yang menuntut pengujian lebih mendalam, sebab di titik itulah manajemen memiliki celah untuk membingkai ulang kinerjanya.</w:t>
      </w:r>
    </w:p>
    <w:p>
      <w:pPr>
        <w:spacing w:line="360" w:lineRule="auto" w:before="40" w:after="20"/>
        <w:jc w:val="left"/>
      </w:pPr>
      <w:r>
        <w:rPr>
          <w:rFonts w:ascii="Calibri" w:hAnsi="Calibri" w:cs="Calibri"/>
          <w:b/>
          <w:i/>
          <w:sz w:val="24"/>
        </w:rPr>
        <w:t>Apa kelebihan dan keterbatasan teori yang dibahas?</w:t>
      </w:r>
    </w:p>
    <w:p>
      <w:pPr>
        <w:spacing w:line="360" w:lineRule="auto" w:before="0" w:after="80"/>
        <w:jc w:val="both"/>
      </w:pPr>
      <w:r>
        <w:rPr>
          <w:rFonts w:ascii="Calibri" w:hAnsi="Calibri" w:cs="Calibri"/>
          <w:b w:val="0"/>
          <w:i w:val="0"/>
          <w:sz w:val="24"/>
        </w:rPr>
        <w:t>Kelebihan SCF cukup nyata. SCF mengurangi kesewenang-wenangan dalam mengukur laba, memperbaiki keterbandingan antarperusahaan, dan memberi dasar yang relatif kuat untuk menilai likuiditas dan daya prediksi. Namun, keterbatasannya tidak boleh ditutupi. Nonartikulasi membuat SCF metode tidak langsung terlihat tidak sejalan dengan neraca pada 75 persen kasus. Ruang klasifikasi yang dibiarkan SFAS No. 95, mulai dari bunga yang diperlakukan secara proprietary, kelonggaran IAS 7, empat metode premium, hingga lindung nilai SFAS No. 104, memungkinkan perusahaan sejenis menampilkan gambaran yang berlawanan, sehingga keterbandingan yang dijanjikan ikut berkurang. FCF sendiri, meski populer untuk valuasi, berstatus non-GAAP. Artinya, FCF tidak terstandar, tidak dapat diambil langsung dari SCF, dan rentan terhadap perbedaan definisi antarperusahaan. Jadi, SCF unggul pada hal yang lebih objektif, yaitu kas, tetapi tetap mewarisi masalah alokasi dan klasifikasi yang sebenarnya ingin dihindarinya.</w:t>
      </w:r>
    </w:p>
    <w:p>
      <w:pPr>
        <w:spacing w:line="360" w:lineRule="auto" w:before="80" w:after="40"/>
        <w:jc w:val="left"/>
      </w:pPr>
      <w:r>
        <w:rPr>
          <w:rFonts w:ascii="Calibri" w:hAnsi="Calibri" w:cs="Calibri"/>
          <w:b/>
          <w:i w:val="0"/>
          <w:sz w:val="26"/>
        </w:rPr>
        <w:t>Bagian D — Kesimpulan Akademik</w:t>
      </w:r>
    </w:p>
    <w:p>
      <w:pPr>
        <w:spacing w:line="360" w:lineRule="auto" w:before="0" w:after="80"/>
        <w:jc w:val="both"/>
      </w:pPr>
      <w:r>
        <w:rPr>
          <w:rFonts w:ascii="Calibri" w:hAnsi="Calibri" w:cs="Calibri"/>
          <w:b w:val="0"/>
          <w:i w:val="0"/>
          <w:sz w:val="24"/>
        </w:rPr>
        <w:t>Dari seluruh pembahasan, dapat disimpulkan bahwa SCF pada dasarnya adalah bentuk khusus dari SCFP dengan dana diartikan sebagai kas. SCF tetap berupa laporan turunan yang menyusun ulang data laba rugi dan neraca ke dalam tiga bagian, yaitu operasi, investasi, dan pendanaan. Pesan utamanya, kaslah yang menentukan kelangsungan dan nilai perusahaan, bukan laba akrual. Karena itu, SCF hadir untuk meredam kesewenang-wenangan dalam mengukur laba sekaligus meningkatkan keterbandingan dan daya prediksi. Manfaatnya berjalan ke dua arah. Bagi pengguna luar, SCF menjadi dasar untuk menilai likuiditas, fleksibilitas keuangan, dan kualitas laba. Bagi analis valuasi, SCF menjadi titik awal menghitung free cash flow yang didiskontokan dengan biaya modal. Dalam praktik, manfaat itu terlihat pada analisis solvabilitas dan deteksi kecurangan. Kasus WorldCom dan industri otomotif menunjukkan bahwa membaca SCF secara utuh, lintas ketiga bagiannya, dapat menyingkap tekanan kas yang tersembunyi di balik laba yang tampak sehat. Namun, bab ini juga mengajarkan sikap rendah hati. Nonartikulasi, ruang klasifikasi SFAS No. 95, dan sifat non-GAAP dari FCF membatasi klaim objektivitas SCF. Sumbangan terbesarnya bagi ilmu akuntansi adalah penegasan bahwa pelaporan berbasis kas dan berbasis akrual saling melengkapi, bukan saling menggantikan. Bab ini juga menegaskan bahwa mutu sebuah standar diukur bukan dari kelengkapannya semata, melainkan dari sejauh mana ia membatasi celah yang dapat menyesatkan pengguna (Wolk et al., 2017).</w:t>
      </w:r>
    </w:p>
    <w:p>
      <w:pPr>
        <w:spacing w:line="360" w:lineRule="auto" w:before="80" w:after="40"/>
        <w:jc w:val="left"/>
      </w:pPr>
      <w:r>
        <w:rPr>
          <w:rFonts w:ascii="Calibri" w:hAnsi="Calibri" w:cs="Calibri"/>
          <w:b/>
          <w:i w:val="0"/>
          <w:sz w:val="26"/>
        </w:rPr>
        <w:t>Bagian E — Review Mandiri (Active Recall)</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FASB melalui SFAS No. 95 (1987) akhirnya mendefinisikan dana sebagai kas dan menggantikan SCFP, dan apa tiga kelemahan modal kerja bersih sebagai ukuran likuiditas? </w:t>
      </w:r>
      <w:r>
        <w:rPr>
          <w:rFonts w:ascii="Calibri" w:hAnsi="Calibri" w:cs="Calibri"/>
          <w:b w:val="0"/>
          <w:i/>
          <w:sz w:val="24"/>
        </w:rPr>
        <w:t>Jawaban: karena kas jauh lebih jelas untuk dibaca. Modal kerja bersih dinilai lemah karena memuat beban dan kredit tangguhan yang tidak berkaitan dengan kas, mengandaikan siklus operasi yang bisa lebih dari setahun, dan menilai persediaan berdasarkan biaya sehingga tidak menunjukkan potensi kasnya.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yang dimaksud pembagian tiga arah dalam SCF, dan apa isi keberatan tiga anggota FASB? </w:t>
      </w:r>
      <w:r>
        <w:rPr>
          <w:rFonts w:ascii="Calibri" w:hAnsi="Calibri" w:cs="Calibri"/>
          <w:b w:val="0"/>
          <w:i/>
          <w:sz w:val="24"/>
        </w:rPr>
        <w:t>Jawaban: SCF menggolongkan arus kas ke dalam aktivitas operasi, investasi, dan pendanaan. Tiga anggota yang menolak berpendapat bunga dan dividen yang diterima sebenarnya investasi, dan bunga yang dibayar adalah pendanaan, bukan operasi.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beda metode langsung dan tidak langsung, dan mengapa sebagian besar perusahaan Amerika memilih metode tidak langsung meski FASB lebih menyukai yang langsung? </w:t>
      </w:r>
      <w:r>
        <w:rPr>
          <w:rFonts w:ascii="Calibri" w:hAnsi="Calibri" w:cs="Calibri"/>
          <w:b w:val="0"/>
          <w:i/>
          <w:sz w:val="24"/>
        </w:rPr>
        <w:t>Jawaban: metode langsung melaporkan arus kas apa adanya dan lebih informatif tetapi mahal disusun, sedangkan metode tidak langsung mencocokkan laba akrual dengan kas dan lebih murah, sehingga lebih dominan. Studi McEnroe justru menemukan 56 persen pengguna memilih metode langsung dan 44 persen metode tidak langsung.</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itu masalah nonartikulasi, siapa yang menelitinya, dan apa tiga penyebab utamanya? </w:t>
      </w:r>
      <w:r>
        <w:rPr>
          <w:rFonts w:ascii="Calibri" w:hAnsi="Calibri" w:cs="Calibri"/>
          <w:b w:val="0"/>
          <w:i/>
          <w:sz w:val="24"/>
        </w:rPr>
        <w:t>Jawaban: keadaan ketika penyesuaian modal kerja di bagian operasi tidak sama dengan perubahan akun neraca, yang ditemukan Bahnson, Miller, dan Budge pada 75 persen sampel. Penyebabnya adalah akuisisi tengah tahun, transaksi modal kerja yang tidak melibatkan kas, dan satu akun utang usaha yang dipakai bersama untuk pembelian operasi maupun investasi.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Tuliskan rumus free cash flow dan jelaskan mengapa FCF tidak dapat diambil langsung dari SCF. </w:t>
      </w:r>
      <w:r>
        <w:rPr>
          <w:rFonts w:ascii="Calibri" w:hAnsi="Calibri" w:cs="Calibri"/>
          <w:b w:val="0"/>
          <w:i/>
          <w:sz w:val="24"/>
        </w:rPr>
        <w:t>Jawaban: FCF sama dengan NOPLAT dikurangi investasi pada modal terinvestasi operasi. FCF tidak dapat diambil langsung karena CFO masih mengandung beban bunga pendanaan dan tidak memperlakukan kenaikan kas operasi sebagai investasi, sehingga perlu disesuaikan dengan menambah bunga setelah pajak, mengurangi kenaikan kas operasi, lalu menambahkan CFI.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Dengan kasus WorldCom, jelaskan mengapa SCF harus dibaca secara utuh dan tidak berhenti pada arus kas operasi saja. </w:t>
      </w:r>
      <w:r>
        <w:rPr>
          <w:rFonts w:ascii="Calibri" w:hAnsi="Calibri" w:cs="Calibri"/>
          <w:b w:val="0"/>
          <w:i/>
          <w:sz w:val="24"/>
        </w:rPr>
        <w:t>Jawaban: WorldCom mengapitalisasi beban operasi sehingga CFO membengkak dan laba bersih tampak meyakinkan. Namun selisih CFO dikurangi CFI yang terus negatif menyingkap defisit kumulatif $12 miliar pada 31 Desember 2001, tanda yang hanya terlihat bila ketiga bagian SCF dibaca bersama.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klasifikasi bunga dan dividen menunjukkan ketegangan antara proprietary theory dan entity theory, dan bagaimana sikap IAS 7? </w:t>
      </w:r>
      <w:r>
        <w:rPr>
          <w:rFonts w:ascii="Calibri" w:hAnsi="Calibri" w:cs="Calibri"/>
          <w:b w:val="0"/>
          <w:i/>
          <w:sz w:val="24"/>
        </w:rPr>
        <w:t>Jawaban: SFAS No. 95 berorientasi proprietary sehingga bunga dan dividen masuk ke operasi, sedangkan entity theory menggolongkannya sebagai investasi atau pendanaan. IAS 7 bersikap lebih lentur, yaitu membolehkan klasifikasi operasi, investasi, atau pendanaan asalkan konsisten dari tahun ke tahun.</w:t>
      </w:r>
    </w:p>
    <w:p>
      <w:pPr>
        <w:spacing w:line="360" w:lineRule="auto" w:before="80" w:after="40"/>
        <w:jc w:val="left"/>
      </w:pPr>
      <w:r>
        <w:rPr>
          <w:rFonts w:ascii="Calibri" w:hAnsi="Calibri" w:cs="Calibri"/>
          <w:b/>
          <w:i w:val="0"/>
          <w:sz w:val="26"/>
        </w:rPr>
        <w:t>Bagian F — Referensi Akademik</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Wolk, H. I., Dodd, J. L., &amp; Rozycki, J. J. (2017). </w:t>
      </w:r>
      <w:r>
        <w:rPr>
          <w:rFonts w:ascii="Calibri" w:hAnsi="Calibri" w:cs="Calibri"/>
          <w:b w:val="0"/>
          <w:i/>
          <w:sz w:val="24"/>
        </w:rPr>
        <w:t>Accounting theory: Conceptual issues in a political and economic environment</w:t>
      </w:r>
      <w:r>
        <w:rPr>
          <w:rFonts w:ascii="Calibri" w:hAnsi="Calibri" w:cs="Calibri"/>
          <w:b w:val="0"/>
          <w:i w:val="0"/>
          <w:sz w:val="24"/>
        </w:rPr>
        <w:t xml:space="preserve"> (9th ed.). SAGE Publications. [Bab 13 — </w:t>
      </w:r>
      <w:r>
        <w:rPr>
          <w:rFonts w:ascii="Calibri" w:hAnsi="Calibri" w:cs="Calibri"/>
          <w:b w:val="0"/>
          <w:i/>
          <w:sz w:val="24"/>
        </w:rPr>
        <w:t>Statement of Cash Flows</w:t>
      </w:r>
      <w:r>
        <w:rPr>
          <w:rFonts w:ascii="Calibri" w:hAnsi="Calibri" w:cs="Calibri"/>
          <w:b w:val="0"/>
          <w:i w:val="0"/>
          <w:sz w:val="24"/>
        </w:rPr>
        <w:t>, hlm. 375–409].</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