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360" w:before="0" w:after="40"/>
        <w:jc w:val="center"/>
      </w:pPr>
      <w:r>
        <w:rPr>
          <w:rFonts w:ascii="Times New Roman" w:hAnsi="Times New Roman" w:cs="Times New Roman"/>
          <w:b/>
          <w:i w:val="0"/>
          <w:sz w:val="28"/>
        </w:rPr>
        <w:t>RINGKASAN MATERI KULIAH (RMK) — PERTEMUAN 9</w:t>
      </w:r>
    </w:p>
    <w:p>
      <w:pPr>
        <w:spacing w:lineRule="exact" w:line="360" w:before="0" w:after="40"/>
        <w:jc w:val="center"/>
      </w:pPr>
      <w:r>
        <w:rPr>
          <w:rFonts w:ascii="Times New Roman" w:hAnsi="Times New Roman" w:cs="Times New Roman"/>
          <w:b w:val="0"/>
          <w:i w:val="0"/>
          <w:sz w:val="24"/>
        </w:rPr>
        <w:t>Pelaporan Keuangan Korporat (MNK202) — Pascasarjana STIE YKPN Yogyakarta</w:t>
      </w:r>
    </w:p>
    <w:p>
      <w:pPr>
        <w:spacing w:lineRule="exact" w:line="360" w:before="0" w:after="40"/>
        <w:jc w:val="center"/>
      </w:pPr>
      <w:r>
        <w:rPr>
          <w:rFonts w:ascii="Times New Roman" w:hAnsi="Times New Roman" w:cs="Times New Roman"/>
          <w:b w:val="0"/>
          <w:i w:val="0"/>
          <w:sz w:val="24"/>
        </w:rPr>
        <w:t>Dzaki Muhammad Yusfian — NIM 1225 01079</w:t>
      </w:r>
    </w:p>
    <w:p>
      <w:pPr>
        <w:spacing w:lineRule="exact" w:line="360" w:before="0" w:after="40"/>
        <w:jc w:val="center"/>
      </w:pPr>
      <w:r>
        <w:rPr>
          <w:rFonts w:ascii="Times New Roman" w:hAnsi="Times New Roman" w:cs="Times New Roman"/>
          <w:b w:val="0"/>
          <w:i/>
          <w:sz w:val="24"/>
        </w:rPr>
        <w:t>The Income Statement</w:t>
      </w:r>
      <w:r>
        <w:rPr>
          <w:rFonts w:ascii="Times New Roman" w:hAnsi="Times New Roman" w:cs="Times New Roman"/>
          <w:b w:val="0"/>
          <w:i w:val="0"/>
          <w:sz w:val="24"/>
        </w:rPr>
        <w:t xml:space="preserve"> — Wolk, H. I., Dodd, J. L., &amp; Rozycki, J. J. (2017). </w:t>
      </w:r>
      <w:r>
        <w:rPr>
          <w:rFonts w:ascii="Times New Roman" w:hAnsi="Times New Roman" w:cs="Times New Roman"/>
          <w:b w:val="0"/>
          <w:i/>
          <w:sz w:val="24"/>
        </w:rPr>
        <w:t>Accounting Theory: Conceptual Issues in a Political and Economic Environment</w:t>
      </w:r>
      <w:r>
        <w:rPr>
          <w:rFonts w:ascii="Times New Roman" w:hAnsi="Times New Roman" w:cs="Times New Roman"/>
          <w:b w:val="0"/>
          <w:i w:val="0"/>
          <w:sz w:val="24"/>
        </w:rPr>
        <w:t xml:space="preserve"> (9th ed., Ch. 12). Sage.</w:t>
      </w:r>
    </w:p>
    <w:p>
      <w:pPr>
        <w:spacing w:lineRule="exact" w:line="360" w:before="0" w:after="200"/>
        <w:jc w:val="both"/>
        <w:pBdr>
          <w:bottom w:val="single" w:sz="8" w:color="000000"/>
        </w:pBdr>
      </w:pPr>
      <w:r>
        <w:rPr>
          <w:rFonts w:ascii="Times New Roman" w:hAnsi="Times New Roman" w:cs="Times New Roman"/>
          <w:b w:val="0"/>
          <w:i w:val="0"/>
          <w:sz w:val="24"/>
        </w:rPr>
      </w:r>
    </w:p>
    <w:p>
      <w:pPr>
        <w:spacing w:lineRule="exact" w:line="360" w:before="240" w:after="120"/>
        <w:jc w:val="left"/>
      </w:pPr>
      <w:r>
        <w:rPr>
          <w:rFonts w:ascii="Times New Roman" w:hAnsi="Times New Roman" w:cs="Times New Roman"/>
          <w:b/>
          <w:i w:val="0"/>
          <w:sz w:val="26"/>
        </w:rPr>
        <w:t>I. Orientasi: Laporan Laba Rugi dalam Teori Akuntansi</w:t>
      </w:r>
    </w:p>
    <w:p>
      <w:pPr>
        <w:spacing w:lineRule="exact" w:line="360" w:before="0" w:after="120"/>
        <w:jc w:val="both"/>
      </w:pPr>
      <w:r>
        <w:rPr>
          <w:rFonts w:ascii="Times New Roman" w:hAnsi="Times New Roman" w:cs="Times New Roman"/>
          <w:b w:val="0"/>
          <w:i w:val="0"/>
          <w:sz w:val="24"/>
        </w:rPr>
        <w:t xml:space="preserve">Dalam keseluruhan arsitektur pelaporan keuangan, </w:t>
      </w:r>
      <w:r>
        <w:rPr>
          <w:rFonts w:ascii="Times New Roman" w:hAnsi="Times New Roman" w:cs="Times New Roman"/>
          <w:b/>
          <w:i w:val="0"/>
          <w:sz w:val="24"/>
        </w:rPr>
        <w:t>laporan laba rugi</w:t>
      </w:r>
      <w:r>
        <w:rPr>
          <w:rFonts w:ascii="Times New Roman" w:hAnsi="Times New Roman" w:cs="Times New Roman"/>
          <w:b w:val="0"/>
          <w:i w:val="0"/>
          <w:sz w:val="24"/>
        </w:rPr>
        <w:t xml:space="preserve"> (</w:t>
      </w:r>
      <w:r>
        <w:rPr>
          <w:rFonts w:ascii="Times New Roman" w:hAnsi="Times New Roman" w:cs="Times New Roman"/>
          <w:b w:val="0"/>
          <w:i/>
          <w:sz w:val="24"/>
        </w:rPr>
        <w:t>income statement</w:t>
      </w:r>
      <w:r>
        <w:rPr>
          <w:rFonts w:ascii="Times New Roman" w:hAnsi="Times New Roman" w:cs="Times New Roman"/>
          <w:b w:val="0"/>
          <w:i w:val="0"/>
          <w:sz w:val="24"/>
        </w:rPr>
        <w:t xml:space="preserve">) telah lama menempati—dan tetap menempati—posisi sebagai laporan keuangan yang fundamental dan tidak tergantikan. Wolk dan kolega menegaskan bahwa arti pentingnya telah dibahas pada bab-bab sebelumnya justru karena perannya yang ganda: ia menjadi basis bagi prediksi arus kas masa depan sekaligus alat untuk menilai kinerja manajemen (Wolk et al., 2017, PDF hlm. 2). Kedua fungsi ini bukan sekadar utilitas teknis, melainkan jantung dari tema </w:t>
      </w:r>
      <w:r>
        <w:rPr>
          <w:rFonts w:ascii="Times New Roman" w:hAnsi="Times New Roman" w:cs="Times New Roman"/>
          <w:b w:val="0"/>
          <w:i/>
          <w:sz w:val="24"/>
        </w:rPr>
        <w:t>decision usefulness</w:t>
      </w:r>
      <w:r>
        <w:rPr>
          <w:rFonts w:ascii="Times New Roman" w:hAnsi="Times New Roman" w:cs="Times New Roman"/>
          <w:b w:val="0"/>
          <w:i w:val="0"/>
          <w:sz w:val="24"/>
        </w:rPr>
        <w:t xml:space="preserve"> yang menjadi benang merah kursus ini—angka laba dipandang berharga sejauh ia membantu investor dan kreditor memproyeksikan kemampuan entitas menghasilkan kas di masa depan dan menilai stewardship pengelola atas sumber daya yang dipercayakan kepada mereka. Dilihat dari kacamata teori kontrak (</w:t>
      </w:r>
      <w:r>
        <w:rPr>
          <w:rFonts w:ascii="Times New Roman" w:hAnsi="Times New Roman" w:cs="Times New Roman"/>
          <w:b w:val="0"/>
          <w:i/>
          <w:sz w:val="24"/>
        </w:rPr>
        <w:t>contracting</w:t>
      </w:r>
      <w:r>
        <w:rPr>
          <w:rFonts w:ascii="Times New Roman" w:hAnsi="Times New Roman" w:cs="Times New Roman"/>
          <w:b w:val="0"/>
          <w:i w:val="0"/>
          <w:sz w:val="24"/>
        </w:rPr>
        <w:t>) dan masalah keagenan, laba juga berfungsi meredam asimetri informasi antara manajemen yang mengetahui kondisi internal entitas dan pihak luar yang tidak; ia menjadi metrik bersama yang dapat diverifikasi untuk merancang kontrak kompensasi maupun perjanjian utang—sebuah peran yang, sebagaimana akan terlihat, sekaligus membuka celah bagi penyalahgunaan.</w:t>
      </w:r>
    </w:p>
    <w:p>
      <w:pPr>
        <w:spacing w:lineRule="exact" w:line="360" w:before="0" w:after="120"/>
        <w:jc w:val="both"/>
      </w:pPr>
      <w:r>
        <w:rPr>
          <w:rFonts w:ascii="Times New Roman" w:hAnsi="Times New Roman" w:cs="Times New Roman"/>
          <w:b w:val="0"/>
          <w:i w:val="0"/>
          <w:sz w:val="24"/>
        </w:rPr>
        <w:t xml:space="preserve">Pemahaman atas laporan laba rugi tidak bisa dilepaskan dari konsep </w:t>
      </w:r>
      <w:r>
        <w:rPr>
          <w:rFonts w:ascii="Times New Roman" w:hAnsi="Times New Roman" w:cs="Times New Roman"/>
          <w:b/>
          <w:i w:val="0"/>
          <w:sz w:val="24"/>
        </w:rPr>
        <w:t>artikulasi</w:t>
      </w:r>
      <w:r>
        <w:rPr>
          <w:rFonts w:ascii="Times New Roman" w:hAnsi="Times New Roman" w:cs="Times New Roman"/>
          <w:b w:val="0"/>
          <w:i w:val="0"/>
          <w:sz w:val="24"/>
        </w:rPr>
        <w:t xml:space="preserve"> (</w:t>
      </w:r>
      <w:r>
        <w:rPr>
          <w:rFonts w:ascii="Times New Roman" w:hAnsi="Times New Roman" w:cs="Times New Roman"/>
          <w:b w:val="0"/>
          <w:i/>
          <w:sz w:val="24"/>
        </w:rPr>
        <w:t>articulation</w:t>
      </w:r>
      <w:r>
        <w:rPr>
          <w:rFonts w:ascii="Times New Roman" w:hAnsi="Times New Roman" w:cs="Times New Roman"/>
          <w:b w:val="0"/>
          <w:i w:val="0"/>
          <w:sz w:val="24"/>
        </w:rPr>
        <w:t>), yaitu keterkaitan struktural antara laporan laba rugi dan neraca yang telah dibahas pada Pertemuan VIII (Wolk Bab 11). Bab 12 inilah yang mengembangkan terminologi dasar—</w:t>
      </w:r>
      <w:r>
        <w:rPr>
          <w:rFonts w:ascii="Times New Roman" w:hAnsi="Times New Roman" w:cs="Times New Roman"/>
          <w:b w:val="0"/>
          <w:i/>
          <w:sz w:val="24"/>
        </w:rPr>
        <w:t>income</w:t>
      </w:r>
      <w:r>
        <w:rPr>
          <w:rFonts w:ascii="Times New Roman" w:hAnsi="Times New Roman" w:cs="Times New Roman"/>
          <w:b w:val="0"/>
          <w:i w:val="0"/>
          <w:sz w:val="24"/>
        </w:rPr>
        <w:t xml:space="preserve">, </w:t>
      </w:r>
      <w:r>
        <w:rPr>
          <w:rFonts w:ascii="Times New Roman" w:hAnsi="Times New Roman" w:cs="Times New Roman"/>
          <w:b w:val="0"/>
          <w:i/>
          <w:sz w:val="24"/>
        </w:rPr>
        <w:t>revenues</w:t>
      </w:r>
      <w:r>
        <w:rPr>
          <w:rFonts w:ascii="Times New Roman" w:hAnsi="Times New Roman" w:cs="Times New Roman"/>
          <w:b w:val="0"/>
          <w:i w:val="0"/>
          <w:sz w:val="24"/>
        </w:rPr>
        <w:t xml:space="preserve">, dan </w:t>
      </w:r>
      <w:r>
        <w:rPr>
          <w:rFonts w:ascii="Times New Roman" w:hAnsi="Times New Roman" w:cs="Times New Roman"/>
          <w:b w:val="0"/>
          <w:i/>
          <w:sz w:val="24"/>
        </w:rPr>
        <w:t>expenses</w:t>
      </w:r>
      <w:r>
        <w:rPr>
          <w:rFonts w:ascii="Times New Roman" w:hAnsi="Times New Roman" w:cs="Times New Roman"/>
          <w:b w:val="0"/>
          <w:i w:val="0"/>
          <w:sz w:val="24"/>
        </w:rPr>
        <w:t xml:space="preserve">—beserta standar pengakuan bagi dua elemen terakhir (Wolk et al., 2017, PDF hlm. 2). Penting dipahami bahwa definisi-definisi ini dibingkai dalam ketegangan antara </w:t>
      </w:r>
      <w:r>
        <w:rPr>
          <w:rFonts w:ascii="Times New Roman" w:hAnsi="Times New Roman" w:cs="Times New Roman"/>
          <w:b w:val="0"/>
          <w:i/>
          <w:sz w:val="24"/>
        </w:rPr>
        <w:t>revenue–expense approach</w:t>
      </w:r>
      <w:r>
        <w:rPr>
          <w:rFonts w:ascii="Times New Roman" w:hAnsi="Times New Roman" w:cs="Times New Roman"/>
          <w:b w:val="0"/>
          <w:i w:val="0"/>
          <w:sz w:val="24"/>
        </w:rPr>
        <w:t xml:space="preserve"> dan </w:t>
      </w:r>
      <w:r>
        <w:rPr>
          <w:rFonts w:ascii="Times New Roman" w:hAnsi="Times New Roman" w:cs="Times New Roman"/>
          <w:b w:val="0"/>
          <w:i/>
          <w:sz w:val="24"/>
        </w:rPr>
        <w:t>asset–liability approach</w:t>
      </w:r>
      <w:r>
        <w:rPr>
          <w:rFonts w:ascii="Times New Roman" w:hAnsi="Times New Roman" w:cs="Times New Roman"/>
          <w:b w:val="0"/>
          <w:i w:val="0"/>
          <w:sz w:val="24"/>
        </w:rPr>
        <w:t xml:space="preserve">, suatu tarik-menarik yang diwariskan langsung dari diskusi kerangka konseptual. Sebaliknya, </w:t>
      </w:r>
      <w:r>
        <w:rPr>
          <w:rFonts w:ascii="Times New Roman" w:hAnsi="Times New Roman" w:cs="Times New Roman"/>
          <w:b w:val="0"/>
          <w:i/>
          <w:sz w:val="24"/>
        </w:rPr>
        <w:t>economic concept of income</w:t>
      </w:r>
      <w:r>
        <w:rPr>
          <w:rFonts w:ascii="Times New Roman" w:hAnsi="Times New Roman" w:cs="Times New Roman"/>
          <w:b w:val="0"/>
          <w:i w:val="0"/>
          <w:sz w:val="24"/>
        </w:rPr>
        <w:t xml:space="preserve"> klasik beserta gagasan </w:t>
      </w:r>
      <w:r>
        <w:rPr>
          <w:rFonts w:ascii="Times New Roman" w:hAnsi="Times New Roman" w:cs="Times New Roman"/>
          <w:b w:val="0"/>
          <w:i/>
          <w:sz w:val="24"/>
        </w:rPr>
        <w:t>capital maintenance</w:t>
      </w:r>
      <w:r>
        <w:rPr>
          <w:rFonts w:ascii="Times New Roman" w:hAnsi="Times New Roman" w:cs="Times New Roman"/>
          <w:b w:val="0"/>
          <w:i w:val="0"/>
          <w:sz w:val="24"/>
        </w:rPr>
        <w:t xml:space="preserve"> merupakan ranah pembahasan bab neraca (Bab 11); di sini keduanya hanya dipanggil sebagai latar belakang, bukan sebagai pokok bahasan Bab 12.</w:t>
      </w:r>
    </w:p>
    <w:p>
      <w:pPr>
        <w:spacing w:lineRule="exact" w:line="360" w:before="0" w:after="120"/>
        <w:jc w:val="both"/>
      </w:pPr>
      <w:r>
        <w:rPr>
          <w:rFonts w:ascii="Times New Roman" w:hAnsi="Times New Roman" w:cs="Times New Roman"/>
          <w:b w:val="0"/>
          <w:i w:val="0"/>
          <w:sz w:val="24"/>
        </w:rPr>
        <w:t xml:space="preserve">Mengapa angka laba tetap diperjuangkan meski sarat kesulitan pengukuran? Karena dari sudut </w:t>
      </w:r>
      <w:r>
        <w:rPr>
          <w:rFonts w:ascii="Times New Roman" w:hAnsi="Times New Roman" w:cs="Times New Roman"/>
          <w:b w:val="0"/>
          <w:i/>
          <w:sz w:val="24"/>
        </w:rPr>
        <w:t>decision usefulness</w:t>
      </w:r>
      <w:r>
        <w:rPr>
          <w:rFonts w:ascii="Times New Roman" w:hAnsi="Times New Roman" w:cs="Times New Roman"/>
          <w:b w:val="0"/>
          <w:i w:val="0"/>
          <w:sz w:val="24"/>
        </w:rPr>
        <w:t xml:space="preserve">, tidak ada substitut yang lebih ringkas bagi sinyal kinerja periodik; ketidaksempurnaan pengukuran justru menuntut kehati-hatian, bukan pengabaian (Wolk et al., 2017, PDF hlm. 2). Di sinilah ketegangan klasik teori akuntansi mengemuka: pilihan antara </w:t>
      </w:r>
      <w:r>
        <w:rPr>
          <w:rFonts w:ascii="Times New Roman" w:hAnsi="Times New Roman" w:cs="Times New Roman"/>
          <w:b w:val="0"/>
          <w:i/>
          <w:sz w:val="24"/>
        </w:rPr>
        <w:t>historical cost</w:t>
      </w:r>
      <w:r>
        <w:rPr>
          <w:rFonts w:ascii="Times New Roman" w:hAnsi="Times New Roman" w:cs="Times New Roman"/>
          <w:b w:val="0"/>
          <w:i w:val="0"/>
          <w:sz w:val="24"/>
        </w:rPr>
        <w:t xml:space="preserve"> yang andal namun kerap usang dan </w:t>
      </w:r>
      <w:r>
        <w:rPr>
          <w:rFonts w:ascii="Times New Roman" w:hAnsi="Times New Roman" w:cs="Times New Roman"/>
          <w:b w:val="0"/>
          <w:i/>
          <w:sz w:val="24"/>
        </w:rPr>
        <w:t>fair value</w:t>
      </w:r>
      <w:r>
        <w:rPr>
          <w:rFonts w:ascii="Times New Roman" w:hAnsi="Times New Roman" w:cs="Times New Roman"/>
          <w:b w:val="0"/>
          <w:i w:val="0"/>
          <w:sz w:val="24"/>
        </w:rPr>
        <w:t xml:space="preserve"> yang relevan namun rentan subjektivitas turut menentukan seberapa setia angka laba merepresentasikan realitas ekonomi. Hipotesis pasar efisien (</w:t>
      </w:r>
      <w:r>
        <w:rPr>
          <w:rFonts w:ascii="Times New Roman" w:hAnsi="Times New Roman" w:cs="Times New Roman"/>
          <w:b w:val="0"/>
          <w:i/>
          <w:sz w:val="24"/>
        </w:rPr>
        <w:t>efficient markets</w:t>
      </w:r>
      <w:r>
        <w:rPr>
          <w:rFonts w:ascii="Times New Roman" w:hAnsi="Times New Roman" w:cs="Times New Roman"/>
          <w:b w:val="0"/>
          <w:i w:val="0"/>
          <w:sz w:val="24"/>
        </w:rPr>
        <w:t>) menambahkan lapisan nuansa—jika pasar mencerna informasi secara cepat, nilai laba terletak bukan pada presisi semu melainkan pada kandungan informasinya, sehingga debat pengukuran selalu kembali pada pertanyaan: laba versi mana yang paling informatif bagi pengambil keputusan?</w:t>
      </w:r>
    </w:p>
    <w:p>
      <w:pPr>
        <w:spacing w:lineRule="exact" w:line="360" w:before="0" w:after="120"/>
        <w:jc w:val="both"/>
      </w:pPr>
      <w:r>
        <w:rPr>
          <w:rFonts w:ascii="Times New Roman" w:hAnsi="Times New Roman" w:cs="Times New Roman"/>
          <w:b w:val="0"/>
          <w:i w:val="0"/>
          <w:sz w:val="24"/>
        </w:rPr>
        <w:t xml:space="preserve">Sebagai peta jalan, bab ini—sebagaimana dirangkum dalam delapan </w:t>
      </w:r>
      <w:r>
        <w:rPr>
          <w:rFonts w:ascii="Times New Roman" w:hAnsi="Times New Roman" w:cs="Times New Roman"/>
          <w:b w:val="0"/>
          <w:i/>
          <w:sz w:val="24"/>
        </w:rPr>
        <w:t>learning objectives</w:t>
      </w:r>
      <w:r>
        <w:rPr>
          <w:rFonts w:ascii="Times New Roman" w:hAnsi="Times New Roman" w:cs="Times New Roman"/>
          <w:b w:val="0"/>
          <w:i w:val="0"/>
          <w:sz w:val="24"/>
        </w:rPr>
        <w:t xml:space="preserve">—akan menelusuri evolusi definisi </w:t>
      </w:r>
      <w:r>
        <w:rPr>
          <w:rFonts w:ascii="Times New Roman" w:hAnsi="Times New Roman" w:cs="Times New Roman"/>
          <w:b w:val="0"/>
          <w:i/>
          <w:sz w:val="24"/>
        </w:rPr>
        <w:t>revenues</w:t>
      </w:r>
      <w:r>
        <w:rPr>
          <w:rFonts w:ascii="Times New Roman" w:hAnsi="Times New Roman" w:cs="Times New Roman"/>
          <w:b w:val="0"/>
          <w:i w:val="0"/>
          <w:sz w:val="24"/>
        </w:rPr>
        <w:t xml:space="preserve">, </w:t>
      </w:r>
      <w:r>
        <w:rPr>
          <w:rFonts w:ascii="Times New Roman" w:hAnsi="Times New Roman" w:cs="Times New Roman"/>
          <w:b w:val="0"/>
          <w:i/>
          <w:sz w:val="24"/>
        </w:rPr>
        <w:t>expenses</w:t>
      </w:r>
      <w:r>
        <w:rPr>
          <w:rFonts w:ascii="Times New Roman" w:hAnsi="Times New Roman" w:cs="Times New Roman"/>
          <w:b w:val="0"/>
          <w:i w:val="0"/>
          <w:sz w:val="24"/>
        </w:rPr>
        <w:t xml:space="preserve">, </w:t>
      </w:r>
      <w:r>
        <w:rPr>
          <w:rFonts w:ascii="Times New Roman" w:hAnsi="Times New Roman" w:cs="Times New Roman"/>
          <w:b w:val="0"/>
          <w:i/>
          <w:sz w:val="24"/>
        </w:rPr>
        <w:t>gains</w:t>
      </w:r>
      <w:r>
        <w:rPr>
          <w:rFonts w:ascii="Times New Roman" w:hAnsi="Times New Roman" w:cs="Times New Roman"/>
          <w:b w:val="0"/>
          <w:i w:val="0"/>
          <w:sz w:val="24"/>
        </w:rPr>
        <w:t xml:space="preserve">, dan </w:t>
      </w:r>
      <w:r>
        <w:rPr>
          <w:rFonts w:ascii="Times New Roman" w:hAnsi="Times New Roman" w:cs="Times New Roman"/>
          <w:b w:val="0"/>
          <w:i/>
          <w:sz w:val="24"/>
        </w:rPr>
        <w:t>losses</w:t>
      </w:r>
      <w:r>
        <w:rPr>
          <w:rFonts w:ascii="Times New Roman" w:hAnsi="Times New Roman" w:cs="Times New Roman"/>
          <w:b w:val="0"/>
          <w:i w:val="0"/>
          <w:sz w:val="24"/>
        </w:rPr>
        <w:t>; peran peristiwa masa depan (</w:t>
      </w:r>
      <w:r>
        <w:rPr>
          <w:rFonts w:ascii="Times New Roman" w:hAnsi="Times New Roman" w:cs="Times New Roman"/>
          <w:b w:val="0"/>
          <w:i/>
          <w:sz w:val="24"/>
        </w:rPr>
        <w:t>future events</w:t>
      </w:r>
      <w:r>
        <w:rPr>
          <w:rFonts w:ascii="Times New Roman" w:hAnsi="Times New Roman" w:cs="Times New Roman"/>
          <w:b w:val="0"/>
          <w:i w:val="0"/>
          <w:sz w:val="24"/>
        </w:rPr>
        <w:t xml:space="preserve">) dalam pengakuan; kompleksitas pengorganisasian dan penyajian laporan; konsep </w:t>
      </w:r>
      <w:r>
        <w:rPr>
          <w:rFonts w:ascii="Times New Roman" w:hAnsi="Times New Roman" w:cs="Times New Roman"/>
          <w:b w:val="0"/>
          <w:i/>
          <w:sz w:val="24"/>
        </w:rPr>
        <w:t>comprehensive income</w:t>
      </w:r>
      <w:r>
        <w:rPr>
          <w:rFonts w:ascii="Times New Roman" w:hAnsi="Times New Roman" w:cs="Times New Roman"/>
          <w:b w:val="0"/>
          <w:i w:val="0"/>
          <w:sz w:val="24"/>
        </w:rPr>
        <w:t>; pendekatan tersederhanakan atas laba per saham (</w:t>
      </w:r>
      <w:r>
        <w:rPr>
          <w:rFonts w:ascii="Times New Roman" w:hAnsi="Times New Roman" w:cs="Times New Roman"/>
          <w:b w:val="0"/>
          <w:i/>
          <w:sz w:val="24"/>
        </w:rPr>
        <w:t>earnings per share</w:t>
      </w:r>
      <w:r>
        <w:rPr>
          <w:rFonts w:ascii="Times New Roman" w:hAnsi="Times New Roman" w:cs="Times New Roman"/>
          <w:b w:val="0"/>
          <w:i w:val="0"/>
          <w:sz w:val="24"/>
        </w:rPr>
        <w:t xml:space="preserve">); fenomena </w:t>
      </w:r>
      <w:r>
        <w:rPr>
          <w:rFonts w:ascii="Times New Roman" w:hAnsi="Times New Roman" w:cs="Times New Roman"/>
          <w:b w:val="0"/>
          <w:i/>
          <w:sz w:val="24"/>
        </w:rPr>
        <w:t>earnings management</w:t>
      </w:r>
      <w:r>
        <w:rPr>
          <w:rFonts w:ascii="Times New Roman" w:hAnsi="Times New Roman" w:cs="Times New Roman"/>
          <w:b w:val="0"/>
          <w:i w:val="0"/>
          <w:sz w:val="24"/>
        </w:rPr>
        <w:t xml:space="preserve"> beserta manifestasinya; kaitan antara manipulasi rencana kompensasi manajemen dan </w:t>
      </w:r>
      <w:r>
        <w:rPr>
          <w:rFonts w:ascii="Times New Roman" w:hAnsi="Times New Roman" w:cs="Times New Roman"/>
          <w:b w:val="0"/>
          <w:i/>
          <w:sz w:val="24"/>
        </w:rPr>
        <w:t>income smoothing</w:t>
      </w:r>
      <w:r>
        <w:rPr>
          <w:rFonts w:ascii="Times New Roman" w:hAnsi="Times New Roman" w:cs="Times New Roman"/>
          <w:b w:val="0"/>
          <w:i w:val="0"/>
          <w:sz w:val="24"/>
        </w:rPr>
        <w:t xml:space="preserve">; serta sejumlah usulan baru dalam pengukuran laba (Wolk et al., 2017, PDF hlm. 2). Dengan orientasi tematik ini terbangun, kita beralih ke Bagian II yang menggali definisi </w:t>
      </w:r>
      <w:r>
        <w:rPr>
          <w:rFonts w:ascii="Times New Roman" w:hAnsi="Times New Roman" w:cs="Times New Roman"/>
          <w:b w:val="0"/>
          <w:i/>
          <w:sz w:val="24"/>
        </w:rPr>
        <w:t>income</w:t>
      </w:r>
      <w:r>
        <w:rPr>
          <w:rFonts w:ascii="Times New Roman" w:hAnsi="Times New Roman" w:cs="Times New Roman"/>
          <w:b w:val="0"/>
          <w:i w:val="0"/>
          <w:sz w:val="24"/>
        </w:rPr>
        <w:t xml:space="preserve"> dan elemen-elemennya secara mendasar.</w:t>
      </w:r>
    </w:p>
    <w:p>
      <w:pPr>
        <w:spacing w:lineRule="exact" w:line="360" w:before="240" w:after="120"/>
        <w:jc w:val="left"/>
      </w:pPr>
      <w:r>
        <w:rPr>
          <w:rFonts w:ascii="Times New Roman" w:hAnsi="Times New Roman" w:cs="Times New Roman"/>
          <w:b/>
          <w:i w:val="0"/>
          <w:sz w:val="26"/>
        </w:rPr>
        <w:t>II. Definisi Income dan Elemen-elemennya</w:t>
      </w:r>
    </w:p>
    <w:p>
      <w:pPr>
        <w:spacing w:lineRule="exact" w:line="360" w:before="0" w:after="120"/>
        <w:jc w:val="both"/>
      </w:pPr>
      <w:r>
        <w:rPr>
          <w:rFonts w:ascii="Times New Roman" w:hAnsi="Times New Roman" w:cs="Times New Roman"/>
          <w:b w:val="0"/>
          <w:i w:val="0"/>
          <w:sz w:val="24"/>
        </w:rPr>
        <w:t xml:space="preserve">Sebelum mempersoalkan kapan dan berapa besar laba diakui, teori akuntansi terlebih dahulu menuntut kejernihan tentang </w:t>
      </w:r>
      <w:r>
        <w:rPr>
          <w:rFonts w:ascii="Times New Roman" w:hAnsi="Times New Roman" w:cs="Times New Roman"/>
          <w:b w:val="0"/>
          <w:i/>
          <w:sz w:val="24"/>
        </w:rPr>
        <w:t>apa</w:t>
      </w:r>
      <w:r>
        <w:rPr>
          <w:rFonts w:ascii="Times New Roman" w:hAnsi="Times New Roman" w:cs="Times New Roman"/>
          <w:b w:val="0"/>
          <w:i w:val="0"/>
          <w:sz w:val="24"/>
        </w:rPr>
        <w:t xml:space="preserve"> yang sesungguhnya diukur. Wolk dan kolega mencatat empat definisi formal </w:t>
      </w:r>
      <w:r>
        <w:rPr>
          <w:rFonts w:ascii="Times New Roman" w:hAnsi="Times New Roman" w:cs="Times New Roman"/>
          <w:b/>
          <w:i w:val="0"/>
          <w:sz w:val="24"/>
        </w:rPr>
        <w:t>accounting income</w:t>
      </w:r>
      <w:r>
        <w:rPr>
          <w:rFonts w:ascii="Times New Roman" w:hAnsi="Times New Roman" w:cs="Times New Roman"/>
          <w:b w:val="0"/>
          <w:i w:val="0"/>
          <w:sz w:val="24"/>
        </w:rPr>
        <w:t xml:space="preserve"> yang masing-masing mencerminkan paradigma pengukuran yang berbeda (Wolk et al., 2017, PDF hlm. 2). Dua definisi terdahulu—dari </w:t>
      </w:r>
      <w:r>
        <w:rPr>
          <w:rFonts w:ascii="Times New Roman" w:hAnsi="Times New Roman" w:cs="Times New Roman"/>
          <w:b w:val="0"/>
          <w:i/>
          <w:sz w:val="24"/>
        </w:rPr>
        <w:t>Accounting Terminology Bulletin</w:t>
      </w:r>
      <w:r>
        <w:rPr>
          <w:rFonts w:ascii="Times New Roman" w:hAnsi="Times New Roman" w:cs="Times New Roman"/>
          <w:b w:val="0"/>
          <w:i w:val="0"/>
          <w:sz w:val="24"/>
        </w:rPr>
        <w:t xml:space="preserve"> (ATB) 2 dan </w:t>
      </w:r>
      <w:r>
        <w:rPr>
          <w:rFonts w:ascii="Times New Roman" w:hAnsi="Times New Roman" w:cs="Times New Roman"/>
          <w:b w:val="0"/>
          <w:i/>
          <w:sz w:val="24"/>
        </w:rPr>
        <w:t>Accounting Principles Board</w:t>
      </w:r>
      <w:r>
        <w:rPr>
          <w:rFonts w:ascii="Times New Roman" w:hAnsi="Times New Roman" w:cs="Times New Roman"/>
          <w:b w:val="0"/>
          <w:i w:val="0"/>
          <w:sz w:val="24"/>
        </w:rPr>
        <w:t xml:space="preserve"> (APB) Statement 4—merumuskan laba sebagai selisih </w:t>
      </w:r>
      <w:r>
        <w:rPr>
          <w:rFonts w:ascii="Times New Roman" w:hAnsi="Times New Roman" w:cs="Times New Roman"/>
          <w:b w:val="0"/>
          <w:i/>
          <w:sz w:val="24"/>
        </w:rPr>
        <w:t>revenues</w:t>
      </w:r>
      <w:r>
        <w:rPr>
          <w:rFonts w:ascii="Times New Roman" w:hAnsi="Times New Roman" w:cs="Times New Roman"/>
          <w:b w:val="0"/>
          <w:i w:val="0"/>
          <w:sz w:val="24"/>
        </w:rPr>
        <w:t xml:space="preserve"> dikurangi </w:t>
      </w:r>
      <w:r>
        <w:rPr>
          <w:rFonts w:ascii="Times New Roman" w:hAnsi="Times New Roman" w:cs="Times New Roman"/>
          <w:b w:val="0"/>
          <w:i/>
          <w:sz w:val="24"/>
        </w:rPr>
        <w:t>cost of goods sold</w:t>
      </w:r>
      <w:r>
        <w:rPr>
          <w:rFonts w:ascii="Times New Roman" w:hAnsi="Times New Roman" w:cs="Times New Roman"/>
          <w:b w:val="0"/>
          <w:i w:val="0"/>
          <w:sz w:val="24"/>
        </w:rPr>
        <w:t xml:space="preserve">, beban, dan kerugian, atau lebih ringkas sebagai kelebihan pendapatan atas beban dalam suatu periode. Definisi semacam ini adalah perwujudan murni dari </w:t>
      </w:r>
      <w:r>
        <w:rPr>
          <w:rFonts w:ascii="Times New Roman" w:hAnsi="Times New Roman" w:cs="Times New Roman"/>
          <w:b/>
          <w:i w:val="0"/>
          <w:sz w:val="24"/>
        </w:rPr>
        <w:t>revenue–expense approach</w:t>
      </w:r>
      <w:r>
        <w:rPr>
          <w:rFonts w:ascii="Times New Roman" w:hAnsi="Times New Roman" w:cs="Times New Roman"/>
          <w:b w:val="0"/>
          <w:i w:val="0"/>
          <w:sz w:val="24"/>
        </w:rPr>
        <w:t>: ketika titik berat diletakkan pada pengukuran pendapatan dan beban, sistem akuntansi harus menyediakan standar yang mendefinisikan kedua elemen tersebut beserta aturan pengakuan dan pengukurannya, sementara neraca menjadi semacam residu dari proses penandingan tersebut.</w:t>
      </w:r>
    </w:p>
    <w:p>
      <w:pPr>
        <w:spacing w:lineRule="exact" w:line="360" w:before="0" w:after="120"/>
        <w:jc w:val="both"/>
      </w:pPr>
      <w:r>
        <w:rPr>
          <w:rFonts w:ascii="Times New Roman" w:hAnsi="Times New Roman" w:cs="Times New Roman"/>
          <w:b w:val="0"/>
          <w:i w:val="0"/>
          <w:sz w:val="24"/>
        </w:rPr>
        <w:t xml:space="preserve">Pergeseran arah terjadi pada definisi ketiga, dari </w:t>
      </w:r>
      <w:r>
        <w:rPr>
          <w:rFonts w:ascii="Times New Roman" w:hAnsi="Times New Roman" w:cs="Times New Roman"/>
          <w:b w:val="0"/>
          <w:i/>
          <w:sz w:val="24"/>
        </w:rPr>
        <w:t>Statement of Financial Accounting Concept</w:t>
      </w:r>
      <w:r>
        <w:rPr>
          <w:rFonts w:ascii="Times New Roman" w:hAnsi="Times New Roman" w:cs="Times New Roman"/>
          <w:b w:val="0"/>
          <w:i w:val="0"/>
          <w:sz w:val="24"/>
        </w:rPr>
        <w:t xml:space="preserve"> (SFAC) No. 6, yang memperkenalkan </w:t>
      </w:r>
      <w:r>
        <w:rPr>
          <w:rFonts w:ascii="Times New Roman" w:hAnsi="Times New Roman" w:cs="Times New Roman"/>
          <w:b/>
          <w:i w:val="0"/>
          <w:sz w:val="24"/>
        </w:rPr>
        <w:t>comprehensive income</w:t>
      </w:r>
      <w:r>
        <w:rPr>
          <w:rFonts w:ascii="Times New Roman" w:hAnsi="Times New Roman" w:cs="Times New Roman"/>
          <w:b w:val="0"/>
          <w:i w:val="0"/>
          <w:sz w:val="24"/>
        </w:rPr>
        <w:t xml:space="preserve">—perubahan ekuitas (aset neto) suatu entitas selama satu periode yang berasal dari transaksi serta peristiwa dan keadaan ekonomi lain dari sumber nonpemilik. Definisi keempat, dari </w:t>
      </w:r>
      <w:r>
        <w:rPr>
          <w:rFonts w:ascii="Times New Roman" w:hAnsi="Times New Roman" w:cs="Times New Roman"/>
          <w:b w:val="0"/>
          <w:i/>
          <w:sz w:val="24"/>
        </w:rPr>
        <w:t>FASB Accounting Standards Codification</w:t>
      </w:r>
      <w:r>
        <w:rPr>
          <w:rFonts w:ascii="Times New Roman" w:hAnsi="Times New Roman" w:cs="Times New Roman"/>
          <w:b w:val="0"/>
          <w:i w:val="0"/>
          <w:sz w:val="24"/>
        </w:rPr>
        <w:t xml:space="preserve">, menegaskan kembali tujuan </w:t>
      </w:r>
      <w:r>
        <w:rPr>
          <w:rFonts w:ascii="Times New Roman" w:hAnsi="Times New Roman" w:cs="Times New Roman"/>
          <w:b w:val="0"/>
          <w:i/>
          <w:sz w:val="24"/>
        </w:rPr>
        <w:t>comprehensive income</w:t>
      </w:r>
      <w:r>
        <w:rPr>
          <w:rFonts w:ascii="Times New Roman" w:hAnsi="Times New Roman" w:cs="Times New Roman"/>
          <w:b w:val="0"/>
          <w:i w:val="0"/>
          <w:sz w:val="24"/>
        </w:rPr>
        <w:t xml:space="preserve"> tersebut. Keduanya menandai perpindahan tegas ke </w:t>
      </w:r>
      <w:r>
        <w:rPr>
          <w:rFonts w:ascii="Times New Roman" w:hAnsi="Times New Roman" w:cs="Times New Roman"/>
          <w:b/>
          <w:i w:val="0"/>
          <w:sz w:val="24"/>
        </w:rPr>
        <w:t>asset–liability approach</w:t>
      </w:r>
      <w:r>
        <w:rPr>
          <w:rFonts w:ascii="Times New Roman" w:hAnsi="Times New Roman" w:cs="Times New Roman"/>
          <w:b w:val="0"/>
          <w:i w:val="0"/>
          <w:sz w:val="24"/>
        </w:rPr>
        <w:t xml:space="preserve">, di mana laba justru diturunkan dari perubahan posisi aset dan liabilitas yang diukur secara independen—inilah arah yang ditempuh dan akan terus ditempuh FASB maupun IASB (Wolk et al., 2017, PDF hlm. 2). Pergeseran ini bukan sekadar perubahan redaksi: ia memindahkan jangkar konseptual laba dari aliran transaksi periodik ke valuasi neraca, sehingga mendekatkan angka laba pada tema </w:t>
      </w:r>
      <w:r>
        <w:rPr>
          <w:rFonts w:ascii="Times New Roman" w:hAnsi="Times New Roman" w:cs="Times New Roman"/>
          <w:b w:val="0"/>
          <w:i/>
          <w:sz w:val="24"/>
        </w:rPr>
        <w:t>fair value</w:t>
      </w:r>
      <w:r>
        <w:rPr>
          <w:rFonts w:ascii="Times New Roman" w:hAnsi="Times New Roman" w:cs="Times New Roman"/>
          <w:b w:val="0"/>
          <w:i w:val="0"/>
          <w:sz w:val="24"/>
        </w:rPr>
        <w:t xml:space="preserve"> sekaligus menjauhkannya dari ortodoksi </w:t>
      </w:r>
      <w:r>
        <w:rPr>
          <w:rFonts w:ascii="Times New Roman" w:hAnsi="Times New Roman" w:cs="Times New Roman"/>
          <w:b w:val="0"/>
          <w:i/>
          <w:sz w:val="24"/>
        </w:rPr>
        <w:t>historical cost</w:t>
      </w:r>
      <w:r>
        <w:rPr>
          <w:rFonts w:ascii="Times New Roman" w:hAnsi="Times New Roman" w:cs="Times New Roman"/>
          <w:b w:val="0"/>
          <w:i w:val="0"/>
          <w:sz w:val="24"/>
        </w:rPr>
        <w:t>.</w:t>
      </w:r>
    </w:p>
    <w:p>
      <w:pPr>
        <w:spacing w:lineRule="exact" w:line="360" w:before="0" w:after="0"/>
        <w:jc w:val="center"/>
      </w:pPr>
      <w:r>
        <w:rPr>
          <w:rFonts w:ascii="Times New Roman" w:hAnsi="Times New Roman" w:cs="Times New Roman"/>
          <w:b/>
          <w:i w:val="0"/>
          <w:sz w:val="22"/>
        </w:rPr>
        <w:t xml:space="preserve">Tabel 1. </w:t>
      </w:r>
      <w:r>
        <w:rPr>
          <w:rFonts w:ascii="Times New Roman" w:hAnsi="Times New Roman" w:cs="Times New Roman"/>
          <w:b w:val="0"/>
          <w:i w:val="0"/>
          <w:sz w:val="22"/>
        </w:rPr>
        <w:t>Evolusi definisi elemen laba lintas badan penyusun standar</w:t>
      </w:r>
    </w:p>
    <w:p>
      <w:pPr>
        <w:spacing w:lineRule="exact" w:line="360" w:before="0" w:after="80"/>
        <w:jc w:val="center"/>
      </w:pPr>
      <w:r>
        <w:rPr>
          <w:rFonts w:ascii="Times New Roman" w:hAnsi="Times New Roman" w:cs="Times New Roman"/>
          <w:b w:val="0"/>
          <w:i/>
          <w:sz w:val="22"/>
        </w:rPr>
        <w:t>Sumber: diolah dari Wolk et al. (2017), PDF hlm. 2–7</w:t>
      </w:r>
    </w:p>
    <w:tbl>
      <w:tblPr>
        <w:tblStyle w:val="TableGrid"/>
        <w:tblW w:type="auto" w:w="0"/>
        <w:jc w:val="center"/>
        <w:tblLook w:firstColumn="1" w:firstRow="1" w:lastColumn="0" w:lastRow="0" w:noHBand="0" w:noVBand="1" w:val="04A0"/>
      </w:tblPr>
      <w:tblGrid>
        <w:gridCol w:w="2835"/>
        <w:gridCol w:w="2835"/>
        <w:gridCol w:w="2835"/>
      </w:tblGrid>
      <w:tr>
        <w:tc>
          <w:tcPr>
            <w:tcW w:type="dxa" w:w="1814"/>
          </w:tcPr>
          <w:p>
            <w:r/>
            <w:r>
              <w:rPr>
                <w:rFonts w:ascii="Times New Roman" w:hAnsi="Times New Roman" w:cs="Times New Roman"/>
                <w:b/>
                <w:i w:val="0"/>
                <w:sz w:val="22"/>
              </w:rPr>
              <w:t>Sumber</w:t>
            </w:r>
          </w:p>
        </w:tc>
        <w:tc>
          <w:tcPr>
            <w:tcW w:type="dxa" w:w="4535"/>
          </w:tcPr>
          <w:p>
            <w:r/>
            <w:r>
              <w:rPr>
                <w:rFonts w:ascii="Times New Roman" w:hAnsi="Times New Roman" w:cs="Times New Roman"/>
                <w:b/>
                <w:i w:val="0"/>
                <w:sz w:val="22"/>
              </w:rPr>
              <w:t>Inti definisi</w:t>
            </w:r>
          </w:p>
        </w:tc>
        <w:tc>
          <w:tcPr>
            <w:tcW w:type="dxa" w:w="2154"/>
          </w:tcPr>
          <w:p>
            <w:r/>
            <w:r>
              <w:rPr>
                <w:rFonts w:ascii="Times New Roman" w:hAnsi="Times New Roman" w:cs="Times New Roman"/>
                <w:b/>
                <w:i w:val="0"/>
                <w:sz w:val="22"/>
              </w:rPr>
              <w:t>Orientasi</w:t>
            </w:r>
          </w:p>
        </w:tc>
      </w:tr>
      <w:tr>
        <w:tc>
          <w:tcPr>
            <w:tcW w:type="dxa" w:w="1814"/>
          </w:tcPr>
          <w:p>
            <w:pPr>
              <w:spacing w:lineRule="exact" w:line="280"/>
            </w:pPr>
            <w:r/>
            <w:r>
              <w:rPr>
                <w:rFonts w:ascii="Times New Roman" w:hAnsi="Times New Roman" w:cs="Times New Roman"/>
                <w:b w:val="0"/>
                <w:i w:val="0"/>
                <w:sz w:val="22"/>
              </w:rPr>
              <w:t>ATB 2 / ATB 4 (AICPA)</w:t>
            </w:r>
          </w:p>
        </w:tc>
        <w:tc>
          <w:tcPr>
            <w:tcW w:type="dxa" w:w="4535"/>
          </w:tcPr>
          <w:p>
            <w:pPr>
              <w:spacing w:lineRule="exact" w:line="280"/>
            </w:pPr>
            <w:r/>
            <w:r>
              <w:rPr>
                <w:rFonts w:ascii="Times New Roman" w:hAnsi="Times New Roman" w:cs="Times New Roman"/>
                <w:b w:val="0"/>
                <w:i w:val="0"/>
                <w:sz w:val="22"/>
              </w:rPr>
              <w:t>Income: hasil pengurangan revenues oleh COGS, beban lain, dan losses. Revenue: hasil penjualan barang/jasa, diukur dari harga yang dibebankan ke pelanggan. Expense: semua expired costs yang dapat dikurangkan dari revenues.</w:t>
            </w:r>
          </w:p>
        </w:tc>
        <w:tc>
          <w:tcPr>
            <w:tcW w:type="dxa" w:w="2154"/>
          </w:tcPr>
          <w:p>
            <w:pPr>
              <w:spacing w:lineRule="exact" w:line="280"/>
            </w:pPr>
            <w:r/>
            <w:r>
              <w:rPr>
                <w:rFonts w:ascii="Times New Roman" w:hAnsi="Times New Roman" w:cs="Times New Roman"/>
                <w:b w:val="0"/>
                <w:i w:val="0"/>
                <w:sz w:val="22"/>
              </w:rPr>
              <w:t>Revenue–expense</w:t>
            </w:r>
          </w:p>
        </w:tc>
      </w:tr>
      <w:tr>
        <w:tc>
          <w:tcPr>
            <w:tcW w:type="dxa" w:w="1814"/>
          </w:tcPr>
          <w:p>
            <w:pPr>
              <w:spacing w:lineRule="exact" w:line="280"/>
            </w:pPr>
            <w:r/>
            <w:r>
              <w:rPr>
                <w:rFonts w:ascii="Times New Roman" w:hAnsi="Times New Roman" w:cs="Times New Roman"/>
                <w:b w:val="0"/>
                <w:i w:val="0"/>
                <w:sz w:val="22"/>
              </w:rPr>
              <w:t>APB Statement 4</w:t>
            </w:r>
          </w:p>
        </w:tc>
        <w:tc>
          <w:tcPr>
            <w:tcW w:type="dxa" w:w="4535"/>
          </w:tcPr>
          <w:p>
            <w:pPr>
              <w:spacing w:lineRule="exact" w:line="280"/>
            </w:pPr>
            <w:r/>
            <w:r>
              <w:rPr>
                <w:rFonts w:ascii="Times New Roman" w:hAnsi="Times New Roman" w:cs="Times New Roman"/>
                <w:b w:val="0"/>
                <w:i w:val="0"/>
                <w:sz w:val="22"/>
              </w:rPr>
              <w:t>Net income: selisih revenues atas expenses satu periode. Revenue: kenaikan bruto aset / penurunan bruto liabilitas dari aktivitas berorientasi laba, diukur sesuai GAAP. Expense: penurunan bruto aset / kenaikan bruto liabilitas dari aktivitas berorientasi laba.</w:t>
            </w:r>
          </w:p>
        </w:tc>
        <w:tc>
          <w:tcPr>
            <w:tcW w:type="dxa" w:w="2154"/>
          </w:tcPr>
          <w:p>
            <w:pPr>
              <w:spacing w:lineRule="exact" w:line="280"/>
            </w:pPr>
            <w:r/>
            <w:r>
              <w:rPr>
                <w:rFonts w:ascii="Times New Roman" w:hAnsi="Times New Roman" w:cs="Times New Roman"/>
                <w:b w:val="0"/>
                <w:i w:val="0"/>
                <w:sz w:val="22"/>
              </w:rPr>
              <w:t>Transisi: bentuk asset–liability, pengukuran masih revenue–expense</w:t>
            </w:r>
          </w:p>
        </w:tc>
      </w:tr>
      <w:tr>
        <w:tc>
          <w:tcPr>
            <w:tcW w:type="dxa" w:w="1814"/>
          </w:tcPr>
          <w:p>
            <w:pPr>
              <w:spacing w:lineRule="exact" w:line="280"/>
            </w:pPr>
            <w:r/>
            <w:r>
              <w:rPr>
                <w:rFonts w:ascii="Times New Roman" w:hAnsi="Times New Roman" w:cs="Times New Roman"/>
                <w:b w:val="0"/>
                <w:i w:val="0"/>
                <w:sz w:val="22"/>
              </w:rPr>
              <w:t>SFAC No. 6</w:t>
            </w:r>
          </w:p>
        </w:tc>
        <w:tc>
          <w:tcPr>
            <w:tcW w:type="dxa" w:w="4535"/>
          </w:tcPr>
          <w:p>
            <w:pPr>
              <w:spacing w:lineRule="exact" w:line="280"/>
            </w:pPr>
            <w:r/>
            <w:r>
              <w:rPr>
                <w:rFonts w:ascii="Times New Roman" w:hAnsi="Times New Roman" w:cs="Times New Roman"/>
                <w:b w:val="0"/>
                <w:i w:val="0"/>
                <w:sz w:val="22"/>
              </w:rPr>
              <w:t>Comprehensive income: perubahan ekuitas (aset bersih) dari transaksi dan peristiwa non-pemilik. Revenue: arus masuk / peningkatan aset atau penyelesaian liabilitas dari operasi utama berkelanjutan. Expense: arus keluar / pemakaian aset atau timbulnya liabilitas dari operasi utama.</w:t>
            </w:r>
          </w:p>
        </w:tc>
        <w:tc>
          <w:tcPr>
            <w:tcW w:type="dxa" w:w="2154"/>
          </w:tcPr>
          <w:p>
            <w:pPr>
              <w:spacing w:lineRule="exact" w:line="280"/>
            </w:pPr>
            <w:r/>
            <w:r>
              <w:rPr>
                <w:rFonts w:ascii="Times New Roman" w:hAnsi="Times New Roman" w:cs="Times New Roman"/>
                <w:b w:val="0"/>
                <w:i w:val="0"/>
                <w:sz w:val="22"/>
              </w:rPr>
              <w:t>Asset–liability</w:t>
            </w:r>
          </w:p>
        </w:tc>
      </w:tr>
      <w:tr>
        <w:tc>
          <w:tcPr>
            <w:tcW w:type="dxa" w:w="1814"/>
          </w:tcPr>
          <w:p>
            <w:pPr>
              <w:spacing w:lineRule="exact" w:line="280"/>
            </w:pPr>
            <w:r/>
            <w:r>
              <w:rPr>
                <w:rFonts w:ascii="Times New Roman" w:hAnsi="Times New Roman" w:cs="Times New Roman"/>
                <w:b w:val="0"/>
                <w:i w:val="0"/>
                <w:sz w:val="22"/>
              </w:rPr>
              <w:t>FASB Codification</w:t>
            </w:r>
          </w:p>
        </w:tc>
        <w:tc>
          <w:tcPr>
            <w:tcW w:type="dxa" w:w="4535"/>
          </w:tcPr>
          <w:p>
            <w:pPr>
              <w:spacing w:lineRule="exact" w:line="280"/>
            </w:pPr>
            <w:r/>
            <w:r>
              <w:rPr>
                <w:rFonts w:ascii="Times New Roman" w:hAnsi="Times New Roman" w:cs="Times New Roman"/>
                <w:b w:val="0"/>
                <w:i w:val="0"/>
                <w:sz w:val="22"/>
              </w:rPr>
              <w:t>Tujuan pelaporan comprehensive income: mengukur seluruh perubahan ekuitas dari transaksi non-pemilik yang diakui pada periode itu.</w:t>
            </w:r>
          </w:p>
        </w:tc>
        <w:tc>
          <w:tcPr>
            <w:tcW w:type="dxa" w:w="2154"/>
          </w:tcPr>
          <w:p>
            <w:pPr>
              <w:spacing w:lineRule="exact" w:line="280"/>
            </w:pPr>
            <w:r/>
            <w:r>
              <w:rPr>
                <w:rFonts w:ascii="Times New Roman" w:hAnsi="Times New Roman" w:cs="Times New Roman"/>
                <w:b w:val="0"/>
                <w:i w:val="0"/>
                <w:sz w:val="22"/>
              </w:rPr>
              <w:t>Asset–liability (penegasan)</w:t>
            </w:r>
          </w:p>
        </w:tc>
      </w:tr>
    </w:tbl>
    <w:p>
      <w:pPr>
        <w:spacing w:lineRule="exact" w:line="360" w:before="0" w:after="0"/>
        <w:jc w:val="both"/>
      </w:pPr>
      <w:r>
        <w:rPr>
          <w:rFonts w:ascii="Times New Roman" w:hAnsi="Times New Roman" w:cs="Times New Roman"/>
          <w:b w:val="0"/>
          <w:i w:val="0"/>
          <w:sz w:val="24"/>
        </w:rPr>
      </w:r>
    </w:p>
    <w:p>
      <w:pPr>
        <w:spacing w:lineRule="exact" w:line="360" w:before="0" w:after="120"/>
        <w:jc w:val="both"/>
      </w:pPr>
      <w:r>
        <w:rPr>
          <w:rFonts w:ascii="Times New Roman" w:hAnsi="Times New Roman" w:cs="Times New Roman"/>
          <w:b w:val="0"/>
          <w:i w:val="0"/>
          <w:sz w:val="24"/>
        </w:rPr>
        <w:t xml:space="preserve">Logika yang sama berulang pada elemen pembentuknya. </w:t>
      </w:r>
      <w:r>
        <w:rPr>
          <w:rFonts w:ascii="Times New Roman" w:hAnsi="Times New Roman" w:cs="Times New Roman"/>
          <w:b/>
          <w:i w:val="0"/>
          <w:sz w:val="24"/>
        </w:rPr>
        <w:t>Revenues</w:t>
      </w:r>
      <w:r>
        <w:rPr>
          <w:rFonts w:ascii="Times New Roman" w:hAnsi="Times New Roman" w:cs="Times New Roman"/>
          <w:b w:val="0"/>
          <w:i w:val="0"/>
          <w:sz w:val="24"/>
        </w:rPr>
        <w:t xml:space="preserve"> didefinisikan dalam tiga rumusan: ATB 2 memandangnya sebagai hasil penjualan barang dan jasa yang diukur dari beban yang dibebankan kepada pelanggan; APB Statement 4 merumuskannya sebagai kenaikan kotor aset (atau penurunan liabilitas) dari aktivitas berorientasi laba—tampak bergeser ke orientasi aset, namun karena pengukurannya tetap bersandar pada </w:t>
      </w:r>
      <w:r>
        <w:rPr>
          <w:rFonts w:ascii="Times New Roman" w:hAnsi="Times New Roman" w:cs="Times New Roman"/>
          <w:b w:val="0"/>
          <w:i/>
          <w:sz w:val="24"/>
        </w:rPr>
        <w:t>generally accepted accounting principles</w:t>
      </w:r>
      <w:r>
        <w:rPr>
          <w:rFonts w:ascii="Times New Roman" w:hAnsi="Times New Roman" w:cs="Times New Roman"/>
          <w:b w:val="0"/>
          <w:i w:val="0"/>
          <w:sz w:val="24"/>
        </w:rPr>
        <w:t xml:space="preserve">, ia secara hakikat masih berpijak pada </w:t>
      </w:r>
      <w:r>
        <w:rPr>
          <w:rFonts w:ascii="Times New Roman" w:hAnsi="Times New Roman" w:cs="Times New Roman"/>
          <w:b w:val="0"/>
          <w:i/>
          <w:sz w:val="24"/>
        </w:rPr>
        <w:t>revenue–expense approach</w:t>
      </w:r>
      <w:r>
        <w:rPr>
          <w:rFonts w:ascii="Times New Roman" w:hAnsi="Times New Roman" w:cs="Times New Roman"/>
          <w:b w:val="0"/>
          <w:i w:val="0"/>
          <w:sz w:val="24"/>
        </w:rPr>
        <w:t xml:space="preserve">; baru SFAC No. 6 secara tegas mendefinisikan </w:t>
      </w:r>
      <w:r>
        <w:rPr>
          <w:rFonts w:ascii="Times New Roman" w:hAnsi="Times New Roman" w:cs="Times New Roman"/>
          <w:b w:val="0"/>
          <w:i/>
          <w:sz w:val="24"/>
        </w:rPr>
        <w:t>revenue</w:t>
      </w:r>
      <w:r>
        <w:rPr>
          <w:rFonts w:ascii="Times New Roman" w:hAnsi="Times New Roman" w:cs="Times New Roman"/>
          <w:b w:val="0"/>
          <w:i w:val="0"/>
          <w:sz w:val="24"/>
        </w:rPr>
        <w:t xml:space="preserve"> sebagai kenaikan aset neto, konsisten dengan definisi </w:t>
      </w:r>
      <w:r>
        <w:rPr>
          <w:rFonts w:ascii="Times New Roman" w:hAnsi="Times New Roman" w:cs="Times New Roman"/>
          <w:b w:val="0"/>
          <w:i/>
          <w:sz w:val="24"/>
        </w:rPr>
        <w:t>comprehensive income</w:t>
      </w:r>
      <w:r>
        <w:rPr>
          <w:rFonts w:ascii="Times New Roman" w:hAnsi="Times New Roman" w:cs="Times New Roman"/>
          <w:b w:val="0"/>
          <w:i w:val="0"/>
          <w:sz w:val="24"/>
        </w:rPr>
        <w:t xml:space="preserve">-nya (Wolk et al., 2017, PDF hlm. 3). Yang penting secara metodologis, ketiga definisi ini—dengan menyelipkan persoalan </w:t>
      </w:r>
      <w:r>
        <w:rPr>
          <w:rFonts w:ascii="Times New Roman" w:hAnsi="Times New Roman" w:cs="Times New Roman"/>
          <w:b w:val="0"/>
          <w:i/>
          <w:sz w:val="24"/>
        </w:rPr>
        <w:t>bagaimana mengukur</w:t>
      </w:r>
      <w:r>
        <w:rPr>
          <w:rFonts w:ascii="Times New Roman" w:hAnsi="Times New Roman" w:cs="Times New Roman"/>
          <w:b w:val="0"/>
          <w:i w:val="0"/>
          <w:sz w:val="24"/>
        </w:rPr>
        <w:t xml:space="preserve">—mencampuradukkan isu pengakuan ke dalam definisi. Padahal, secara konseptual, </w:t>
      </w:r>
      <w:r>
        <w:rPr>
          <w:rFonts w:ascii="Times New Roman" w:hAnsi="Times New Roman" w:cs="Times New Roman"/>
          <w:b/>
          <w:i w:val="0"/>
          <w:sz w:val="24"/>
        </w:rPr>
        <w:t>definisi</w:t>
      </w:r>
      <w:r>
        <w:rPr>
          <w:rFonts w:ascii="Times New Roman" w:hAnsi="Times New Roman" w:cs="Times New Roman"/>
          <w:b w:val="0"/>
          <w:i w:val="0"/>
          <w:sz w:val="24"/>
        </w:rPr>
        <w:t xml:space="preserve"> harus dijaga terpisah dari </w:t>
      </w:r>
      <w:r>
        <w:rPr>
          <w:rFonts w:ascii="Times New Roman" w:hAnsi="Times New Roman" w:cs="Times New Roman"/>
          <w:b/>
          <w:i w:val="0"/>
          <w:sz w:val="24"/>
        </w:rPr>
        <w:t>pengakuan</w:t>
      </w:r>
      <w:r>
        <w:rPr>
          <w:rFonts w:ascii="Times New Roman" w:hAnsi="Times New Roman" w:cs="Times New Roman"/>
          <w:b w:val="0"/>
          <w:i w:val="0"/>
          <w:sz w:val="24"/>
        </w:rPr>
        <w:t xml:space="preserve"> (</w:t>
      </w:r>
      <w:r>
        <w:rPr>
          <w:rFonts w:ascii="Times New Roman" w:hAnsi="Times New Roman" w:cs="Times New Roman"/>
          <w:b w:val="0"/>
          <w:i/>
          <w:sz w:val="24"/>
        </w:rPr>
        <w:t>recognition</w:t>
      </w:r>
      <w:r>
        <w:rPr>
          <w:rFonts w:ascii="Times New Roman" w:hAnsi="Times New Roman" w:cs="Times New Roman"/>
          <w:b w:val="0"/>
          <w:i w:val="0"/>
          <w:sz w:val="24"/>
        </w:rPr>
        <w:t xml:space="preserve">) dan </w:t>
      </w:r>
      <w:r>
        <w:rPr>
          <w:rFonts w:ascii="Times New Roman" w:hAnsi="Times New Roman" w:cs="Times New Roman"/>
          <w:b/>
          <w:i w:val="0"/>
          <w:sz w:val="24"/>
        </w:rPr>
        <w:t>pengukuran</w:t>
      </w:r>
      <w:r>
        <w:rPr>
          <w:rFonts w:ascii="Times New Roman" w:hAnsi="Times New Roman" w:cs="Times New Roman"/>
          <w:b w:val="0"/>
          <w:i w:val="0"/>
          <w:sz w:val="24"/>
        </w:rPr>
        <w:t xml:space="preserve"> (</w:t>
      </w:r>
      <w:r>
        <w:rPr>
          <w:rFonts w:ascii="Times New Roman" w:hAnsi="Times New Roman" w:cs="Times New Roman"/>
          <w:b w:val="0"/>
          <w:i/>
          <w:sz w:val="24"/>
        </w:rPr>
        <w:t>measurement</w:t>
      </w:r>
      <w:r>
        <w:rPr>
          <w:rFonts w:ascii="Times New Roman" w:hAnsi="Times New Roman" w:cs="Times New Roman"/>
          <w:b w:val="0"/>
          <w:i w:val="0"/>
          <w:sz w:val="24"/>
        </w:rPr>
        <w:t xml:space="preserve">): pertanyaan kapan dan berapa nilai yang diakui dapat melampaui dan mengaburkan pertanyaan mendasar tentang </w:t>
      </w:r>
      <w:r>
        <w:rPr>
          <w:rFonts w:ascii="Times New Roman" w:hAnsi="Times New Roman" w:cs="Times New Roman"/>
          <w:b w:val="0"/>
          <w:i/>
          <w:sz w:val="24"/>
        </w:rPr>
        <w:t>apa</w:t>
      </w:r>
      <w:r>
        <w:rPr>
          <w:rFonts w:ascii="Times New Roman" w:hAnsi="Times New Roman" w:cs="Times New Roman"/>
          <w:b w:val="0"/>
          <w:i w:val="0"/>
          <w:sz w:val="24"/>
        </w:rPr>
        <w:t xml:space="preserve"> yang diukur. Kedisiplinan memisahkan ketiga lapisan inilah yang menjaga koherensi teori dan menjadi prasyarat bagi pembahasan pengakuan pada Bagian III.</w:t>
      </w:r>
    </w:p>
    <w:p>
      <w:pPr>
        <w:spacing w:lineRule="exact" w:line="360" w:before="0" w:after="120"/>
        <w:jc w:val="both"/>
      </w:pPr>
      <w:r>
        <w:rPr>
          <w:rFonts w:ascii="Times New Roman" w:hAnsi="Times New Roman" w:cs="Times New Roman"/>
          <w:b w:val="0"/>
          <w:i w:val="0"/>
          <w:sz w:val="24"/>
        </w:rPr>
        <w:t xml:space="preserve">Di samping </w:t>
      </w:r>
      <w:r>
        <w:rPr>
          <w:rFonts w:ascii="Times New Roman" w:hAnsi="Times New Roman" w:cs="Times New Roman"/>
          <w:b w:val="0"/>
          <w:i/>
          <w:sz w:val="24"/>
        </w:rPr>
        <w:t>revenues</w:t>
      </w:r>
      <w:r>
        <w:rPr>
          <w:rFonts w:ascii="Times New Roman" w:hAnsi="Times New Roman" w:cs="Times New Roman"/>
          <w:b w:val="0"/>
          <w:i w:val="0"/>
          <w:sz w:val="24"/>
        </w:rPr>
        <w:t xml:space="preserve"> berdiri </w:t>
      </w:r>
      <w:r>
        <w:rPr>
          <w:rFonts w:ascii="Times New Roman" w:hAnsi="Times New Roman" w:cs="Times New Roman"/>
          <w:b/>
          <w:i w:val="0"/>
          <w:sz w:val="24"/>
        </w:rPr>
        <w:t>gains</w:t>
      </w:r>
      <w:r>
        <w:rPr>
          <w:rFonts w:ascii="Times New Roman" w:hAnsi="Times New Roman" w:cs="Times New Roman"/>
          <w:b w:val="0"/>
          <w:i w:val="0"/>
          <w:sz w:val="24"/>
        </w:rPr>
        <w:t xml:space="preserve">, yang lazim disajikan terpisah dalam laporan keuangan. </w:t>
      </w:r>
      <w:r>
        <w:rPr>
          <w:rFonts w:ascii="Times New Roman" w:hAnsi="Times New Roman" w:cs="Times New Roman"/>
          <w:b w:val="0"/>
          <w:i/>
          <w:sz w:val="24"/>
        </w:rPr>
        <w:t>Gains</w:t>
      </w:r>
      <w:r>
        <w:rPr>
          <w:rFonts w:ascii="Times New Roman" w:hAnsi="Times New Roman" w:cs="Times New Roman"/>
          <w:b w:val="0"/>
          <w:i w:val="0"/>
          <w:sz w:val="24"/>
        </w:rPr>
        <w:t xml:space="preserve"> dirumuskan APB Statement 4 sebagai pendapatan dari sumber selain penjualan produk, barang dagang, atau jasa, dan oleh SFAC No. 6 sebagai kenaikan ekuitas dari transaksi periferal atau insidental, di luar yang berasal dari pendapatan atau investasi pemilik (Wolk et al., 2017, PDF hlm. 3). Pembedaan </w:t>
      </w:r>
      <w:r>
        <w:rPr>
          <w:rFonts w:ascii="Times New Roman" w:hAnsi="Times New Roman" w:cs="Times New Roman"/>
          <w:b w:val="0"/>
          <w:i/>
          <w:sz w:val="24"/>
        </w:rPr>
        <w:t>revenue</w:t>
      </w:r>
      <w:r>
        <w:rPr>
          <w:rFonts w:ascii="Times New Roman" w:hAnsi="Times New Roman" w:cs="Times New Roman"/>
          <w:b w:val="0"/>
          <w:i w:val="0"/>
          <w:sz w:val="24"/>
        </w:rPr>
        <w:t>-versus-</w:t>
      </w:r>
      <w:r>
        <w:rPr>
          <w:rFonts w:ascii="Times New Roman" w:hAnsi="Times New Roman" w:cs="Times New Roman"/>
          <w:b w:val="0"/>
          <w:i/>
          <w:sz w:val="24"/>
        </w:rPr>
        <w:t>gain</w:t>
      </w:r>
      <w:r>
        <w:rPr>
          <w:rFonts w:ascii="Times New Roman" w:hAnsi="Times New Roman" w:cs="Times New Roman"/>
          <w:b w:val="0"/>
          <w:i w:val="0"/>
          <w:sz w:val="24"/>
        </w:rPr>
        <w:t xml:space="preserve"> dahulu menjadi kontroversi serius dan—yang penting untuk dicatat—justru </w:t>
      </w:r>
      <w:r>
        <w:rPr>
          <w:rFonts w:ascii="Times New Roman" w:hAnsi="Times New Roman" w:cs="Times New Roman"/>
          <w:b w:val="0"/>
          <w:i/>
          <w:sz w:val="24"/>
        </w:rPr>
        <w:t>membenihkan</w:t>
      </w:r>
      <w:r>
        <w:rPr>
          <w:rFonts w:ascii="Times New Roman" w:hAnsi="Times New Roman" w:cs="Times New Roman"/>
          <w:b w:val="0"/>
          <w:i w:val="0"/>
          <w:sz w:val="24"/>
        </w:rPr>
        <w:t xml:space="preserve"> perdebatan besar yang akan ditelaah pada Bagian VI. Satu mazhab, penganut </w:t>
      </w:r>
      <w:r>
        <w:rPr>
          <w:rFonts w:ascii="Times New Roman" w:hAnsi="Times New Roman" w:cs="Times New Roman"/>
          <w:b/>
          <w:i w:val="0"/>
          <w:sz w:val="24"/>
        </w:rPr>
        <w:t>current operating income concept</w:t>
      </w:r>
      <w:r>
        <w:rPr>
          <w:rFonts w:ascii="Times New Roman" w:hAnsi="Times New Roman" w:cs="Times New Roman"/>
          <w:b w:val="0"/>
          <w:i w:val="0"/>
          <w:sz w:val="24"/>
        </w:rPr>
        <w:t xml:space="preserve">, berpendapat hanya </w:t>
      </w:r>
      <w:r>
        <w:rPr>
          <w:rFonts w:ascii="Times New Roman" w:hAnsi="Times New Roman" w:cs="Times New Roman"/>
          <w:b w:val="0"/>
          <w:i/>
          <w:sz w:val="24"/>
        </w:rPr>
        <w:t>revenues</w:t>
      </w:r>
      <w:r>
        <w:rPr>
          <w:rFonts w:ascii="Times New Roman" w:hAnsi="Times New Roman" w:cs="Times New Roman"/>
          <w:b w:val="0"/>
          <w:i w:val="0"/>
          <w:sz w:val="24"/>
        </w:rPr>
        <w:t xml:space="preserve"> dari aktivitas utama yang berulang yang layak masuk laporan laba rugi, sehingga </w:t>
      </w:r>
      <w:r>
        <w:rPr>
          <w:rFonts w:ascii="Times New Roman" w:hAnsi="Times New Roman" w:cs="Times New Roman"/>
          <w:b w:val="0"/>
          <w:i/>
          <w:sz w:val="24"/>
        </w:rPr>
        <w:t>gains</w:t>
      </w:r>
      <w:r>
        <w:rPr>
          <w:rFonts w:ascii="Times New Roman" w:hAnsi="Times New Roman" w:cs="Times New Roman"/>
          <w:b w:val="0"/>
          <w:i w:val="0"/>
          <w:sz w:val="24"/>
        </w:rPr>
        <w:t xml:space="preserve"> yang periferal harus dikeluarkan; mazhab tandingannya, </w:t>
      </w:r>
      <w:r>
        <w:rPr>
          <w:rFonts w:ascii="Times New Roman" w:hAnsi="Times New Roman" w:cs="Times New Roman"/>
          <w:b/>
          <w:i w:val="0"/>
          <w:sz w:val="24"/>
        </w:rPr>
        <w:t>all-inclusive income concept</w:t>
      </w:r>
      <w:r>
        <w:rPr>
          <w:rFonts w:ascii="Times New Roman" w:hAnsi="Times New Roman" w:cs="Times New Roman"/>
          <w:b w:val="0"/>
          <w:i w:val="0"/>
          <w:sz w:val="24"/>
        </w:rPr>
        <w:t xml:space="preserve">, menghendaki seluruh pendapatan dan keuntungan dari sumber apa pun dimasukkan. Sejarah memperlihatkan evolusi dari konsep operasi berjalan menuju konsep mencakup-semua—sebuah pergeseran yang berpaut erat dengan pergeseran paradigma ke </w:t>
      </w:r>
      <w:r>
        <w:rPr>
          <w:rFonts w:ascii="Times New Roman" w:hAnsi="Times New Roman" w:cs="Times New Roman"/>
          <w:b w:val="0"/>
          <w:i/>
          <w:sz w:val="24"/>
        </w:rPr>
        <w:t>comprehensive income</w:t>
      </w:r>
      <w:r>
        <w:rPr>
          <w:rFonts w:ascii="Times New Roman" w:hAnsi="Times New Roman" w:cs="Times New Roman"/>
          <w:b w:val="0"/>
          <w:i w:val="0"/>
          <w:sz w:val="24"/>
        </w:rPr>
        <w:t>.</w:t>
      </w:r>
    </w:p>
    <w:p>
      <w:pPr>
        <w:spacing w:lineRule="exact" w:line="360" w:before="0" w:after="120"/>
        <w:jc w:val="both"/>
      </w:pPr>
      <w:r>
        <w:rPr>
          <w:rFonts w:ascii="Times New Roman" w:hAnsi="Times New Roman" w:cs="Times New Roman"/>
          <w:b w:val="0"/>
          <w:i w:val="0"/>
          <w:sz w:val="24"/>
        </w:rPr>
        <w:t xml:space="preserve">Pola paralel melengkapi gambaran ini pada sisi pengurang laba. </w:t>
      </w:r>
      <w:r>
        <w:rPr>
          <w:rFonts w:ascii="Times New Roman" w:hAnsi="Times New Roman" w:cs="Times New Roman"/>
          <w:b/>
          <w:i w:val="0"/>
          <w:sz w:val="24"/>
        </w:rPr>
        <w:t>Expenses</w:t>
      </w:r>
      <w:r>
        <w:rPr>
          <w:rFonts w:ascii="Times New Roman" w:hAnsi="Times New Roman" w:cs="Times New Roman"/>
          <w:b w:val="0"/>
          <w:i w:val="0"/>
          <w:sz w:val="24"/>
        </w:rPr>
        <w:t xml:space="preserve"> dirumuskan tiga kali: ATB 4 memandangnya sebagai seluruh </w:t>
      </w:r>
      <w:r>
        <w:rPr>
          <w:rFonts w:ascii="Times New Roman" w:hAnsi="Times New Roman" w:cs="Times New Roman"/>
          <w:b w:val="0"/>
          <w:i/>
          <w:sz w:val="24"/>
        </w:rPr>
        <w:t>expired cost</w:t>
      </w:r>
      <w:r>
        <w:rPr>
          <w:rFonts w:ascii="Times New Roman" w:hAnsi="Times New Roman" w:cs="Times New Roman"/>
          <w:b w:val="0"/>
          <w:i w:val="0"/>
          <w:sz w:val="24"/>
        </w:rPr>
        <w:t xml:space="preserve"> yang dapat dikurangkan dari pendapatan (orientasi </w:t>
      </w:r>
      <w:r>
        <w:rPr>
          <w:rFonts w:ascii="Times New Roman" w:hAnsi="Times New Roman" w:cs="Times New Roman"/>
          <w:b w:val="0"/>
          <w:i/>
          <w:sz w:val="24"/>
        </w:rPr>
        <w:t>revenue–expense</w:t>
      </w:r>
      <w:r>
        <w:rPr>
          <w:rFonts w:ascii="Times New Roman" w:hAnsi="Times New Roman" w:cs="Times New Roman"/>
          <w:b w:val="0"/>
          <w:i w:val="0"/>
          <w:sz w:val="24"/>
        </w:rPr>
        <w:t xml:space="preserve"> tradisional); APB Statement 4 menautkan beban dengan penurunan aset neto namun pengukurannya tetap mengikuti aturan orientasi </w:t>
      </w:r>
      <w:r>
        <w:rPr>
          <w:rFonts w:ascii="Times New Roman" w:hAnsi="Times New Roman" w:cs="Times New Roman"/>
          <w:b w:val="0"/>
          <w:i/>
          <w:sz w:val="24"/>
        </w:rPr>
        <w:t>revenue–expense</w:t>
      </w:r>
      <w:r>
        <w:rPr>
          <w:rFonts w:ascii="Times New Roman" w:hAnsi="Times New Roman" w:cs="Times New Roman"/>
          <w:b w:val="0"/>
          <w:i w:val="0"/>
          <w:sz w:val="24"/>
        </w:rPr>
        <w:t xml:space="preserve">; dan SFAC No. 6 merumuskannya secara tegas dalam </w:t>
      </w:r>
      <w:r>
        <w:rPr>
          <w:rFonts w:ascii="Times New Roman" w:hAnsi="Times New Roman" w:cs="Times New Roman"/>
          <w:b w:val="0"/>
          <w:i/>
          <w:sz w:val="24"/>
        </w:rPr>
        <w:t>asset–liability approach</w:t>
      </w:r>
      <w:r>
        <w:rPr>
          <w:rFonts w:ascii="Times New Roman" w:hAnsi="Times New Roman" w:cs="Times New Roman"/>
          <w:b w:val="0"/>
          <w:i w:val="0"/>
          <w:sz w:val="24"/>
        </w:rPr>
        <w:t xml:space="preserve"> sebagai arus keluar atau penggunaan aset (Wolk et al., 2017, PDF hlm. 6). Sejajar dengan </w:t>
      </w:r>
      <w:r>
        <w:rPr>
          <w:rFonts w:ascii="Times New Roman" w:hAnsi="Times New Roman" w:cs="Times New Roman"/>
          <w:b w:val="0"/>
          <w:i/>
          <w:sz w:val="24"/>
        </w:rPr>
        <w:t>gains</w:t>
      </w:r>
      <w:r>
        <w:rPr>
          <w:rFonts w:ascii="Times New Roman" w:hAnsi="Times New Roman" w:cs="Times New Roman"/>
          <w:b w:val="0"/>
          <w:i w:val="0"/>
          <w:sz w:val="24"/>
        </w:rPr>
        <w:t xml:space="preserve">, </w:t>
      </w:r>
      <w:r>
        <w:rPr>
          <w:rFonts w:ascii="Times New Roman" w:hAnsi="Times New Roman" w:cs="Times New Roman"/>
          <w:b/>
          <w:i w:val="0"/>
          <w:sz w:val="24"/>
        </w:rPr>
        <w:t>losses</w:t>
      </w:r>
      <w:r>
        <w:rPr>
          <w:rFonts w:ascii="Times New Roman" w:hAnsi="Times New Roman" w:cs="Times New Roman"/>
          <w:b w:val="0"/>
          <w:i w:val="0"/>
          <w:sz w:val="24"/>
        </w:rPr>
        <w:t xml:space="preserve"> didefinisikan APB Statement 4 dan SFAC No. 6 sebagai penurunan aset neto yang bukan berasal dari beban maupun transaksi modal. Pembedaan beban-versus-kerugian, sebagaimana pembedaan pendapatan-versus-keuntungan, kehilangan urgensinya di bawah </w:t>
      </w:r>
      <w:r>
        <w:rPr>
          <w:rFonts w:ascii="Times New Roman" w:hAnsi="Times New Roman" w:cs="Times New Roman"/>
          <w:b w:val="0"/>
          <w:i/>
          <w:sz w:val="24"/>
        </w:rPr>
        <w:t>all-inclusive concept</w:t>
      </w:r>
      <w:r>
        <w:rPr>
          <w:rFonts w:ascii="Times New Roman" w:hAnsi="Times New Roman" w:cs="Times New Roman"/>
          <w:b w:val="0"/>
          <w:i w:val="0"/>
          <w:sz w:val="24"/>
        </w:rPr>
        <w:t>—meski dahulu menjadi isu besar. Dengan kerangka definisi keempat elemen ini tertata, kita kini siap menghadapi persoalan yang paling pelik: kapan tepatnya pendapatan boleh diakui, yang menjadi pokok Bagian III.</w:t>
      </w:r>
    </w:p>
    <w:p>
      <w:pPr>
        <w:spacing w:lineRule="exact" w:line="360" w:before="240" w:after="120"/>
        <w:jc w:val="left"/>
      </w:pPr>
      <w:r>
        <w:rPr>
          <w:rFonts w:ascii="Times New Roman" w:hAnsi="Times New Roman" w:cs="Times New Roman"/>
          <w:b/>
          <w:i w:val="0"/>
          <w:sz w:val="26"/>
        </w:rPr>
        <w:t>III. Pengakuan Pendapatan</w:t>
      </w:r>
    </w:p>
    <w:p>
      <w:pPr>
        <w:spacing w:lineRule="exact" w:line="360" w:before="0" w:after="120"/>
        <w:jc w:val="both"/>
      </w:pPr>
      <w:r>
        <w:rPr>
          <w:rFonts w:ascii="Times New Roman" w:hAnsi="Times New Roman" w:cs="Times New Roman"/>
          <w:b w:val="0"/>
          <w:i w:val="0"/>
          <w:sz w:val="24"/>
        </w:rPr>
        <w:t xml:space="preserve">Pertanyaan "kapan suatu pendapatan menjadi pendapatan?" memiliki jawaban teoretis yang jernih namun praktis yang berduri. Secara ideal, </w:t>
      </w:r>
      <w:r>
        <w:rPr>
          <w:rFonts w:ascii="Times New Roman" w:hAnsi="Times New Roman" w:cs="Times New Roman"/>
          <w:b/>
          <w:i w:val="0"/>
          <w:sz w:val="24"/>
        </w:rPr>
        <w:t>pendapatan</w:t>
      </w:r>
      <w:r>
        <w:rPr>
          <w:rFonts w:ascii="Times New Roman" w:hAnsi="Times New Roman" w:cs="Times New Roman"/>
          <w:b w:val="0"/>
          <w:i w:val="0"/>
          <w:sz w:val="24"/>
        </w:rPr>
        <w:t xml:space="preserve"> seharusnya diidentifikasikan dengan periode saat aktivitas ekonomi utama yang diperlukan untuk menciptakan dan melepas barang serta jasa telah dirampungkan (Wolk et al., 2017, PDF hlm. 4). Masalahnya, penyelesaian aktivitas ekonomi tersebut dan kemampuan mengukurnya secara objektif kerap terjadi pada waktu—bahkan periode pelaporan—yang berbeda. Di sinilah cita-cita teoretis berbenturan dengan </w:t>
      </w:r>
      <w:r>
        <w:rPr>
          <w:rFonts w:ascii="Times New Roman" w:hAnsi="Times New Roman" w:cs="Times New Roman"/>
          <w:b/>
          <w:i w:val="0"/>
          <w:sz w:val="24"/>
        </w:rPr>
        <w:t>kendala keterukuran objektif</w:t>
      </w:r>
      <w:r>
        <w:rPr>
          <w:rFonts w:ascii="Times New Roman" w:hAnsi="Times New Roman" w:cs="Times New Roman"/>
          <w:b w:val="0"/>
          <w:i w:val="0"/>
          <w:sz w:val="24"/>
        </w:rPr>
        <w:t xml:space="preserve"> (</w:t>
      </w:r>
      <w:r>
        <w:rPr>
          <w:rFonts w:ascii="Times New Roman" w:hAnsi="Times New Roman" w:cs="Times New Roman"/>
          <w:b w:val="0"/>
          <w:i/>
          <w:sz w:val="24"/>
        </w:rPr>
        <w:t>objective measurement</w:t>
      </w:r>
      <w:r>
        <w:rPr>
          <w:rFonts w:ascii="Times New Roman" w:hAnsi="Times New Roman" w:cs="Times New Roman"/>
          <w:b w:val="0"/>
          <w:i w:val="0"/>
          <w:sz w:val="24"/>
        </w:rPr>
        <w:t xml:space="preserve">): selama pengukuran yang dapat diverifikasi belum dapat dilakukan, pendapatan tidak boleh diakui. Wolk dan kolega bahkan menegaskan bahwa SFAC No. 5, yang seharusnya menjadi bagian kerangka konseptual tentang pengakuan, hanya mengulang konsep dari SFAC terdahulu secara </w:t>
      </w:r>
      <w:r>
        <w:rPr>
          <w:rFonts w:ascii="Times New Roman" w:hAnsi="Times New Roman" w:cs="Times New Roman"/>
          <w:b w:val="0"/>
          <w:i/>
          <w:sz w:val="24"/>
        </w:rPr>
        <w:t>ad hoc</w:t>
      </w:r>
      <w:r>
        <w:rPr>
          <w:rFonts w:ascii="Times New Roman" w:hAnsi="Times New Roman" w:cs="Times New Roman"/>
          <w:b w:val="0"/>
          <w:i w:val="0"/>
          <w:sz w:val="24"/>
        </w:rPr>
        <w:t xml:space="preserve"> dan tidak banyak menolong (Wolk et al., 2017, PDF hlm. 4). Ketegangan antara relevansi (mengakui sedini mungkin) dan reliabilitas (menunggu pengukuran andal) inilah yang menstrukturkan seluruh praktik pengakuan pendapatan.</w:t>
      </w:r>
    </w:p>
    <w:p>
      <w:pPr>
        <w:spacing w:lineRule="exact" w:line="360" w:before="0" w:after="120"/>
        <w:jc w:val="both"/>
      </w:pPr>
      <w:r>
        <w:rPr>
          <w:rFonts w:ascii="Times New Roman" w:hAnsi="Times New Roman" w:cs="Times New Roman"/>
          <w:b w:val="0"/>
          <w:i w:val="0"/>
          <w:sz w:val="24"/>
        </w:rPr>
        <w:t xml:space="preserve">Literatur dan praktik mengenal empat titik waktu alternatif untuk mengakui pendapatan: </w:t>
      </w:r>
      <w:r>
        <w:rPr>
          <w:rFonts w:ascii="Times New Roman" w:hAnsi="Times New Roman" w:cs="Times New Roman"/>
          <w:b/>
          <w:i w:val="0"/>
          <w:sz w:val="24"/>
        </w:rPr>
        <w:t>selama produksi</w:t>
      </w:r>
      <w:r>
        <w:rPr>
          <w:rFonts w:ascii="Times New Roman" w:hAnsi="Times New Roman" w:cs="Times New Roman"/>
          <w:b w:val="0"/>
          <w:i w:val="0"/>
          <w:sz w:val="24"/>
        </w:rPr>
        <w:t xml:space="preserve"> (</w:t>
      </w:r>
      <w:r>
        <w:rPr>
          <w:rFonts w:ascii="Times New Roman" w:hAnsi="Times New Roman" w:cs="Times New Roman"/>
          <w:b w:val="0"/>
          <w:i/>
          <w:sz w:val="24"/>
        </w:rPr>
        <w:t>during production</w:t>
      </w:r>
      <w:r>
        <w:rPr>
          <w:rFonts w:ascii="Times New Roman" w:hAnsi="Times New Roman" w:cs="Times New Roman"/>
          <w:b w:val="0"/>
          <w:i w:val="0"/>
          <w:sz w:val="24"/>
        </w:rPr>
        <w:t xml:space="preserve">), </w:t>
      </w:r>
      <w:r>
        <w:rPr>
          <w:rFonts w:ascii="Times New Roman" w:hAnsi="Times New Roman" w:cs="Times New Roman"/>
          <w:b/>
          <w:i w:val="0"/>
          <w:sz w:val="24"/>
        </w:rPr>
        <w:t>pada saat produksi selesai</w:t>
      </w:r>
      <w:r>
        <w:rPr>
          <w:rFonts w:ascii="Times New Roman" w:hAnsi="Times New Roman" w:cs="Times New Roman"/>
          <w:b w:val="0"/>
          <w:i w:val="0"/>
          <w:sz w:val="24"/>
        </w:rPr>
        <w:t xml:space="preserve"> (</w:t>
      </w:r>
      <w:r>
        <w:rPr>
          <w:rFonts w:ascii="Times New Roman" w:hAnsi="Times New Roman" w:cs="Times New Roman"/>
          <w:b w:val="0"/>
          <w:i/>
          <w:sz w:val="24"/>
        </w:rPr>
        <w:t>completion of production</w:t>
      </w:r>
      <w:r>
        <w:rPr>
          <w:rFonts w:ascii="Times New Roman" w:hAnsi="Times New Roman" w:cs="Times New Roman"/>
          <w:b w:val="0"/>
          <w:i w:val="0"/>
          <w:sz w:val="24"/>
        </w:rPr>
        <w:t xml:space="preserve">), </w:t>
      </w:r>
      <w:r>
        <w:rPr>
          <w:rFonts w:ascii="Times New Roman" w:hAnsi="Times New Roman" w:cs="Times New Roman"/>
          <w:b/>
          <w:i w:val="0"/>
          <w:sz w:val="24"/>
        </w:rPr>
        <w:t>pada saat penjualan</w:t>
      </w:r>
      <w:r>
        <w:rPr>
          <w:rFonts w:ascii="Times New Roman" w:hAnsi="Times New Roman" w:cs="Times New Roman"/>
          <w:b w:val="0"/>
          <w:i w:val="0"/>
          <w:sz w:val="24"/>
        </w:rPr>
        <w:t xml:space="preserve"> (</w:t>
      </w:r>
      <w:r>
        <w:rPr>
          <w:rFonts w:ascii="Times New Roman" w:hAnsi="Times New Roman" w:cs="Times New Roman"/>
          <w:b w:val="0"/>
          <w:i/>
          <w:sz w:val="24"/>
        </w:rPr>
        <w:t>point of sale</w:t>
      </w:r>
      <w:r>
        <w:rPr>
          <w:rFonts w:ascii="Times New Roman" w:hAnsi="Times New Roman" w:cs="Times New Roman"/>
          <w:b w:val="0"/>
          <w:i w:val="0"/>
          <w:sz w:val="24"/>
        </w:rPr>
        <w:t xml:space="preserve">), dan </w:t>
      </w:r>
      <w:r>
        <w:rPr>
          <w:rFonts w:ascii="Times New Roman" w:hAnsi="Times New Roman" w:cs="Times New Roman"/>
          <w:b/>
          <w:i w:val="0"/>
          <w:sz w:val="24"/>
        </w:rPr>
        <w:t>pada saat kas terkumpul</w:t>
      </w:r>
      <w:r>
        <w:rPr>
          <w:rFonts w:ascii="Times New Roman" w:hAnsi="Times New Roman" w:cs="Times New Roman"/>
          <w:b w:val="0"/>
          <w:i w:val="0"/>
          <w:sz w:val="24"/>
        </w:rPr>
        <w:t xml:space="preserve"> (</w:t>
      </w:r>
      <w:r>
        <w:rPr>
          <w:rFonts w:ascii="Times New Roman" w:hAnsi="Times New Roman" w:cs="Times New Roman"/>
          <w:b w:val="0"/>
          <w:i/>
          <w:sz w:val="24"/>
        </w:rPr>
        <w:t>cash collection</w:t>
      </w:r>
      <w:r>
        <w:rPr>
          <w:rFonts w:ascii="Times New Roman" w:hAnsi="Times New Roman" w:cs="Times New Roman"/>
          <w:b w:val="0"/>
          <w:i w:val="0"/>
          <w:sz w:val="24"/>
        </w:rPr>
        <w:t>) (Wolk et al., 2017, PDF hlm. 4).</w:t>
      </w:r>
    </w:p>
    <w:p>
      <w:pPr>
        <w:spacing w:before="120" w:after="120"/>
        <w:jc w:val="center"/>
      </w:pPr>
      <w:r>
        <w:drawing>
          <wp:inline xmlns:a="http://schemas.openxmlformats.org/drawingml/2006/main" xmlns:pic="http://schemas.openxmlformats.org/drawingml/2006/picture">
            <wp:extent cx="5220000" cy="1463551"/>
            <wp:docPr id="1" name="Picture 1"/>
            <wp:cNvGraphicFramePr>
              <a:graphicFrameLocks noChangeAspect="1"/>
            </wp:cNvGraphicFramePr>
            <a:graphic>
              <a:graphicData uri="http://schemas.openxmlformats.org/drawingml/2006/picture">
                <pic:pic>
                  <pic:nvPicPr>
                    <pic:cNvPr id="0" name="gambar1_titik_pengakuan.png"/>
                    <pic:cNvPicPr/>
                  </pic:nvPicPr>
                  <pic:blipFill>
                    <a:blip r:embed="rId10"/>
                    <a:stretch>
                      <a:fillRect/>
                    </a:stretch>
                  </pic:blipFill>
                  <pic:spPr>
                    <a:xfrm>
                      <a:off x="0" y="0"/>
                      <a:ext cx="5220000" cy="1463551"/>
                    </a:xfrm>
                    <a:prstGeom prst="rect"/>
                  </pic:spPr>
                </pic:pic>
              </a:graphicData>
            </a:graphic>
          </wp:inline>
        </w:drawing>
      </w:r>
    </w:p>
    <w:p>
      <w:pPr>
        <w:spacing w:lineRule="exact" w:line="360" w:before="0" w:after="0"/>
        <w:jc w:val="center"/>
      </w:pPr>
      <w:r>
        <w:rPr>
          <w:rFonts w:ascii="Times New Roman" w:hAnsi="Times New Roman" w:cs="Times New Roman"/>
          <w:b/>
          <w:i w:val="0"/>
          <w:sz w:val="22"/>
        </w:rPr>
        <w:t xml:space="preserve">Gambar 1. </w:t>
      </w:r>
      <w:r>
        <w:rPr>
          <w:rFonts w:ascii="Times New Roman" w:hAnsi="Times New Roman" w:cs="Times New Roman"/>
          <w:b w:val="0"/>
          <w:i w:val="0"/>
          <w:sz w:val="22"/>
        </w:rPr>
        <w:t>Empat titik waktu alternatif pengakuan pendapatan</w:t>
      </w:r>
    </w:p>
    <w:p>
      <w:pPr>
        <w:spacing w:lineRule="exact" w:line="360" w:before="0" w:after="240"/>
        <w:jc w:val="center"/>
      </w:pPr>
      <w:r>
        <w:rPr>
          <w:rFonts w:ascii="Times New Roman" w:hAnsi="Times New Roman" w:cs="Times New Roman"/>
          <w:b w:val="0"/>
          <w:i/>
          <w:sz w:val="22"/>
        </w:rPr>
        <w:t>Sumber: diolah dari Wolk et al. (2017), PDF hlm. 4–5</w:t>
      </w:r>
    </w:p>
    <w:p>
      <w:pPr>
        <w:spacing w:lineRule="exact" w:line="360" w:before="0" w:after="120"/>
        <w:jc w:val="both"/>
      </w:pPr>
      <w:r>
        <w:rPr>
          <w:rFonts w:ascii="Times New Roman" w:hAnsi="Times New Roman" w:cs="Times New Roman"/>
          <w:b w:val="0"/>
          <w:i w:val="0"/>
          <w:sz w:val="24"/>
        </w:rPr>
        <w:t xml:space="preserve">Masing-masing titik memiliki penggunaan yang disahkan secara selektif. Pengakuan selama produksi diterapkan pada kontrak jangka panjang tertentu—misalnya konstruksi—sebagaimana diatur ARB 45 dan SOP 81-1, dengan syarat estimasi andal atas kemajuan dan biaya penyelesaian serta keyakinan memadai atas ketertagihan. Pengakuan pada saat produksi selesai diizinkan bagi sebagian operasi pertanian dan pertambangan (ARB 43, Bab 4) ketika produk yang unitnya dapat dipertukarkan memiliki pemasaran segera pada harga terkutip. Pengakuan pada saat penjualan, ketika hak hukum berpindah, adalah </w:t>
      </w:r>
      <w:r>
        <w:rPr>
          <w:rFonts w:ascii="Times New Roman" w:hAnsi="Times New Roman" w:cs="Times New Roman"/>
          <w:b/>
          <w:i w:val="0"/>
          <w:sz w:val="24"/>
        </w:rPr>
        <w:t>norma umum</w:t>
      </w:r>
      <w:r>
        <w:rPr>
          <w:rFonts w:ascii="Times New Roman" w:hAnsi="Times New Roman" w:cs="Times New Roman"/>
          <w:b w:val="0"/>
          <w:i w:val="0"/>
          <w:sz w:val="24"/>
        </w:rPr>
        <w:t xml:space="preserve"> sejak menjadi salah satu dari enam aturan yang diadopsi AICPA pada 1934—laba dianggap terealisasi saat penjualan dalam aktivitas usaha biasa terjadi, kecuali ketertagihan harga jual tidak dapat diasumsikan secara wajar. Adapun pengakuan pada saat kas terkumpul, melalui </w:t>
      </w:r>
      <w:r>
        <w:rPr>
          <w:rFonts w:ascii="Times New Roman" w:hAnsi="Times New Roman" w:cs="Times New Roman"/>
          <w:b/>
          <w:i w:val="0"/>
          <w:sz w:val="24"/>
        </w:rPr>
        <w:t>metode angsuran</w:t>
      </w:r>
      <w:r>
        <w:rPr>
          <w:rFonts w:ascii="Times New Roman" w:hAnsi="Times New Roman" w:cs="Times New Roman"/>
          <w:b w:val="0"/>
          <w:i w:val="0"/>
          <w:sz w:val="24"/>
        </w:rPr>
        <w:t xml:space="preserve"> (</w:t>
      </w:r>
      <w:r>
        <w:rPr>
          <w:rFonts w:ascii="Times New Roman" w:hAnsi="Times New Roman" w:cs="Times New Roman"/>
          <w:b w:val="0"/>
          <w:i/>
          <w:sz w:val="24"/>
        </w:rPr>
        <w:t>installment method</w:t>
      </w:r>
      <w:r>
        <w:rPr>
          <w:rFonts w:ascii="Times New Roman" w:hAnsi="Times New Roman" w:cs="Times New Roman"/>
          <w:b w:val="0"/>
          <w:i w:val="0"/>
          <w:sz w:val="24"/>
        </w:rPr>
        <w:t xml:space="preserve">) maupun </w:t>
      </w:r>
      <w:r>
        <w:rPr>
          <w:rFonts w:ascii="Times New Roman" w:hAnsi="Times New Roman" w:cs="Times New Roman"/>
          <w:b w:val="0"/>
          <w:i/>
          <w:sz w:val="24"/>
        </w:rPr>
        <w:t>cost recovery</w:t>
      </w:r>
      <w:r>
        <w:rPr>
          <w:rFonts w:ascii="Times New Roman" w:hAnsi="Times New Roman" w:cs="Times New Roman"/>
          <w:b w:val="0"/>
          <w:i w:val="0"/>
          <w:sz w:val="24"/>
        </w:rPr>
        <w:t>, diizinkan SFAS No. 66 untuk penjualan real estat ketika tidak ada dasar wajar untuk mengestimasi ketertagihan (Wolk et al., 2017, PDF hlm. 4).</w:t>
      </w:r>
    </w:p>
    <w:p>
      <w:pPr>
        <w:spacing w:lineRule="exact" w:line="360" w:before="0" w:after="120"/>
        <w:jc w:val="both"/>
      </w:pPr>
      <w:r>
        <w:rPr>
          <w:rFonts w:ascii="Times New Roman" w:hAnsi="Times New Roman" w:cs="Times New Roman"/>
          <w:b w:val="0"/>
          <w:i w:val="0"/>
          <w:sz w:val="24"/>
        </w:rPr>
        <w:t xml:space="preserve">Pengecualian terhadap norma penjualan umumnya berevolusi karena munculnya transaksi baru yang tidak sesuai dengan cetakan transaksi tradisional, kerap khas industri tertentu. Secara historis AICPA—melalui </w:t>
      </w:r>
      <w:r>
        <w:rPr>
          <w:rFonts w:ascii="Times New Roman" w:hAnsi="Times New Roman" w:cs="Times New Roman"/>
          <w:b w:val="0"/>
          <w:i/>
          <w:sz w:val="24"/>
        </w:rPr>
        <w:t>Accounting Guides</w:t>
      </w:r>
      <w:r>
        <w:rPr>
          <w:rFonts w:ascii="Times New Roman" w:hAnsi="Times New Roman" w:cs="Times New Roman"/>
          <w:b w:val="0"/>
          <w:i w:val="0"/>
          <w:sz w:val="24"/>
        </w:rPr>
        <w:t xml:space="preserve"> dan </w:t>
      </w:r>
      <w:r>
        <w:rPr>
          <w:rFonts w:ascii="Times New Roman" w:hAnsi="Times New Roman" w:cs="Times New Roman"/>
          <w:b w:val="0"/>
          <w:i/>
          <w:sz w:val="24"/>
        </w:rPr>
        <w:t>Statements of Position</w:t>
      </w:r>
      <w:r>
        <w:rPr>
          <w:rFonts w:ascii="Times New Roman" w:hAnsi="Times New Roman" w:cs="Times New Roman"/>
          <w:b w:val="0"/>
          <w:i w:val="0"/>
          <w:sz w:val="24"/>
        </w:rPr>
        <w:t xml:space="preserve"> (SOP)—menjadi sumber pengembangan standar ini, namun karena dokumen-dokumen tersebut tidak wajib dipatuhi sebagaimana standar FASB, praktik yang lahir darinya menjadi tidak konsisten dalam rasional maupun hasilnya (Wolk et al., 2017, PDF hlm. 5). Untuk menertibkannya, melalui SFAS No. 32 (1979) FASB meluncurkan program </w:t>
      </w:r>
      <w:r>
        <w:rPr>
          <w:rFonts w:ascii="Times New Roman" w:hAnsi="Times New Roman" w:cs="Times New Roman"/>
          <w:b w:val="0"/>
          <w:i/>
          <w:sz w:val="24"/>
        </w:rPr>
        <w:t>extraction</w:t>
      </w:r>
      <w:r>
        <w:rPr>
          <w:rFonts w:ascii="Times New Roman" w:hAnsi="Times New Roman" w:cs="Times New Roman"/>
          <w:b w:val="0"/>
          <w:i w:val="0"/>
          <w:sz w:val="24"/>
        </w:rPr>
        <w:t xml:space="preserve">: mengekstraksi standar dari </w:t>
      </w:r>
      <w:r>
        <w:rPr>
          <w:rFonts w:ascii="Times New Roman" w:hAnsi="Times New Roman" w:cs="Times New Roman"/>
          <w:b w:val="0"/>
          <w:i/>
          <w:sz w:val="24"/>
        </w:rPr>
        <w:t>Guides</w:t>
      </w:r>
      <w:r>
        <w:rPr>
          <w:rFonts w:ascii="Times New Roman" w:hAnsi="Times New Roman" w:cs="Times New Roman"/>
          <w:b w:val="0"/>
          <w:i w:val="0"/>
          <w:sz w:val="24"/>
        </w:rPr>
        <w:t xml:space="preserve"> dan SOP, memodifikasinya agar konsisten secara internal, lalu menerbitkannya sebagai SFAS. Tiga belas SFAS lahir dari program ini, di antaranya pendapatan </w:t>
      </w:r>
      <w:r>
        <w:rPr>
          <w:rFonts w:ascii="Times New Roman" w:hAnsi="Times New Roman" w:cs="Times New Roman"/>
          <w:b w:val="0"/>
          <w:i/>
          <w:sz w:val="24"/>
        </w:rPr>
        <w:t>franchise fee</w:t>
      </w:r>
      <w:r>
        <w:rPr>
          <w:rFonts w:ascii="Times New Roman" w:hAnsi="Times New Roman" w:cs="Times New Roman"/>
          <w:b w:val="0"/>
          <w:i w:val="0"/>
          <w:sz w:val="24"/>
        </w:rPr>
        <w:t xml:space="preserve"> (No. 45), pengakuan pendapatan saat ada hak retur (No. 48), industri rekaman dan musik (No. 50), televisi kabel (No. 51), serta penjualan real estat (No. 66) (Wolk et al., 2017, PDF hlm. 5). Di luar empat titik resmi, literatur otoritatif </w:t>
      </w:r>
      <w:r>
        <w:rPr>
          <w:rFonts w:ascii="Times New Roman" w:hAnsi="Times New Roman" w:cs="Times New Roman"/>
          <w:b/>
          <w:i w:val="0"/>
          <w:sz w:val="24"/>
        </w:rPr>
        <w:t>tidak mengizinkan</w:t>
      </w:r>
      <w:r>
        <w:rPr>
          <w:rFonts w:ascii="Times New Roman" w:hAnsi="Times New Roman" w:cs="Times New Roman"/>
          <w:b w:val="0"/>
          <w:i w:val="0"/>
          <w:sz w:val="24"/>
        </w:rPr>
        <w:t xml:space="preserve"> dua basis tambahan yang kerap diusulkan: basis </w:t>
      </w:r>
      <w:r>
        <w:rPr>
          <w:rFonts w:ascii="Times New Roman" w:hAnsi="Times New Roman" w:cs="Times New Roman"/>
          <w:b/>
          <w:i w:val="0"/>
          <w:sz w:val="24"/>
        </w:rPr>
        <w:t>akresi</w:t>
      </w:r>
      <w:r>
        <w:rPr>
          <w:rFonts w:ascii="Times New Roman" w:hAnsi="Times New Roman" w:cs="Times New Roman"/>
          <w:b w:val="0"/>
          <w:i w:val="0"/>
          <w:sz w:val="24"/>
        </w:rPr>
        <w:t xml:space="preserve"> (</w:t>
      </w:r>
      <w:r>
        <w:rPr>
          <w:rFonts w:ascii="Times New Roman" w:hAnsi="Times New Roman" w:cs="Times New Roman"/>
          <w:b w:val="0"/>
          <w:i/>
          <w:sz w:val="24"/>
        </w:rPr>
        <w:t>accretion</w:t>
      </w:r>
      <w:r>
        <w:rPr>
          <w:rFonts w:ascii="Times New Roman" w:hAnsi="Times New Roman" w:cs="Times New Roman"/>
          <w:b w:val="0"/>
          <w:i w:val="0"/>
          <w:sz w:val="24"/>
        </w:rPr>
        <w:t xml:space="preserve">) untuk aset yang tumbuh nilainya seperti kayu hutan, dan basis </w:t>
      </w:r>
      <w:r>
        <w:rPr>
          <w:rFonts w:ascii="Times New Roman" w:hAnsi="Times New Roman" w:cs="Times New Roman"/>
          <w:b/>
          <w:i w:val="0"/>
          <w:sz w:val="24"/>
        </w:rPr>
        <w:t>penemuan</w:t>
      </w:r>
      <w:r>
        <w:rPr>
          <w:rFonts w:ascii="Times New Roman" w:hAnsi="Times New Roman" w:cs="Times New Roman"/>
          <w:b w:val="0"/>
          <w:i w:val="0"/>
          <w:sz w:val="24"/>
        </w:rPr>
        <w:t xml:space="preserve"> (</w:t>
      </w:r>
      <w:r>
        <w:rPr>
          <w:rFonts w:ascii="Times New Roman" w:hAnsi="Times New Roman" w:cs="Times New Roman"/>
          <w:b w:val="0"/>
          <w:i/>
          <w:sz w:val="24"/>
        </w:rPr>
        <w:t>discovery</w:t>
      </w:r>
      <w:r>
        <w:rPr>
          <w:rFonts w:ascii="Times New Roman" w:hAnsi="Times New Roman" w:cs="Times New Roman"/>
          <w:b w:val="0"/>
          <w:i w:val="0"/>
          <w:sz w:val="24"/>
        </w:rPr>
        <w:t>) untuk sumber daya alam seperti gas dan minyak bumi—keduanya disarankan sebagian otoritas, tetapi tidak disahkan (Wolk et al., 2017, PDF hlm. 5).</w:t>
      </w:r>
    </w:p>
    <w:p>
      <w:pPr>
        <w:spacing w:lineRule="exact" w:line="360" w:before="0" w:after="120"/>
        <w:jc w:val="both"/>
      </w:pPr>
      <w:r>
        <w:rPr>
          <w:rFonts w:ascii="Times New Roman" w:hAnsi="Times New Roman" w:cs="Times New Roman"/>
          <w:b w:val="0"/>
          <w:i w:val="0"/>
          <w:sz w:val="24"/>
        </w:rPr>
        <w:t xml:space="preserve">Meski penjualan adalah norma, kriteria utama yang sesungguhnya diterapkan dalam praktik adalah </w:t>
      </w:r>
      <w:r>
        <w:rPr>
          <w:rFonts w:ascii="Times New Roman" w:hAnsi="Times New Roman" w:cs="Times New Roman"/>
          <w:b/>
          <w:i w:val="0"/>
          <w:sz w:val="24"/>
        </w:rPr>
        <w:t>penyelesaian proses perolehan laba</w:t>
      </w:r>
      <w:r>
        <w:rPr>
          <w:rFonts w:ascii="Times New Roman" w:hAnsi="Times New Roman" w:cs="Times New Roman"/>
          <w:b w:val="0"/>
          <w:i w:val="0"/>
          <w:sz w:val="24"/>
        </w:rPr>
        <w:t xml:space="preserve"> (</w:t>
      </w:r>
      <w:r>
        <w:rPr>
          <w:rFonts w:ascii="Times New Roman" w:hAnsi="Times New Roman" w:cs="Times New Roman"/>
          <w:b w:val="0"/>
          <w:i/>
          <w:sz w:val="24"/>
        </w:rPr>
        <w:t>completion of the earnings process</w:t>
      </w:r>
      <w:r>
        <w:rPr>
          <w:rFonts w:ascii="Times New Roman" w:hAnsi="Times New Roman" w:cs="Times New Roman"/>
          <w:b w:val="0"/>
          <w:i w:val="0"/>
          <w:sz w:val="24"/>
        </w:rPr>
        <w:t xml:space="preserve">): pendapatan diakui ketika transaksi atau peristiwa yang memuncaki proses tersebut terjadi. Namun persoalan pengukuran harus dituntaskan lebih dahulu—tiga atribut harus terukur secara andal, yaitu (a) harga jual, (b) penerimaan kas, dan (c) biaya masa depan; bila ketiganya dapat diukur atau diestimasi dengan akurasi memadai, pendapatan diakui, jika tidak, pengakuan harus ditunda (Wolk et al., 2017, PDF hlm. 5). Justru di titik inilah pengakuan pendapatan menjadi </w:t>
      </w:r>
      <w:r>
        <w:rPr>
          <w:rFonts w:ascii="Times New Roman" w:hAnsi="Times New Roman" w:cs="Times New Roman"/>
          <w:b/>
          <w:i w:val="0"/>
          <w:sz w:val="24"/>
        </w:rPr>
        <w:t>"Achilles' heel"</w:t>
      </w:r>
      <w:r>
        <w:rPr>
          <w:rFonts w:ascii="Times New Roman" w:hAnsi="Times New Roman" w:cs="Times New Roman"/>
          <w:b w:val="0"/>
          <w:i w:val="0"/>
          <w:sz w:val="24"/>
        </w:rPr>
        <w:t xml:space="preserve"> bagi </w:t>
      </w:r>
      <w:r>
        <w:rPr>
          <w:rFonts w:ascii="Times New Roman" w:hAnsi="Times New Roman" w:cs="Times New Roman"/>
          <w:b w:val="0"/>
          <w:i/>
          <w:sz w:val="24"/>
        </w:rPr>
        <w:t>earnings management</w:t>
      </w:r>
      <w:r>
        <w:rPr>
          <w:rFonts w:ascii="Times New Roman" w:hAnsi="Times New Roman" w:cs="Times New Roman"/>
          <w:b w:val="0"/>
          <w:i w:val="0"/>
          <w:sz w:val="24"/>
        </w:rPr>
        <w:t xml:space="preserve">. Contoh klasiknya adalah praktik </w:t>
      </w:r>
      <w:r>
        <w:rPr>
          <w:rFonts w:ascii="Times New Roman" w:hAnsi="Times New Roman" w:cs="Times New Roman"/>
          <w:b w:val="0"/>
          <w:i/>
          <w:sz w:val="24"/>
        </w:rPr>
        <w:t>swap</w:t>
      </w:r>
      <w:r>
        <w:rPr>
          <w:rFonts w:ascii="Times New Roman" w:hAnsi="Times New Roman" w:cs="Times New Roman"/>
          <w:b w:val="0"/>
          <w:i w:val="0"/>
          <w:sz w:val="24"/>
        </w:rPr>
        <w:t xml:space="preserve"> kapasitas serat optik di industri telekomunikasi: perusahaan seperti </w:t>
      </w:r>
      <w:r>
        <w:rPr>
          <w:rFonts w:ascii="Times New Roman" w:hAnsi="Times New Roman" w:cs="Times New Roman"/>
          <w:b/>
          <w:i w:val="0"/>
          <w:sz w:val="24"/>
        </w:rPr>
        <w:t>Qwest</w:t>
      </w:r>
      <w:r>
        <w:rPr>
          <w:rFonts w:ascii="Times New Roman" w:hAnsi="Times New Roman" w:cs="Times New Roman"/>
          <w:b w:val="0"/>
          <w:i w:val="0"/>
          <w:sz w:val="24"/>
        </w:rPr>
        <w:t xml:space="preserve"> membukukan seluruh "pendapatan" seketika, sementara serat optik yang diperoleh dikapitalisasi dan dibebankan selama beberapa tahun—padahal praktik industri seharusnya mengakui pendapatan sepanjang waktu, dan transaksi itu sejatinya sekadar pertukaran aset yang penciptaan pendapatannya sangat dipertanyakan (Wolk et al., 2017, PDF hlm. 5).</w:t>
      </w:r>
    </w:p>
    <w:p>
      <w:pPr>
        <w:spacing w:lineRule="exact" w:line="360" w:before="0" w:after="120"/>
        <w:jc w:val="both"/>
      </w:pPr>
      <w:r>
        <w:rPr>
          <w:rFonts w:ascii="Times New Roman" w:hAnsi="Times New Roman" w:cs="Times New Roman"/>
          <w:b w:val="0"/>
          <w:i w:val="0"/>
          <w:sz w:val="24"/>
        </w:rPr>
        <w:t xml:space="preserve">Upaya konvergensi melahirkan standar bersama FASB–IASB, yakni </w:t>
      </w:r>
      <w:r>
        <w:rPr>
          <w:rFonts w:ascii="Times New Roman" w:hAnsi="Times New Roman" w:cs="Times New Roman"/>
          <w:b/>
          <w:i w:val="0"/>
          <w:sz w:val="24"/>
        </w:rPr>
        <w:t>ASU 2014-09</w:t>
      </w:r>
      <w:r>
        <w:rPr>
          <w:rFonts w:ascii="Times New Roman" w:hAnsi="Times New Roman" w:cs="Times New Roman"/>
          <w:b w:val="0"/>
          <w:i w:val="0"/>
          <w:sz w:val="24"/>
        </w:rPr>
        <w:t xml:space="preserve"> dan </w:t>
      </w:r>
      <w:r>
        <w:rPr>
          <w:rFonts w:ascii="Times New Roman" w:hAnsi="Times New Roman" w:cs="Times New Roman"/>
          <w:b/>
          <w:i w:val="0"/>
          <w:sz w:val="24"/>
        </w:rPr>
        <w:t>IFRS 15</w:t>
      </w:r>
      <w:r>
        <w:rPr>
          <w:rFonts w:ascii="Times New Roman" w:hAnsi="Times New Roman" w:cs="Times New Roman"/>
          <w:b w:val="0"/>
          <w:i w:val="0"/>
          <w:sz w:val="24"/>
        </w:rPr>
        <w:t xml:space="preserve">, sebagai puncak dari satu standar pendapatan tunggal untuk kedua badan tersebut (Wolk et al., 2017, PDF hlm. 6). Sebelumnya, menanggapi banyaknya pelanggaran aturan pengakuan yang ditautkan pada </w:t>
      </w:r>
      <w:r>
        <w:rPr>
          <w:rFonts w:ascii="Times New Roman" w:hAnsi="Times New Roman" w:cs="Times New Roman"/>
          <w:b w:val="0"/>
          <w:i/>
          <w:sz w:val="24"/>
        </w:rPr>
        <w:t>earnings management</w:t>
      </w:r>
      <w:r>
        <w:rPr>
          <w:rFonts w:ascii="Times New Roman" w:hAnsi="Times New Roman" w:cs="Times New Roman"/>
          <w:b w:val="0"/>
          <w:i w:val="0"/>
          <w:sz w:val="24"/>
        </w:rPr>
        <w:t xml:space="preserve">, SEC menerbitkan </w:t>
      </w:r>
      <w:r>
        <w:rPr>
          <w:rFonts w:ascii="Times New Roman" w:hAnsi="Times New Roman" w:cs="Times New Roman"/>
          <w:b w:val="0"/>
          <w:i/>
          <w:sz w:val="24"/>
        </w:rPr>
        <w:t>Staff Accounting Bulletin</w:t>
      </w:r>
      <w:r>
        <w:rPr>
          <w:rFonts w:ascii="Times New Roman" w:hAnsi="Times New Roman" w:cs="Times New Roman"/>
          <w:b w:val="0"/>
          <w:i w:val="0"/>
          <w:sz w:val="24"/>
        </w:rPr>
        <w:t xml:space="preserve"> (SAB) 101. Menariknya, FASB justru mengkritik SAB 101 sebagai terlalu mengekang sehingga membuat laporan laba rugi kurang berguna untuk memprediksi arus kas masa depan—suatu ketegangan institusional FASB–SEC yang berpotensi memuncak menjadi </w:t>
      </w:r>
      <w:r>
        <w:rPr>
          <w:rFonts w:ascii="Times New Roman" w:hAnsi="Times New Roman" w:cs="Times New Roman"/>
          <w:b w:val="0"/>
          <w:i/>
          <w:sz w:val="24"/>
        </w:rPr>
        <w:t>showdown</w:t>
      </w:r>
      <w:r>
        <w:rPr>
          <w:rFonts w:ascii="Times New Roman" w:hAnsi="Times New Roman" w:cs="Times New Roman"/>
          <w:b w:val="0"/>
          <w:i w:val="0"/>
          <w:sz w:val="24"/>
        </w:rPr>
        <w:t xml:space="preserve"> bila FASB mengarahkan pengakuan lebih ke valuasi neraca dan menjauh dari penyelesaian proses perolehan laba (Wolk et al., 2017, PDF hlm. 6). Ketegangan inilah—antara aturan ketat demi reliabilitas dan keleluasaan demi </w:t>
      </w:r>
      <w:r>
        <w:rPr>
          <w:rFonts w:ascii="Times New Roman" w:hAnsi="Times New Roman" w:cs="Times New Roman"/>
          <w:b w:val="0"/>
          <w:i/>
          <w:sz w:val="24"/>
        </w:rPr>
        <w:t>decision usefulness</w:t>
      </w:r>
      <w:r>
        <w:rPr>
          <w:rFonts w:ascii="Times New Roman" w:hAnsi="Times New Roman" w:cs="Times New Roman"/>
          <w:b w:val="0"/>
          <w:i w:val="0"/>
          <w:sz w:val="24"/>
        </w:rPr>
        <w:t>—yang menjadi latar bagi pembahasan pengakuan beban dan penandingan pada Bagian IV.</w:t>
      </w:r>
    </w:p>
    <w:p>
      <w:pPr>
        <w:spacing w:lineRule="exact" w:line="360" w:before="240" w:after="120"/>
        <w:jc w:val="left"/>
      </w:pPr>
      <w:r>
        <w:rPr>
          <w:rFonts w:ascii="Times New Roman" w:hAnsi="Times New Roman" w:cs="Times New Roman"/>
          <w:b/>
          <w:i w:val="0"/>
          <w:sz w:val="26"/>
        </w:rPr>
        <w:t>IV. Pengakuan Beban dan Matching</w:t>
      </w:r>
    </w:p>
    <w:p>
      <w:pPr>
        <w:spacing w:lineRule="exact" w:line="360" w:before="0" w:after="120"/>
        <w:jc w:val="both"/>
      </w:pPr>
      <w:r>
        <w:rPr>
          <w:rFonts w:ascii="Times New Roman" w:hAnsi="Times New Roman" w:cs="Times New Roman"/>
          <w:b w:val="0"/>
          <w:i w:val="0"/>
          <w:sz w:val="24"/>
        </w:rPr>
        <w:t xml:space="preserve">Jika pengakuan pendapatan berkutat pada </w:t>
      </w:r>
      <w:r>
        <w:rPr>
          <w:rFonts w:ascii="Times New Roman" w:hAnsi="Times New Roman" w:cs="Times New Roman"/>
          <w:b w:val="0"/>
          <w:i/>
          <w:sz w:val="24"/>
        </w:rPr>
        <w:t>kapan</w:t>
      </w:r>
      <w:r>
        <w:rPr>
          <w:rFonts w:ascii="Times New Roman" w:hAnsi="Times New Roman" w:cs="Times New Roman"/>
          <w:b w:val="0"/>
          <w:i w:val="0"/>
          <w:sz w:val="24"/>
        </w:rPr>
        <w:t xml:space="preserve"> arus masuk diakui, pengakuan beban berhadapan dengan persoalan yang secara teoretis lebih dalam: </w:t>
      </w:r>
      <w:r>
        <w:rPr>
          <w:rFonts w:ascii="Times New Roman" w:hAnsi="Times New Roman" w:cs="Times New Roman"/>
          <w:b w:val="0"/>
          <w:i/>
          <w:sz w:val="24"/>
        </w:rPr>
        <w:t>bagaimana</w:t>
      </w:r>
      <w:r>
        <w:rPr>
          <w:rFonts w:ascii="Times New Roman" w:hAnsi="Times New Roman" w:cs="Times New Roman"/>
          <w:b w:val="0"/>
          <w:i w:val="0"/>
          <w:sz w:val="24"/>
        </w:rPr>
        <w:t xml:space="preserve"> membebankan biaya ke periode yang tepat. APB Statement 4 mengklasifikasikan beban ke dalam tiga kategori: (1) biaya yang </w:t>
      </w:r>
      <w:r>
        <w:rPr>
          <w:rFonts w:ascii="Times New Roman" w:hAnsi="Times New Roman" w:cs="Times New Roman"/>
          <w:b/>
          <w:i w:val="0"/>
          <w:sz w:val="24"/>
        </w:rPr>
        <w:t>berhubungan langsung</w:t>
      </w:r>
      <w:r>
        <w:rPr>
          <w:rFonts w:ascii="Times New Roman" w:hAnsi="Times New Roman" w:cs="Times New Roman"/>
          <w:b w:val="0"/>
          <w:i w:val="0"/>
          <w:sz w:val="24"/>
        </w:rPr>
        <w:t xml:space="preserve"> dengan pendapatan periode tersebut; (2) biaya yang dikaitkan dengan periode atas dasar selain hubungan langsung dengan pendapatan; dan (3) biaya yang, secara praktis, tidak dapat dikaitkan dengan periode mana pun (Wolk et al., 2017, PDF hlm. 6). Di atas ketiga kategori inilah konsep </w:t>
      </w:r>
      <w:r>
        <w:rPr>
          <w:rFonts w:ascii="Times New Roman" w:hAnsi="Times New Roman" w:cs="Times New Roman"/>
          <w:b/>
          <w:i w:val="0"/>
          <w:sz w:val="24"/>
        </w:rPr>
        <w:t>matching</w:t>
      </w:r>
      <w:r>
        <w:rPr>
          <w:rFonts w:ascii="Times New Roman" w:hAnsi="Times New Roman" w:cs="Times New Roman"/>
          <w:b w:val="0"/>
          <w:i w:val="0"/>
          <w:sz w:val="24"/>
        </w:rPr>
        <w:t xml:space="preserve"> dibangun sebagai sebuah hierarki bertingkat tiga: bila memungkinkan, biaya ditandingkan dengan pendapatan yang langsung dihasilkannya (</w:t>
      </w:r>
      <w:r>
        <w:rPr>
          <w:rFonts w:ascii="Times New Roman" w:hAnsi="Times New Roman" w:cs="Times New Roman"/>
          <w:b/>
          <w:i w:val="0"/>
          <w:sz w:val="24"/>
        </w:rPr>
        <w:t>hubungan sebab-akibat langsung</w:t>
      </w:r>
      <w:r>
        <w:rPr>
          <w:rFonts w:ascii="Times New Roman" w:hAnsi="Times New Roman" w:cs="Times New Roman"/>
          <w:b w:val="0"/>
          <w:i w:val="0"/>
          <w:sz w:val="24"/>
        </w:rPr>
        <w:t xml:space="preserve">, </w:t>
      </w:r>
      <w:r>
        <w:rPr>
          <w:rFonts w:ascii="Times New Roman" w:hAnsi="Times New Roman" w:cs="Times New Roman"/>
          <w:b w:val="0"/>
          <w:i/>
          <w:sz w:val="24"/>
        </w:rPr>
        <w:t>cause-and-effect</w:t>
      </w:r>
      <w:r>
        <w:rPr>
          <w:rFonts w:ascii="Times New Roman" w:hAnsi="Times New Roman" w:cs="Times New Roman"/>
          <w:b w:val="0"/>
          <w:i w:val="0"/>
          <w:sz w:val="24"/>
        </w:rPr>
        <w:t xml:space="preserve">); bila hubungan langsung tidak ada, biaya dialokasikan ke pendapatan secara </w:t>
      </w:r>
      <w:r>
        <w:rPr>
          <w:rFonts w:ascii="Times New Roman" w:hAnsi="Times New Roman" w:cs="Times New Roman"/>
          <w:b/>
          <w:i w:val="0"/>
          <w:sz w:val="24"/>
        </w:rPr>
        <w:t>sistematis dan rasional</w:t>
      </w:r>
      <w:r>
        <w:rPr>
          <w:rFonts w:ascii="Times New Roman" w:hAnsi="Times New Roman" w:cs="Times New Roman"/>
          <w:b w:val="0"/>
          <w:i w:val="0"/>
          <w:sz w:val="24"/>
        </w:rPr>
        <w:t xml:space="preserve"> (</w:t>
      </w:r>
      <w:r>
        <w:rPr>
          <w:rFonts w:ascii="Times New Roman" w:hAnsi="Times New Roman" w:cs="Times New Roman"/>
          <w:b w:val="0"/>
          <w:i/>
          <w:sz w:val="24"/>
        </w:rPr>
        <w:t>systematic and rational allocation</w:t>
      </w:r>
      <w:r>
        <w:rPr>
          <w:rFonts w:ascii="Times New Roman" w:hAnsi="Times New Roman" w:cs="Times New Roman"/>
          <w:b w:val="0"/>
          <w:i w:val="0"/>
          <w:sz w:val="24"/>
        </w:rPr>
        <w:t xml:space="preserve">); dan bila bahkan hubungan tidak langsung pun tidak ada, biaya diakui sebagai </w:t>
      </w:r>
      <w:r>
        <w:rPr>
          <w:rFonts w:ascii="Times New Roman" w:hAnsi="Times New Roman" w:cs="Times New Roman"/>
          <w:b/>
          <w:i w:val="0"/>
          <w:sz w:val="24"/>
        </w:rPr>
        <w:t>beban periode</w:t>
      </w:r>
      <w:r>
        <w:rPr>
          <w:rFonts w:ascii="Times New Roman" w:hAnsi="Times New Roman" w:cs="Times New Roman"/>
          <w:b w:val="0"/>
          <w:i w:val="0"/>
          <w:sz w:val="24"/>
        </w:rPr>
        <w:t xml:space="preserve"> (</w:t>
      </w:r>
      <w:r>
        <w:rPr>
          <w:rFonts w:ascii="Times New Roman" w:hAnsi="Times New Roman" w:cs="Times New Roman"/>
          <w:b w:val="0"/>
          <w:i/>
          <w:sz w:val="24"/>
        </w:rPr>
        <w:t>period expense</w:t>
      </w:r>
      <w:r>
        <w:rPr>
          <w:rFonts w:ascii="Times New Roman" w:hAnsi="Times New Roman" w:cs="Times New Roman"/>
          <w:b w:val="0"/>
          <w:i w:val="0"/>
          <w:sz w:val="24"/>
        </w:rPr>
        <w:t>) saat terjadi (Wolk et al., 2017, PDF hlm. 6).</w:t>
      </w:r>
    </w:p>
    <w:p>
      <w:pPr>
        <w:spacing w:before="120" w:after="120"/>
        <w:jc w:val="center"/>
      </w:pPr>
      <w:r>
        <w:drawing>
          <wp:inline xmlns:a="http://schemas.openxmlformats.org/drawingml/2006/main" xmlns:pic="http://schemas.openxmlformats.org/drawingml/2006/picture">
            <wp:extent cx="5220000" cy="1402570"/>
            <wp:docPr id="2" name="Picture 2"/>
            <wp:cNvGraphicFramePr>
              <a:graphicFrameLocks noChangeAspect="1"/>
            </wp:cNvGraphicFramePr>
            <a:graphic>
              <a:graphicData uri="http://schemas.openxmlformats.org/drawingml/2006/picture">
                <pic:pic>
                  <pic:nvPicPr>
                    <pic:cNvPr id="0" name="gambar2_hierarki_matching.png"/>
                    <pic:cNvPicPr/>
                  </pic:nvPicPr>
                  <pic:blipFill>
                    <a:blip r:embed="rId11"/>
                    <a:stretch>
                      <a:fillRect/>
                    </a:stretch>
                  </pic:blipFill>
                  <pic:spPr>
                    <a:xfrm>
                      <a:off x="0" y="0"/>
                      <a:ext cx="5220000" cy="1402570"/>
                    </a:xfrm>
                    <a:prstGeom prst="rect"/>
                  </pic:spPr>
                </pic:pic>
              </a:graphicData>
            </a:graphic>
          </wp:inline>
        </w:drawing>
      </w:r>
    </w:p>
    <w:p>
      <w:pPr>
        <w:spacing w:lineRule="exact" w:line="360" w:before="0" w:after="0"/>
        <w:jc w:val="center"/>
      </w:pPr>
      <w:r>
        <w:rPr>
          <w:rFonts w:ascii="Times New Roman" w:hAnsi="Times New Roman" w:cs="Times New Roman"/>
          <w:b/>
          <w:i w:val="0"/>
          <w:sz w:val="22"/>
        </w:rPr>
        <w:t xml:space="preserve">Gambar 2. </w:t>
      </w:r>
      <w:r>
        <w:rPr>
          <w:rFonts w:ascii="Times New Roman" w:hAnsi="Times New Roman" w:cs="Times New Roman"/>
          <w:b w:val="0"/>
          <w:i w:val="0"/>
          <w:sz w:val="22"/>
        </w:rPr>
        <w:t>Hierarki tiga tingkat pengakuan beban dan kritik alokasi Thomas</w:t>
      </w:r>
    </w:p>
    <w:p>
      <w:pPr>
        <w:spacing w:lineRule="exact" w:line="360" w:before="0" w:after="240"/>
        <w:jc w:val="center"/>
      </w:pPr>
      <w:r>
        <w:rPr>
          <w:rFonts w:ascii="Times New Roman" w:hAnsi="Times New Roman" w:cs="Times New Roman"/>
          <w:b w:val="0"/>
          <w:i/>
          <w:sz w:val="22"/>
        </w:rPr>
        <w:t>Sumber: diolah dari Wolk et al. (2017), PDF hlm. 7–8</w:t>
      </w:r>
    </w:p>
    <w:p>
      <w:pPr>
        <w:spacing w:lineRule="exact" w:line="360" w:before="0" w:after="120"/>
        <w:jc w:val="both"/>
      </w:pPr>
      <w:r>
        <w:rPr>
          <w:rFonts w:ascii="Times New Roman" w:hAnsi="Times New Roman" w:cs="Times New Roman"/>
          <w:b w:val="0"/>
          <w:i w:val="0"/>
          <w:sz w:val="24"/>
        </w:rPr>
        <w:t xml:space="preserve">Kategori ketiga lazimnya tidak menimbulkan persoalan pengakuan yang berarti, karena peristiwa pemicunya umumnya dapat dikenali secara jelas: ketiadaan manfaat masa depan. Biaya yang tidak lagi memberi manfaat—misalnya bangunan yang musnah terbakar—langsung diakui sebagai beban atau kerugian tanpa keraguan konseptual (Wolk et al., 2017, PDF hlm. 7). Persoalan justru bersarang pada kategori pertama dan kedua. Sebagian unsur kategori pertama, seperti bahan baku langsung dan tenaga kerja langsung, relatif mudah ditandingkan; namun unsur seperti </w:t>
      </w:r>
      <w:r>
        <w:rPr>
          <w:rFonts w:ascii="Times New Roman" w:hAnsi="Times New Roman" w:cs="Times New Roman"/>
          <w:b w:val="0"/>
          <w:i/>
          <w:sz w:val="24"/>
        </w:rPr>
        <w:t>overhead</w:t>
      </w:r>
      <w:r>
        <w:rPr>
          <w:rFonts w:ascii="Times New Roman" w:hAnsi="Times New Roman" w:cs="Times New Roman"/>
          <w:b w:val="0"/>
          <w:i w:val="0"/>
          <w:sz w:val="24"/>
        </w:rPr>
        <w:t xml:space="preserve"> menuntut alokasi atas dasar tertentu, dan inilah pintu masuk ke masalah inti. Kategori kedua—biaya yang jelas belum habis pada periode terjadinya namun tidak terkait dengan pendapatan periode tertentu—merupakan persoalan pengakuan beban yang sesungguhnya, sebab standar alokasi tidak menentukan </w:t>
      </w:r>
      <w:r>
        <w:rPr>
          <w:rFonts w:ascii="Times New Roman" w:hAnsi="Times New Roman" w:cs="Times New Roman"/>
          <w:b w:val="0"/>
          <w:i/>
          <w:sz w:val="24"/>
        </w:rPr>
        <w:t>peristiwa pemicu</w:t>
      </w:r>
      <w:r>
        <w:rPr>
          <w:rFonts w:ascii="Times New Roman" w:hAnsi="Times New Roman" w:cs="Times New Roman"/>
          <w:b w:val="0"/>
          <w:i w:val="0"/>
          <w:sz w:val="24"/>
        </w:rPr>
        <w:t xml:space="preserve"> pengakuan sebagaimana dilakukan standar pengakuan pendapatan, melainkan hanya membantu menentukan besaran biaya yang diamortisasi tanpa menjelaskan bagaimana dan kapan manfaat aset itu diberikan (Wolk et al., 2017, PDF hlm. 7).</w:t>
      </w:r>
    </w:p>
    <w:p>
      <w:pPr>
        <w:spacing w:lineRule="exact" w:line="360" w:before="0" w:after="120"/>
        <w:jc w:val="both"/>
      </w:pPr>
      <w:r>
        <w:rPr>
          <w:rFonts w:ascii="Times New Roman" w:hAnsi="Times New Roman" w:cs="Times New Roman"/>
          <w:b w:val="0"/>
          <w:i w:val="0"/>
          <w:sz w:val="24"/>
        </w:rPr>
        <w:t xml:space="preserve">Kebutuhan akan alokasi sistematis dan rasional sepanjang banyak periode tidak terhindarkan dalam model akuntansi yang ada, karena model berbasis </w:t>
      </w:r>
      <w:r>
        <w:rPr>
          <w:rFonts w:ascii="Times New Roman" w:hAnsi="Times New Roman" w:cs="Times New Roman"/>
          <w:b/>
          <w:i w:val="0"/>
          <w:sz w:val="24"/>
        </w:rPr>
        <w:t>historical cost</w:t>
      </w:r>
      <w:r>
        <w:rPr>
          <w:rFonts w:ascii="Times New Roman" w:hAnsi="Times New Roman" w:cs="Times New Roman"/>
          <w:b w:val="0"/>
          <w:i w:val="0"/>
          <w:sz w:val="24"/>
        </w:rPr>
        <w:t xml:space="preserve">—berbeda dengan model nilai kini—wajib mengalokasikan biaya yang telah terjadi: penyusutan, amortisasi </w:t>
      </w:r>
      <w:r>
        <w:rPr>
          <w:rFonts w:ascii="Times New Roman" w:hAnsi="Times New Roman" w:cs="Times New Roman"/>
          <w:b w:val="0"/>
          <w:i/>
          <w:sz w:val="24"/>
        </w:rPr>
        <w:t>goodwill</w:t>
      </w:r>
      <w:r>
        <w:rPr>
          <w:rFonts w:ascii="Times New Roman" w:hAnsi="Times New Roman" w:cs="Times New Roman"/>
          <w:b w:val="0"/>
          <w:i w:val="0"/>
          <w:sz w:val="24"/>
        </w:rPr>
        <w:t xml:space="preserve">, amortisasi premium/diskon obligasi, hingga pemilihan metode persediaan (FIFO, LIFO, rata-rata tertimbang) untuk membebankan biaya ke harga pokok penjualan (Wolk et al., 2017, PDF hlm. 8). Di sinilah </w:t>
      </w:r>
      <w:r>
        <w:rPr>
          <w:rFonts w:ascii="Times New Roman" w:hAnsi="Times New Roman" w:cs="Times New Roman"/>
          <w:b/>
          <w:i w:val="0"/>
          <w:sz w:val="24"/>
        </w:rPr>
        <w:t>tesis Thomas</w:t>
      </w:r>
      <w:r>
        <w:rPr>
          <w:rFonts w:ascii="Times New Roman" w:hAnsi="Times New Roman" w:cs="Times New Roman"/>
          <w:b w:val="0"/>
          <w:i w:val="0"/>
          <w:sz w:val="24"/>
        </w:rPr>
        <w:t xml:space="preserve"> menghunjam: setelah studi ekstensif, ia menyimpulkan bahwa pemilihan satu metode alokasi atas alternatif lainnya bersifat </w:t>
      </w:r>
      <w:r>
        <w:rPr>
          <w:rFonts w:ascii="Times New Roman" w:hAnsi="Times New Roman" w:cs="Times New Roman"/>
          <w:b w:val="0"/>
          <w:i/>
          <w:sz w:val="24"/>
        </w:rPr>
        <w:t>meaningless</w:t>
      </w:r>
      <w:r>
        <w:rPr>
          <w:rFonts w:ascii="Times New Roman" w:hAnsi="Times New Roman" w:cs="Times New Roman"/>
          <w:b w:val="0"/>
          <w:i w:val="0"/>
          <w:sz w:val="24"/>
        </w:rPr>
        <w:t xml:space="preserve">, sebab keunggulan satu metode atas yang lain </w:t>
      </w:r>
      <w:r>
        <w:rPr>
          <w:rFonts w:ascii="Times New Roman" w:hAnsi="Times New Roman" w:cs="Times New Roman"/>
          <w:b/>
          <w:i w:val="0"/>
          <w:sz w:val="24"/>
        </w:rPr>
        <w:t>tidak dapat diverifikasi maupun dibantah</w:t>
      </w:r>
      <w:r>
        <w:rPr>
          <w:rFonts w:ascii="Times New Roman" w:hAnsi="Times New Roman" w:cs="Times New Roman"/>
          <w:b w:val="0"/>
          <w:i w:val="0"/>
          <w:sz w:val="24"/>
        </w:rPr>
        <w:t xml:space="preserve"> (</w:t>
      </w:r>
      <w:r>
        <w:rPr>
          <w:rFonts w:ascii="Times New Roman" w:hAnsi="Times New Roman" w:cs="Times New Roman"/>
          <w:b w:val="0"/>
          <w:i/>
          <w:sz w:val="24"/>
        </w:rPr>
        <w:t>can be neither verified nor refuted</w:t>
      </w:r>
      <w:r>
        <w:rPr>
          <w:rFonts w:ascii="Times New Roman" w:hAnsi="Times New Roman" w:cs="Times New Roman"/>
          <w:b w:val="0"/>
          <w:i w:val="0"/>
          <w:sz w:val="24"/>
        </w:rPr>
        <w:t xml:space="preserve">). Tidak dapat dibuktikan secara logis bahwa penyusutan garis lurus lebih tepat daripada metode dipercepat, atau bahwa FIFO lebih tepat daripada LIFO (Wolk et al., 2017, PDF hlm. 8). Karena tidak ada alokasi yang sepenuhnya dapat dipertahankan terhadap metode lain, </w:t>
      </w:r>
      <w:r>
        <w:rPr>
          <w:rFonts w:ascii="Times New Roman" w:hAnsi="Times New Roman" w:cs="Times New Roman"/>
          <w:b/>
          <w:i w:val="0"/>
          <w:sz w:val="24"/>
        </w:rPr>
        <w:t>semua alokasi akuntansi pada akhirnya bersifat arbitrer</w:t>
      </w:r>
      <w:r>
        <w:rPr>
          <w:rFonts w:ascii="Times New Roman" w:hAnsi="Times New Roman" w:cs="Times New Roman"/>
          <w:b w:val="0"/>
          <w:i w:val="0"/>
          <w:sz w:val="24"/>
        </w:rPr>
        <w:t xml:space="preserve">—gagasan yang sangat meresahkan karena menghunjam langsung ke inti logis akuntansi biaya historis. Bagi tema kursus ini, tesis Thomas menggugat klaim reliabilitas yang selama ini menjadi pembenaran utama </w:t>
      </w:r>
      <w:r>
        <w:rPr>
          <w:rFonts w:ascii="Times New Roman" w:hAnsi="Times New Roman" w:cs="Times New Roman"/>
          <w:b w:val="0"/>
          <w:i/>
          <w:sz w:val="24"/>
        </w:rPr>
        <w:t>historical cost</w:t>
      </w:r>
      <w:r>
        <w:rPr>
          <w:rFonts w:ascii="Times New Roman" w:hAnsi="Times New Roman" w:cs="Times New Roman"/>
          <w:b w:val="0"/>
          <w:i w:val="0"/>
          <w:sz w:val="24"/>
        </w:rPr>
        <w:t>: jika angka yang dihasilkan bersandar pada pilihan yang arbitrer, klaim objektivitasnya menjadi rapuh.</w:t>
      </w:r>
    </w:p>
    <w:p>
      <w:pPr>
        <w:spacing w:lineRule="exact" w:line="360" w:before="0" w:after="120"/>
        <w:jc w:val="both"/>
      </w:pPr>
      <w:r>
        <w:rPr>
          <w:rFonts w:ascii="Times New Roman" w:hAnsi="Times New Roman" w:cs="Times New Roman"/>
          <w:b w:val="0"/>
          <w:i w:val="0"/>
          <w:sz w:val="24"/>
        </w:rPr>
        <w:t xml:space="preserve">Konsekuensi logisnya, sebagian pihak mengadvokasi laporan keuangan </w:t>
      </w:r>
      <w:r>
        <w:rPr>
          <w:rFonts w:ascii="Times New Roman" w:hAnsi="Times New Roman" w:cs="Times New Roman"/>
          <w:b/>
          <w:i w:val="0"/>
          <w:sz w:val="24"/>
        </w:rPr>
        <w:t>bebas alokasi</w:t>
      </w:r>
      <w:r>
        <w:rPr>
          <w:rFonts w:ascii="Times New Roman" w:hAnsi="Times New Roman" w:cs="Times New Roman"/>
          <w:b w:val="0"/>
          <w:i w:val="0"/>
          <w:sz w:val="24"/>
        </w:rPr>
        <w:t xml:space="preserve"> (</w:t>
      </w:r>
      <w:r>
        <w:rPr>
          <w:rFonts w:ascii="Times New Roman" w:hAnsi="Times New Roman" w:cs="Times New Roman"/>
          <w:b w:val="0"/>
          <w:i/>
          <w:sz w:val="24"/>
        </w:rPr>
        <w:t>allocation-free</w:t>
      </w:r>
      <w:r>
        <w:rPr>
          <w:rFonts w:ascii="Times New Roman" w:hAnsi="Times New Roman" w:cs="Times New Roman"/>
          <w:b w:val="0"/>
          <w:i w:val="0"/>
          <w:sz w:val="24"/>
        </w:rPr>
        <w:t xml:space="preserve">) sebagai cara melaporkan informasi yang lebih berguna—dicapai melalui </w:t>
      </w:r>
      <w:r>
        <w:rPr>
          <w:rFonts w:ascii="Times New Roman" w:hAnsi="Times New Roman" w:cs="Times New Roman"/>
          <w:b/>
          <w:i w:val="0"/>
          <w:sz w:val="24"/>
        </w:rPr>
        <w:t>laporan arus kas</w:t>
      </w:r>
      <w:r>
        <w:rPr>
          <w:rFonts w:ascii="Times New Roman" w:hAnsi="Times New Roman" w:cs="Times New Roman"/>
          <w:b w:val="0"/>
          <w:i w:val="0"/>
          <w:sz w:val="24"/>
        </w:rPr>
        <w:t xml:space="preserve"> (</w:t>
      </w:r>
      <w:r>
        <w:rPr>
          <w:rFonts w:ascii="Times New Roman" w:hAnsi="Times New Roman" w:cs="Times New Roman"/>
          <w:b w:val="0"/>
          <w:i/>
          <w:sz w:val="24"/>
        </w:rPr>
        <w:t>cash flow statements</w:t>
      </w:r>
      <w:r>
        <w:rPr>
          <w:rFonts w:ascii="Times New Roman" w:hAnsi="Times New Roman" w:cs="Times New Roman"/>
          <w:b w:val="0"/>
          <w:i w:val="0"/>
          <w:sz w:val="24"/>
        </w:rPr>
        <w:t xml:space="preserve">), </w:t>
      </w:r>
      <w:r>
        <w:rPr>
          <w:rFonts w:ascii="Times New Roman" w:hAnsi="Times New Roman" w:cs="Times New Roman"/>
          <w:b/>
          <w:i w:val="0"/>
          <w:sz w:val="24"/>
        </w:rPr>
        <w:t>sistem harga keluar</w:t>
      </w:r>
      <w:r>
        <w:rPr>
          <w:rFonts w:ascii="Times New Roman" w:hAnsi="Times New Roman" w:cs="Times New Roman"/>
          <w:b w:val="0"/>
          <w:i w:val="0"/>
          <w:sz w:val="24"/>
        </w:rPr>
        <w:t xml:space="preserve"> (</w:t>
      </w:r>
      <w:r>
        <w:rPr>
          <w:rFonts w:ascii="Times New Roman" w:hAnsi="Times New Roman" w:cs="Times New Roman"/>
          <w:b w:val="0"/>
          <w:i/>
          <w:sz w:val="24"/>
        </w:rPr>
        <w:t>exit-price systems</w:t>
      </w:r>
      <w:r>
        <w:rPr>
          <w:rFonts w:ascii="Times New Roman" w:hAnsi="Times New Roman" w:cs="Times New Roman"/>
          <w:b w:val="0"/>
          <w:i w:val="0"/>
          <w:sz w:val="24"/>
        </w:rPr>
        <w:t xml:space="preserve">), dan jenis tertentu </w:t>
      </w:r>
      <w:r>
        <w:rPr>
          <w:rFonts w:ascii="Times New Roman" w:hAnsi="Times New Roman" w:cs="Times New Roman"/>
          <w:b/>
          <w:i w:val="0"/>
          <w:sz w:val="24"/>
        </w:rPr>
        <w:t>sistem biaya pengganti</w:t>
      </w:r>
      <w:r>
        <w:rPr>
          <w:rFonts w:ascii="Times New Roman" w:hAnsi="Times New Roman" w:cs="Times New Roman"/>
          <w:b w:val="0"/>
          <w:i w:val="0"/>
          <w:sz w:val="24"/>
        </w:rPr>
        <w:t xml:space="preserve"> (</w:t>
      </w:r>
      <w:r>
        <w:rPr>
          <w:rFonts w:ascii="Times New Roman" w:hAnsi="Times New Roman" w:cs="Times New Roman"/>
          <w:b w:val="0"/>
          <w:i/>
          <w:sz w:val="24"/>
        </w:rPr>
        <w:t>replacement-cost systems</w:t>
      </w:r>
      <w:r>
        <w:rPr>
          <w:rFonts w:ascii="Times New Roman" w:hAnsi="Times New Roman" w:cs="Times New Roman"/>
          <w:b w:val="0"/>
          <w:i w:val="0"/>
          <w:sz w:val="24"/>
        </w:rPr>
        <w:t xml:space="preserve">) yang menghindari kebutuhan mengalokasikan biaya historis sama sekali (Wolk et al., 2017, PDF hlm. 8). Namun terdapat sanggahan empiris yang menyeimbangkan kritik deduktif ini: meskipun alokasi bersifat arbitrer, angka laba yang memuat alokasi tersebut tetap memiliki </w:t>
      </w:r>
      <w:r>
        <w:rPr>
          <w:rFonts w:ascii="Times New Roman" w:hAnsi="Times New Roman" w:cs="Times New Roman"/>
          <w:b/>
          <w:i w:val="0"/>
          <w:sz w:val="24"/>
        </w:rPr>
        <w:t>kandungan informasi</w:t>
      </w:r>
      <w:r>
        <w:rPr>
          <w:rFonts w:ascii="Times New Roman" w:hAnsi="Times New Roman" w:cs="Times New Roman"/>
          <w:b w:val="0"/>
          <w:i w:val="0"/>
          <w:sz w:val="24"/>
        </w:rPr>
        <w:t xml:space="preserve"> (</w:t>
      </w:r>
      <w:r>
        <w:rPr>
          <w:rFonts w:ascii="Times New Roman" w:hAnsi="Times New Roman" w:cs="Times New Roman"/>
          <w:b w:val="0"/>
          <w:i/>
          <w:sz w:val="24"/>
        </w:rPr>
        <w:t>information content</w:t>
      </w:r>
      <w:r>
        <w:rPr>
          <w:rFonts w:ascii="Times New Roman" w:hAnsi="Times New Roman" w:cs="Times New Roman"/>
          <w:b w:val="0"/>
          <w:i w:val="0"/>
          <w:sz w:val="24"/>
        </w:rPr>
        <w:t>) bagi pengguna eksternal. Bukti dari riset pasar modal (</w:t>
      </w:r>
      <w:r>
        <w:rPr>
          <w:rFonts w:ascii="Times New Roman" w:hAnsi="Times New Roman" w:cs="Times New Roman"/>
          <w:b w:val="0"/>
          <w:i/>
          <w:sz w:val="24"/>
        </w:rPr>
        <w:t>capital market research</w:t>
      </w:r>
      <w:r>
        <w:rPr>
          <w:rFonts w:ascii="Times New Roman" w:hAnsi="Times New Roman" w:cs="Times New Roman"/>
          <w:b w:val="0"/>
          <w:i w:val="0"/>
          <w:sz w:val="24"/>
        </w:rPr>
        <w:t xml:space="preserve">) yang dibahas pada Bab 8 menunjukkan dengan kuat bahwa kegunaan informasi akuntansi adalah persoalan empiris yang melampaui logika deduktif masalah alokasi (Wolk et al., 2017, PDF hlm. 8). Dengan kata lain, ketakterpertahankan logis suatu metode tidak otomatis meniadakan nilai prediktifnya di pasar—sebuah rekonsiliasi antara kritik teoretis dan realitas pasar yang menjadi ciri khas pendekatan kursus ini. Setelah memetakan kerangka pengakuan pendapatan dan beban beserta keterbatasannya, kita beralih ke peran </w:t>
      </w:r>
      <w:r>
        <w:rPr>
          <w:rFonts w:ascii="Times New Roman" w:hAnsi="Times New Roman" w:cs="Times New Roman"/>
          <w:b/>
          <w:i w:val="0"/>
          <w:sz w:val="24"/>
        </w:rPr>
        <w:t>peristiwa masa depan</w:t>
      </w:r>
      <w:r>
        <w:rPr>
          <w:rFonts w:ascii="Times New Roman" w:hAnsi="Times New Roman" w:cs="Times New Roman"/>
          <w:b w:val="0"/>
          <w:i w:val="0"/>
          <w:sz w:val="24"/>
        </w:rPr>
        <w:t xml:space="preserve"> (</w:t>
      </w:r>
      <w:r>
        <w:rPr>
          <w:rFonts w:ascii="Times New Roman" w:hAnsi="Times New Roman" w:cs="Times New Roman"/>
          <w:b w:val="0"/>
          <w:i/>
          <w:sz w:val="24"/>
        </w:rPr>
        <w:t>future events</w:t>
      </w:r>
      <w:r>
        <w:rPr>
          <w:rFonts w:ascii="Times New Roman" w:hAnsi="Times New Roman" w:cs="Times New Roman"/>
          <w:b w:val="0"/>
          <w:i w:val="0"/>
          <w:sz w:val="24"/>
        </w:rPr>
        <w:t>) dalam pengakuan, yang menjadi pokok Bagian V.</w:t>
      </w:r>
    </w:p>
    <w:p>
      <w:pPr>
        <w:spacing w:lineRule="exact" w:line="360" w:before="240" w:after="120"/>
        <w:jc w:val="left"/>
      </w:pPr>
      <w:r>
        <w:rPr>
          <w:rFonts w:ascii="Times New Roman" w:hAnsi="Times New Roman" w:cs="Times New Roman"/>
          <w:b/>
          <w:i w:val="0"/>
          <w:sz w:val="26"/>
        </w:rPr>
        <w:t>V. Future Events dan Pengakuan Akuntansi</w:t>
      </w:r>
    </w:p>
    <w:p>
      <w:pPr>
        <w:spacing w:lineRule="exact" w:line="360" w:before="0" w:after="120"/>
        <w:jc w:val="both"/>
      </w:pPr>
      <w:r>
        <w:rPr>
          <w:rFonts w:ascii="Times New Roman" w:hAnsi="Times New Roman" w:cs="Times New Roman"/>
          <w:b w:val="0"/>
          <w:i w:val="0"/>
          <w:sz w:val="24"/>
        </w:rPr>
        <w:t xml:space="preserve">Proses pelaporan akuntansi berpijak pada pencatatan peristiwa yang telah terjadi, namun pencatatan peristiwa masa lalu itu sesungguhnya sangat bergantung pada penafsiran kita atas </w:t>
      </w:r>
      <w:r>
        <w:rPr>
          <w:rFonts w:ascii="Times New Roman" w:hAnsi="Times New Roman" w:cs="Times New Roman"/>
          <w:b/>
          <w:i w:val="0"/>
          <w:sz w:val="24"/>
        </w:rPr>
        <w:t>peristiwa masa depan</w:t>
      </w:r>
      <w:r>
        <w:rPr>
          <w:rFonts w:ascii="Times New Roman" w:hAnsi="Times New Roman" w:cs="Times New Roman"/>
          <w:b w:val="0"/>
          <w:i w:val="0"/>
          <w:sz w:val="24"/>
        </w:rPr>
        <w:t xml:space="preserve"> (</w:t>
      </w:r>
      <w:r>
        <w:rPr>
          <w:rFonts w:ascii="Times New Roman" w:hAnsi="Times New Roman" w:cs="Times New Roman"/>
          <w:b w:val="0"/>
          <w:i/>
          <w:sz w:val="24"/>
        </w:rPr>
        <w:t>future events</w:t>
      </w:r>
      <w:r>
        <w:rPr>
          <w:rFonts w:ascii="Times New Roman" w:hAnsi="Times New Roman" w:cs="Times New Roman"/>
          <w:b w:val="0"/>
          <w:i w:val="0"/>
          <w:sz w:val="24"/>
        </w:rPr>
        <w:t xml:space="preserve">)—apakah peristiwa tertentu akan terjadi atau tidak. Setiap </w:t>
      </w:r>
      <w:r>
        <w:rPr>
          <w:rFonts w:ascii="Times New Roman" w:hAnsi="Times New Roman" w:cs="Times New Roman"/>
          <w:b/>
          <w:i w:val="0"/>
          <w:sz w:val="24"/>
        </w:rPr>
        <w:t>akrual</w:t>
      </w:r>
      <w:r>
        <w:rPr>
          <w:rFonts w:ascii="Times New Roman" w:hAnsi="Times New Roman" w:cs="Times New Roman"/>
          <w:b w:val="0"/>
          <w:i w:val="0"/>
          <w:sz w:val="24"/>
        </w:rPr>
        <w:t xml:space="preserve"> (</w:t>
      </w:r>
      <w:r>
        <w:rPr>
          <w:rFonts w:ascii="Times New Roman" w:hAnsi="Times New Roman" w:cs="Times New Roman"/>
          <w:b w:val="0"/>
          <w:i/>
          <w:sz w:val="24"/>
        </w:rPr>
        <w:t>accrual</w:t>
      </w:r>
      <w:r>
        <w:rPr>
          <w:rFonts w:ascii="Times New Roman" w:hAnsi="Times New Roman" w:cs="Times New Roman"/>
          <w:b w:val="0"/>
          <w:i w:val="0"/>
          <w:sz w:val="24"/>
        </w:rPr>
        <w:t xml:space="preserve">) dan </w:t>
      </w:r>
      <w:r>
        <w:rPr>
          <w:rFonts w:ascii="Times New Roman" w:hAnsi="Times New Roman" w:cs="Times New Roman"/>
          <w:b/>
          <w:i w:val="0"/>
          <w:sz w:val="24"/>
        </w:rPr>
        <w:t>penangguhan</w:t>
      </w:r>
      <w:r>
        <w:rPr>
          <w:rFonts w:ascii="Times New Roman" w:hAnsi="Times New Roman" w:cs="Times New Roman"/>
          <w:b w:val="0"/>
          <w:i w:val="0"/>
          <w:sz w:val="24"/>
        </w:rPr>
        <w:t xml:space="preserve"> (</w:t>
      </w:r>
      <w:r>
        <w:rPr>
          <w:rFonts w:ascii="Times New Roman" w:hAnsi="Times New Roman" w:cs="Times New Roman"/>
          <w:b w:val="0"/>
          <w:i/>
          <w:sz w:val="24"/>
        </w:rPr>
        <w:t>deferral</w:t>
      </w:r>
      <w:r>
        <w:rPr>
          <w:rFonts w:ascii="Times New Roman" w:hAnsi="Times New Roman" w:cs="Times New Roman"/>
          <w:b w:val="0"/>
          <w:i w:val="0"/>
          <w:sz w:val="24"/>
        </w:rPr>
        <w:t xml:space="preserve">) bergantung, dalam derajat yang berbeda-beda, pada peristiwa masa depan. Perhitungan penyusutan, misalnya, bergantung pada taksiran umur ekonomis aset dan nilai sisa yang diharapkan; bahkan pencatatan perolehan aset tetap secara implisit mengandaikan bahwa biayanya akan terpulihkan dari operasi yang menguntungkan di masa depan (Wolk et al., 2017, PDF hlm. 8). Titik tolak yang baik untuk memahami persoalan ini adalah definisi aset dan liabilitas dalam </w:t>
      </w:r>
      <w:r>
        <w:rPr>
          <w:rFonts w:ascii="Times New Roman" w:hAnsi="Times New Roman" w:cs="Times New Roman"/>
          <w:b/>
          <w:i w:val="0"/>
          <w:sz w:val="24"/>
        </w:rPr>
        <w:t>SFAC No. 6</w:t>
      </w:r>
      <w:r>
        <w:rPr>
          <w:rFonts w:ascii="Times New Roman" w:hAnsi="Times New Roman" w:cs="Times New Roman"/>
          <w:b w:val="0"/>
          <w:i w:val="0"/>
          <w:sz w:val="24"/>
        </w:rPr>
        <w:t xml:space="preserve">: aset didefinisikan sebagai pengendalian yang berasal dari transaksi masa lalu yang menghasilkan manfaat ekonomi masa depan, sementara liabilitas adalah kewajiban dari transaksi masa lalu yang menuntut pengorbanan sumber daya di masa depan. Kedua definisi itu secara praktis berimbang antara masa lalu dan masa depan, dan keseimbangan serupa dijumpai pula pada definisi yang dirumuskan IASB serta badan penyusun standar di Inggris, Australia, dan Kanada (Wolk et al., 2017, PDF hlm. 8). Karena perlakuan atas peristiwa masa depan belum tersistematisasi dengan baik, badan-badan penyusun standar nasional dan internasional mulai mengkajinya secara serius pada </w:t>
      </w:r>
      <w:r>
        <w:rPr>
          <w:rFonts w:ascii="Times New Roman" w:hAnsi="Times New Roman" w:cs="Times New Roman"/>
          <w:b/>
          <w:i w:val="0"/>
          <w:sz w:val="24"/>
        </w:rPr>
        <w:t>konferensi 1994</w:t>
      </w:r>
      <w:r>
        <w:rPr>
          <w:rFonts w:ascii="Times New Roman" w:hAnsi="Times New Roman" w:cs="Times New Roman"/>
          <w:b w:val="0"/>
          <w:i w:val="0"/>
          <w:sz w:val="24"/>
        </w:rPr>
        <w:t xml:space="preserve"> (Wolk et al., 2017, PDF hlm. 9).</w:t>
      </w:r>
    </w:p>
    <w:p>
      <w:pPr>
        <w:spacing w:lineRule="exact" w:line="360" w:before="0" w:after="120"/>
        <w:jc w:val="both"/>
      </w:pPr>
      <w:r>
        <w:rPr>
          <w:rFonts w:ascii="Times New Roman" w:hAnsi="Times New Roman" w:cs="Times New Roman"/>
          <w:b w:val="0"/>
          <w:i w:val="0"/>
          <w:sz w:val="24"/>
        </w:rPr>
        <w:t xml:space="preserve">Salah satu titik perdebatan adalah persepsi atas peristiwa masa lalu, yang kadang diatur oleh dianutnya </w:t>
      </w:r>
      <w:r>
        <w:rPr>
          <w:rFonts w:ascii="Times New Roman" w:hAnsi="Times New Roman" w:cs="Times New Roman"/>
          <w:b/>
          <w:i w:val="0"/>
          <w:sz w:val="24"/>
        </w:rPr>
        <w:t>pandangan satu peristiwa</w:t>
      </w:r>
      <w:r>
        <w:rPr>
          <w:rFonts w:ascii="Times New Roman" w:hAnsi="Times New Roman" w:cs="Times New Roman"/>
          <w:b w:val="0"/>
          <w:i w:val="0"/>
          <w:sz w:val="24"/>
        </w:rPr>
        <w:t xml:space="preserve"> (</w:t>
      </w:r>
      <w:r>
        <w:rPr>
          <w:rFonts w:ascii="Times New Roman" w:hAnsi="Times New Roman" w:cs="Times New Roman"/>
          <w:b w:val="0"/>
          <w:i/>
          <w:sz w:val="24"/>
        </w:rPr>
        <w:t>one-event view</w:t>
      </w:r>
      <w:r>
        <w:rPr>
          <w:rFonts w:ascii="Times New Roman" w:hAnsi="Times New Roman" w:cs="Times New Roman"/>
          <w:b w:val="0"/>
          <w:i w:val="0"/>
          <w:sz w:val="24"/>
        </w:rPr>
        <w:t xml:space="preserve">) atau </w:t>
      </w:r>
      <w:r>
        <w:rPr>
          <w:rFonts w:ascii="Times New Roman" w:hAnsi="Times New Roman" w:cs="Times New Roman"/>
          <w:b/>
          <w:i w:val="0"/>
          <w:sz w:val="24"/>
        </w:rPr>
        <w:t>pandangan dua peristiwa</w:t>
      </w:r>
      <w:r>
        <w:rPr>
          <w:rFonts w:ascii="Times New Roman" w:hAnsi="Times New Roman" w:cs="Times New Roman"/>
          <w:b w:val="0"/>
          <w:i w:val="0"/>
          <w:sz w:val="24"/>
        </w:rPr>
        <w:t xml:space="preserve"> (</w:t>
      </w:r>
      <w:r>
        <w:rPr>
          <w:rFonts w:ascii="Times New Roman" w:hAnsi="Times New Roman" w:cs="Times New Roman"/>
          <w:b w:val="0"/>
          <w:i/>
          <w:sz w:val="24"/>
        </w:rPr>
        <w:t>two-event view</w:t>
      </w:r>
      <w:r>
        <w:rPr>
          <w:rFonts w:ascii="Times New Roman" w:hAnsi="Times New Roman" w:cs="Times New Roman"/>
          <w:b w:val="0"/>
          <w:i w:val="0"/>
          <w:sz w:val="24"/>
        </w:rPr>
        <w:t>). Ambil contoh pemberi kerja yang menawarkan insentif pensiun dini: penganut pandangan satu peristiwa mengakui transaksi saat penawaran dibuat dan karenanya sangat bergantung pada estimasi probabilistik atas tingkat penerimaan tawaran, sedangkan penganut pandangan dua peristiwa baru mengakui liabilitas ketika karyawan benar-benar menerima tawaran—lebih lambat dan lebih sedikit bergantung pada estimasi probabilistik. Keduanya konsisten dengan pandangan aset dan liabilitas SFAC No. 6 (Wolk et al., 2017, PDF hlm. 9).</w:t>
      </w:r>
    </w:p>
    <w:p>
      <w:pPr>
        <w:spacing w:before="120" w:after="120"/>
        <w:jc w:val="center"/>
      </w:pPr>
      <w:r>
        <w:drawing>
          <wp:inline xmlns:a="http://schemas.openxmlformats.org/drawingml/2006/main" xmlns:pic="http://schemas.openxmlformats.org/drawingml/2006/picture">
            <wp:extent cx="5220000" cy="2195327"/>
            <wp:docPr id="3" name="Picture 3"/>
            <wp:cNvGraphicFramePr>
              <a:graphicFrameLocks noChangeAspect="1"/>
            </wp:cNvGraphicFramePr>
            <a:graphic>
              <a:graphicData uri="http://schemas.openxmlformats.org/drawingml/2006/picture">
                <pic:pic>
                  <pic:nvPicPr>
                    <pic:cNvPr id="0" name="gambar3_future_events.png"/>
                    <pic:cNvPicPr/>
                  </pic:nvPicPr>
                  <pic:blipFill>
                    <a:blip r:embed="rId12"/>
                    <a:stretch>
                      <a:fillRect/>
                    </a:stretch>
                  </pic:blipFill>
                  <pic:spPr>
                    <a:xfrm>
                      <a:off x="0" y="0"/>
                      <a:ext cx="5220000" cy="2195327"/>
                    </a:xfrm>
                    <a:prstGeom prst="rect"/>
                  </pic:spPr>
                </pic:pic>
              </a:graphicData>
            </a:graphic>
          </wp:inline>
        </w:drawing>
      </w:r>
    </w:p>
    <w:p>
      <w:pPr>
        <w:spacing w:lineRule="exact" w:line="360" w:before="0" w:after="0"/>
        <w:jc w:val="center"/>
      </w:pPr>
      <w:r>
        <w:rPr>
          <w:rFonts w:ascii="Times New Roman" w:hAnsi="Times New Roman" w:cs="Times New Roman"/>
          <w:b/>
          <w:i w:val="0"/>
          <w:sz w:val="22"/>
        </w:rPr>
        <w:t xml:space="preserve">Gambar 3. </w:t>
      </w:r>
      <w:r>
        <w:rPr>
          <w:rFonts w:ascii="Times New Roman" w:hAnsi="Times New Roman" w:cs="Times New Roman"/>
          <w:b w:val="0"/>
          <w:i w:val="0"/>
          <w:sz w:val="22"/>
        </w:rPr>
        <w:t>Peta isu future events dalam pengakuan akuntansi</w:t>
      </w:r>
    </w:p>
    <w:p>
      <w:pPr>
        <w:spacing w:lineRule="exact" w:line="360" w:before="0" w:after="240"/>
        <w:jc w:val="center"/>
      </w:pPr>
      <w:r>
        <w:rPr>
          <w:rFonts w:ascii="Times New Roman" w:hAnsi="Times New Roman" w:cs="Times New Roman"/>
          <w:b w:val="0"/>
          <w:i/>
          <w:sz w:val="22"/>
        </w:rPr>
        <w:t>Sumber: diolah dari Wolk et al. (2017), PDF hlm. 8–11</w:t>
      </w:r>
    </w:p>
    <w:p>
      <w:pPr>
        <w:spacing w:lineRule="exact" w:line="360" w:before="0" w:after="120"/>
        <w:jc w:val="both"/>
      </w:pPr>
      <w:r>
        <w:rPr>
          <w:rFonts w:ascii="Times New Roman" w:hAnsi="Times New Roman" w:cs="Times New Roman"/>
          <w:b w:val="0"/>
          <w:i w:val="0"/>
          <w:sz w:val="24"/>
        </w:rPr>
        <w:t xml:space="preserve">Persoalan inti yang melandasi seluruh isu ini adalah </w:t>
      </w:r>
      <w:r>
        <w:rPr>
          <w:rFonts w:ascii="Times New Roman" w:hAnsi="Times New Roman" w:cs="Times New Roman"/>
          <w:b/>
          <w:i w:val="0"/>
          <w:sz w:val="24"/>
        </w:rPr>
        <w:t>sifat probabilistik</w:t>
      </w:r>
      <w:r>
        <w:rPr>
          <w:rFonts w:ascii="Times New Roman" w:hAnsi="Times New Roman" w:cs="Times New Roman"/>
          <w:b w:val="0"/>
          <w:i w:val="0"/>
          <w:sz w:val="24"/>
        </w:rPr>
        <w:t xml:space="preserve"> peristiwa masa depan. </w:t>
      </w:r>
      <w:r>
        <w:rPr>
          <w:rFonts w:ascii="Times New Roman" w:hAnsi="Times New Roman" w:cs="Times New Roman"/>
          <w:b/>
          <w:i w:val="0"/>
          <w:sz w:val="24"/>
        </w:rPr>
        <w:t>SFAS No. 5</w:t>
      </w:r>
      <w:r>
        <w:rPr>
          <w:rFonts w:ascii="Times New Roman" w:hAnsi="Times New Roman" w:cs="Times New Roman"/>
          <w:b w:val="0"/>
          <w:i w:val="0"/>
          <w:sz w:val="24"/>
        </w:rPr>
        <w:t xml:space="preserve"> atas </w:t>
      </w:r>
      <w:r>
        <w:rPr>
          <w:rFonts w:ascii="Times New Roman" w:hAnsi="Times New Roman" w:cs="Times New Roman"/>
          <w:b w:val="0"/>
          <w:i/>
          <w:sz w:val="24"/>
        </w:rPr>
        <w:t>loss contingencies</w:t>
      </w:r>
      <w:r>
        <w:rPr>
          <w:rFonts w:ascii="Times New Roman" w:hAnsi="Times New Roman" w:cs="Times New Roman"/>
          <w:b w:val="0"/>
          <w:i w:val="0"/>
          <w:sz w:val="24"/>
        </w:rPr>
        <w:t xml:space="preserve"> menggambarkannya dengan gradasi </w:t>
      </w:r>
      <w:r>
        <w:rPr>
          <w:rFonts w:ascii="Times New Roman" w:hAnsi="Times New Roman" w:cs="Times New Roman"/>
          <w:b w:val="0"/>
          <w:i/>
          <w:sz w:val="24"/>
        </w:rPr>
        <w:t>probable</w:t>
      </w:r>
      <w:r>
        <w:rPr>
          <w:rFonts w:ascii="Times New Roman" w:hAnsi="Times New Roman" w:cs="Times New Roman"/>
          <w:b w:val="0"/>
          <w:i w:val="0"/>
          <w:sz w:val="24"/>
        </w:rPr>
        <w:t xml:space="preserve"> (di atas 50%), </w:t>
      </w:r>
      <w:r>
        <w:rPr>
          <w:rFonts w:ascii="Times New Roman" w:hAnsi="Times New Roman" w:cs="Times New Roman"/>
          <w:b w:val="0"/>
          <w:i/>
          <w:sz w:val="24"/>
        </w:rPr>
        <w:t>reasonably possible</w:t>
      </w:r>
      <w:r>
        <w:rPr>
          <w:rFonts w:ascii="Times New Roman" w:hAnsi="Times New Roman" w:cs="Times New Roman"/>
          <w:b w:val="0"/>
          <w:i w:val="0"/>
          <w:sz w:val="24"/>
        </w:rPr>
        <w:t xml:space="preserve">, dan </w:t>
      </w:r>
      <w:r>
        <w:rPr>
          <w:rFonts w:ascii="Times New Roman" w:hAnsi="Times New Roman" w:cs="Times New Roman"/>
          <w:b w:val="0"/>
          <w:i/>
          <w:sz w:val="24"/>
        </w:rPr>
        <w:t>remote</w:t>
      </w:r>
      <w:r>
        <w:rPr>
          <w:rFonts w:ascii="Times New Roman" w:hAnsi="Times New Roman" w:cs="Times New Roman"/>
          <w:b w:val="0"/>
          <w:i w:val="0"/>
          <w:sz w:val="24"/>
        </w:rPr>
        <w:t xml:space="preserve">. Konferensi penyusun standar turut menelaah tiga pendekatan pengakuan: </w:t>
      </w:r>
      <w:r>
        <w:rPr>
          <w:rFonts w:ascii="Times New Roman" w:hAnsi="Times New Roman" w:cs="Times New Roman"/>
          <w:b/>
          <w:i w:val="0"/>
          <w:sz w:val="24"/>
        </w:rPr>
        <w:t>pendekatan modal</w:t>
      </w:r>
      <w:r>
        <w:rPr>
          <w:rFonts w:ascii="Times New Roman" w:hAnsi="Times New Roman" w:cs="Times New Roman"/>
          <w:b w:val="0"/>
          <w:i w:val="0"/>
          <w:sz w:val="24"/>
        </w:rPr>
        <w:t xml:space="preserve"> (</w:t>
      </w:r>
      <w:r>
        <w:rPr>
          <w:rFonts w:ascii="Times New Roman" w:hAnsi="Times New Roman" w:cs="Times New Roman"/>
          <w:b w:val="0"/>
          <w:i/>
          <w:sz w:val="24"/>
        </w:rPr>
        <w:t>modal</w:t>
      </w:r>
      <w:r>
        <w:rPr>
          <w:rFonts w:ascii="Times New Roman" w:hAnsi="Times New Roman" w:cs="Times New Roman"/>
          <w:b w:val="0"/>
          <w:i w:val="0"/>
          <w:sz w:val="24"/>
        </w:rPr>
        <w:t xml:space="preserve">, peristiwa tunggal yang paling mungkin terjadi), </w:t>
      </w:r>
      <w:r>
        <w:rPr>
          <w:rFonts w:ascii="Times New Roman" w:hAnsi="Times New Roman" w:cs="Times New Roman"/>
          <w:b/>
          <w:i w:val="0"/>
          <w:sz w:val="24"/>
        </w:rPr>
        <w:t>pendekatan probabilitas tertimbang</w:t>
      </w:r>
      <w:r>
        <w:rPr>
          <w:rFonts w:ascii="Times New Roman" w:hAnsi="Times New Roman" w:cs="Times New Roman"/>
          <w:b w:val="0"/>
          <w:i w:val="0"/>
          <w:sz w:val="24"/>
        </w:rPr>
        <w:t xml:space="preserve"> (</w:t>
      </w:r>
      <w:r>
        <w:rPr>
          <w:rFonts w:ascii="Times New Roman" w:hAnsi="Times New Roman" w:cs="Times New Roman"/>
          <w:b w:val="0"/>
          <w:i/>
          <w:sz w:val="24"/>
        </w:rPr>
        <w:t>weighted probability</w:t>
      </w:r>
      <w:r>
        <w:rPr>
          <w:rFonts w:ascii="Times New Roman" w:hAnsi="Times New Roman" w:cs="Times New Roman"/>
          <w:b w:val="0"/>
          <w:i w:val="0"/>
          <w:sz w:val="24"/>
        </w:rPr>
        <w:t xml:space="preserve">, jumlah hasil dikalikan probabilitasnya masing-masing), serta </w:t>
      </w:r>
      <w:r>
        <w:rPr>
          <w:rFonts w:ascii="Times New Roman" w:hAnsi="Times New Roman" w:cs="Times New Roman"/>
          <w:b/>
          <w:i w:val="0"/>
          <w:sz w:val="24"/>
        </w:rPr>
        <w:t>pendekatan probabilitas kumulatif</w:t>
      </w:r>
      <w:r>
        <w:rPr>
          <w:rFonts w:ascii="Times New Roman" w:hAnsi="Times New Roman" w:cs="Times New Roman"/>
          <w:b w:val="0"/>
          <w:i w:val="0"/>
          <w:sz w:val="24"/>
        </w:rPr>
        <w:t xml:space="preserve"> (</w:t>
      </w:r>
      <w:r>
        <w:rPr>
          <w:rFonts w:ascii="Times New Roman" w:hAnsi="Times New Roman" w:cs="Times New Roman"/>
          <w:b w:val="0"/>
          <w:i/>
          <w:sz w:val="24"/>
        </w:rPr>
        <w:t>cumulative probability</w:t>
      </w:r>
      <w:r>
        <w:rPr>
          <w:rFonts w:ascii="Times New Roman" w:hAnsi="Times New Roman" w:cs="Times New Roman"/>
          <w:b w:val="0"/>
          <w:i w:val="0"/>
          <w:sz w:val="24"/>
        </w:rPr>
        <w:t xml:space="preserve">) yang menggabungkan seluruh hasil sukses dan membandingkannya dengan hasil gagal, lalu memilih jika kombinasi tersebut melampaui 50% (Wolk et al., 2017, PDF hlm. 9). Yang penting dicatat, </w:t>
      </w:r>
      <w:r>
        <w:rPr>
          <w:rFonts w:ascii="Times New Roman" w:hAnsi="Times New Roman" w:cs="Times New Roman"/>
          <w:b/>
          <w:i w:val="0"/>
          <w:sz w:val="24"/>
        </w:rPr>
        <w:t>maksud manajemen</w:t>
      </w:r>
      <w:r>
        <w:rPr>
          <w:rFonts w:ascii="Times New Roman" w:hAnsi="Times New Roman" w:cs="Times New Roman"/>
          <w:b w:val="0"/>
          <w:i w:val="0"/>
          <w:sz w:val="24"/>
        </w:rPr>
        <w:t xml:space="preserve"> (</w:t>
      </w:r>
      <w:r>
        <w:rPr>
          <w:rFonts w:ascii="Times New Roman" w:hAnsi="Times New Roman" w:cs="Times New Roman"/>
          <w:b w:val="0"/>
          <w:i/>
          <w:sz w:val="24"/>
        </w:rPr>
        <w:t>management intent</w:t>
      </w:r>
      <w:r>
        <w:rPr>
          <w:rFonts w:ascii="Times New Roman" w:hAnsi="Times New Roman" w:cs="Times New Roman"/>
          <w:b w:val="0"/>
          <w:i w:val="0"/>
          <w:sz w:val="24"/>
        </w:rPr>
        <w:t xml:space="preserve">) ditolak sebagai basis pengakuan: maksud dapat berubah dan penafsirannya rawan pertimbangan </w:t>
      </w:r>
      <w:r>
        <w:rPr>
          <w:rFonts w:ascii="Times New Roman" w:hAnsi="Times New Roman" w:cs="Times New Roman"/>
          <w:b/>
          <w:i w:val="0"/>
          <w:sz w:val="24"/>
        </w:rPr>
        <w:t>teori keagenan</w:t>
      </w:r>
      <w:r>
        <w:rPr>
          <w:rFonts w:ascii="Times New Roman" w:hAnsi="Times New Roman" w:cs="Times New Roman"/>
          <w:b w:val="0"/>
          <w:i w:val="0"/>
          <w:sz w:val="24"/>
        </w:rPr>
        <w:t xml:space="preserve"> (</w:t>
      </w:r>
      <w:r>
        <w:rPr>
          <w:rFonts w:ascii="Times New Roman" w:hAnsi="Times New Roman" w:cs="Times New Roman"/>
          <w:b w:val="0"/>
          <w:i/>
          <w:sz w:val="24"/>
        </w:rPr>
        <w:t>agency theory</w:t>
      </w:r>
      <w:r>
        <w:rPr>
          <w:rFonts w:ascii="Times New Roman" w:hAnsi="Times New Roman" w:cs="Times New Roman"/>
          <w:b w:val="0"/>
          <w:i w:val="0"/>
          <w:sz w:val="24"/>
        </w:rPr>
        <w:t xml:space="preserve">). Jika dua perusahaan memiliki aset serupa yang nilainya jauh di bawah biaya, niat satu manajemen untuk segera melepas aset tidak boleh menghasilkan pengakuan yang berbeda—membuka pintu bagi maksud manajemen akan menurunkan </w:t>
      </w:r>
      <w:r>
        <w:rPr>
          <w:rFonts w:ascii="Times New Roman" w:hAnsi="Times New Roman" w:cs="Times New Roman"/>
          <w:b/>
          <w:i w:val="0"/>
          <w:sz w:val="24"/>
        </w:rPr>
        <w:t>keterbandingan</w:t>
      </w:r>
      <w:r>
        <w:rPr>
          <w:rFonts w:ascii="Times New Roman" w:hAnsi="Times New Roman" w:cs="Times New Roman"/>
          <w:b w:val="0"/>
          <w:i w:val="0"/>
          <w:sz w:val="24"/>
        </w:rPr>
        <w:t xml:space="preserve"> (</w:t>
      </w:r>
      <w:r>
        <w:rPr>
          <w:rFonts w:ascii="Times New Roman" w:hAnsi="Times New Roman" w:cs="Times New Roman"/>
          <w:b w:val="0"/>
          <w:i/>
          <w:sz w:val="24"/>
        </w:rPr>
        <w:t>comparability</w:t>
      </w:r>
      <w:r>
        <w:rPr>
          <w:rFonts w:ascii="Times New Roman" w:hAnsi="Times New Roman" w:cs="Times New Roman"/>
          <w:b w:val="0"/>
          <w:i w:val="0"/>
          <w:sz w:val="24"/>
        </w:rPr>
        <w:t>) (Wolk et al., 2017, PDF hlm. 9–10).</w:t>
      </w:r>
    </w:p>
    <w:p>
      <w:pPr>
        <w:spacing w:lineRule="exact" w:line="360" w:before="0" w:after="120"/>
        <w:jc w:val="both"/>
      </w:pPr>
      <w:r>
        <w:rPr>
          <w:rFonts w:ascii="Times New Roman" w:hAnsi="Times New Roman" w:cs="Times New Roman"/>
          <w:b w:val="0"/>
          <w:i w:val="0"/>
          <w:sz w:val="24"/>
        </w:rPr>
        <w:t xml:space="preserve">Beaver mengajukan dua observasi bernas. Pertama, </w:t>
      </w:r>
      <w:r>
        <w:rPr>
          <w:rFonts w:ascii="Times New Roman" w:hAnsi="Times New Roman" w:cs="Times New Roman"/>
          <w:b/>
          <w:i w:val="0"/>
          <w:sz w:val="24"/>
        </w:rPr>
        <w:t>nilai pasar</w:t>
      </w:r>
      <w:r>
        <w:rPr>
          <w:rFonts w:ascii="Times New Roman" w:hAnsi="Times New Roman" w:cs="Times New Roman"/>
          <w:b w:val="0"/>
          <w:i w:val="0"/>
          <w:sz w:val="24"/>
        </w:rPr>
        <w:t xml:space="preserve"> (</w:t>
      </w:r>
      <w:r>
        <w:rPr>
          <w:rFonts w:ascii="Times New Roman" w:hAnsi="Times New Roman" w:cs="Times New Roman"/>
          <w:b w:val="0"/>
          <w:i/>
          <w:sz w:val="24"/>
        </w:rPr>
        <w:t>market values</w:t>
      </w:r>
      <w:r>
        <w:rPr>
          <w:rFonts w:ascii="Times New Roman" w:hAnsi="Times New Roman" w:cs="Times New Roman"/>
          <w:b w:val="0"/>
          <w:i w:val="0"/>
          <w:sz w:val="24"/>
        </w:rPr>
        <w:t>) merupakan gudang informasi yang kaya tentang peristiwa masa depan, sebab harga sekuritas kerap dipandang sebagai konsensus pasar atas nilai kini arus kas masa depan—dengan catatan, harga dari sekuritas yang diperdagangkan tipis (</w:t>
      </w:r>
      <w:r>
        <w:rPr>
          <w:rFonts w:ascii="Times New Roman" w:hAnsi="Times New Roman" w:cs="Times New Roman"/>
          <w:b w:val="0"/>
          <w:i/>
          <w:sz w:val="24"/>
        </w:rPr>
        <w:t>thin trading</w:t>
      </w:r>
      <w:r>
        <w:rPr>
          <w:rFonts w:ascii="Times New Roman" w:hAnsi="Times New Roman" w:cs="Times New Roman"/>
          <w:b w:val="0"/>
          <w:i w:val="0"/>
          <w:sz w:val="24"/>
        </w:rPr>
        <w:t xml:space="preserve">) memunculkan persoalan </w:t>
      </w:r>
      <w:r>
        <w:rPr>
          <w:rFonts w:ascii="Times New Roman" w:hAnsi="Times New Roman" w:cs="Times New Roman"/>
          <w:b/>
          <w:i w:val="0"/>
          <w:sz w:val="24"/>
        </w:rPr>
        <w:t>representasi tepat</w:t>
      </w:r>
      <w:r>
        <w:rPr>
          <w:rFonts w:ascii="Times New Roman" w:hAnsi="Times New Roman" w:cs="Times New Roman"/>
          <w:b w:val="0"/>
          <w:i w:val="0"/>
          <w:sz w:val="24"/>
        </w:rPr>
        <w:t xml:space="preserve"> (</w:t>
      </w:r>
      <w:r>
        <w:rPr>
          <w:rFonts w:ascii="Times New Roman" w:hAnsi="Times New Roman" w:cs="Times New Roman"/>
          <w:b w:val="0"/>
          <w:i/>
          <w:sz w:val="24"/>
        </w:rPr>
        <w:t>representational faithfulness</w:t>
      </w:r>
      <w:r>
        <w:rPr>
          <w:rFonts w:ascii="Times New Roman" w:hAnsi="Times New Roman" w:cs="Times New Roman"/>
          <w:b w:val="0"/>
          <w:i w:val="0"/>
          <w:sz w:val="24"/>
        </w:rPr>
        <w:t xml:space="preserve">) dan keterverifikasian. Kedua, </w:t>
      </w:r>
      <w:r>
        <w:rPr>
          <w:rFonts w:ascii="Times New Roman" w:hAnsi="Times New Roman" w:cs="Times New Roman"/>
          <w:b/>
          <w:i w:val="0"/>
          <w:sz w:val="24"/>
        </w:rPr>
        <w:t>konservatisme</w:t>
      </w:r>
      <w:r>
        <w:rPr>
          <w:rFonts w:ascii="Times New Roman" w:hAnsi="Times New Roman" w:cs="Times New Roman"/>
          <w:b w:val="0"/>
          <w:i w:val="0"/>
          <w:sz w:val="24"/>
        </w:rPr>
        <w:t xml:space="preserve"> (</w:t>
      </w:r>
      <w:r>
        <w:rPr>
          <w:rFonts w:ascii="Times New Roman" w:hAnsi="Times New Roman" w:cs="Times New Roman"/>
          <w:b w:val="0"/>
          <w:i/>
          <w:sz w:val="24"/>
        </w:rPr>
        <w:t>conservatism</w:t>
      </w:r>
      <w:r>
        <w:rPr>
          <w:rFonts w:ascii="Times New Roman" w:hAnsi="Times New Roman" w:cs="Times New Roman"/>
          <w:b w:val="0"/>
          <w:i w:val="0"/>
          <w:sz w:val="24"/>
        </w:rPr>
        <w:t xml:space="preserve">) mungkin memberi keunggulan komparatif dalam menyebarkan "berita buruk" melalui pelaporan keuangan, sebagai penyeimbang atas bias optimistik yang lazim tertanam pada sumber informasi lain seperti laporan analis (Wolk et al., 2017, PDF hlm. 10). Akhirnya, terhadap </w:t>
      </w:r>
      <w:r>
        <w:rPr>
          <w:rFonts w:ascii="Times New Roman" w:hAnsi="Times New Roman" w:cs="Times New Roman"/>
          <w:b/>
          <w:i w:val="0"/>
          <w:sz w:val="24"/>
        </w:rPr>
        <w:t>kondisi ekonomi masa depan</w:t>
      </w:r>
      <w:r>
        <w:rPr>
          <w:rFonts w:ascii="Times New Roman" w:hAnsi="Times New Roman" w:cs="Times New Roman"/>
          <w:b w:val="0"/>
          <w:i w:val="0"/>
          <w:sz w:val="24"/>
        </w:rPr>
        <w:t xml:space="preserve"> dan </w:t>
      </w:r>
      <w:r>
        <w:rPr>
          <w:rFonts w:ascii="Times New Roman" w:hAnsi="Times New Roman" w:cs="Times New Roman"/>
          <w:b/>
          <w:i w:val="0"/>
          <w:sz w:val="24"/>
        </w:rPr>
        <w:t>persyaratan hukum masa depan</w:t>
      </w:r>
      <w:r>
        <w:rPr>
          <w:rFonts w:ascii="Times New Roman" w:hAnsi="Times New Roman" w:cs="Times New Roman"/>
          <w:b w:val="0"/>
          <w:i w:val="0"/>
          <w:sz w:val="24"/>
        </w:rPr>
        <w:t xml:space="preserve">, konsensus konferensi adalah tidak meramalkan perubahan kecuali ada bukti yang memaksa atau perubahan tersebut telah disahkan menjadi undang-undang—sebagaimana </w:t>
      </w:r>
      <w:r>
        <w:rPr>
          <w:rFonts w:ascii="Times New Roman" w:hAnsi="Times New Roman" w:cs="Times New Roman"/>
          <w:b/>
          <w:i w:val="0"/>
          <w:sz w:val="24"/>
        </w:rPr>
        <w:t>SFAS No. 109</w:t>
      </w:r>
      <w:r>
        <w:rPr>
          <w:rFonts w:ascii="Times New Roman" w:hAnsi="Times New Roman" w:cs="Times New Roman"/>
          <w:b w:val="0"/>
          <w:i w:val="0"/>
          <w:sz w:val="24"/>
        </w:rPr>
        <w:t xml:space="preserve"> yang mengasumsikan tarif pajak masa depan sama dengan tarif kini selama perubahan belum diberlakukan secara hukum (Wolk et al., 2017, PDF hlm. 10). Setelah memetakan peran peristiwa masa depan, kita beralih ke perdebatan klasik tentang komponen mana yang layak masuk laporan laba rugi, yakni </w:t>
      </w:r>
      <w:r>
        <w:rPr>
          <w:rFonts w:ascii="Times New Roman" w:hAnsi="Times New Roman" w:cs="Times New Roman"/>
          <w:b w:val="0"/>
          <w:i/>
          <w:sz w:val="24"/>
        </w:rPr>
        <w:t>current operating versus all-inclusive income</w:t>
      </w:r>
      <w:r>
        <w:rPr>
          <w:rFonts w:ascii="Times New Roman" w:hAnsi="Times New Roman" w:cs="Times New Roman"/>
          <w:b w:val="0"/>
          <w:i w:val="0"/>
          <w:sz w:val="24"/>
        </w:rPr>
        <w:t xml:space="preserve"> pada Bagian VI.</w:t>
      </w:r>
    </w:p>
    <w:p>
      <w:pPr>
        <w:spacing w:lineRule="exact" w:line="360" w:before="240" w:after="120"/>
        <w:jc w:val="left"/>
      </w:pPr>
      <w:r>
        <w:rPr>
          <w:rFonts w:ascii="Times New Roman" w:hAnsi="Times New Roman" w:cs="Times New Roman"/>
          <w:b/>
          <w:i w:val="0"/>
          <w:sz w:val="26"/>
        </w:rPr>
        <w:t>VI. Current Operating versus All-Inclusive Income</w:t>
      </w:r>
    </w:p>
    <w:p>
      <w:pPr>
        <w:spacing w:lineRule="exact" w:line="360" w:before="0" w:after="120"/>
        <w:jc w:val="both"/>
      </w:pPr>
      <w:r>
        <w:rPr>
          <w:rFonts w:ascii="Times New Roman" w:hAnsi="Times New Roman" w:cs="Times New Roman"/>
          <w:b w:val="0"/>
          <w:i w:val="0"/>
          <w:sz w:val="24"/>
        </w:rPr>
        <w:t xml:space="preserve">Hingga 1968, terdapat kontroversi tajam mengenai apakah komponen-komponen tertentu dari laba komprehensif sebaiknya disajikan dalam laporan laba rugi atau dalam laporan laba ditahan—khususnya terkait keuntungan dan kerugian yang </w:t>
      </w:r>
      <w:r>
        <w:rPr>
          <w:rFonts w:ascii="Times New Roman" w:hAnsi="Times New Roman" w:cs="Times New Roman"/>
          <w:b/>
          <w:i w:val="0"/>
          <w:sz w:val="24"/>
        </w:rPr>
        <w:t>tidak lazim</w:t>
      </w:r>
      <w:r>
        <w:rPr>
          <w:rFonts w:ascii="Times New Roman" w:hAnsi="Times New Roman" w:cs="Times New Roman"/>
          <w:b w:val="0"/>
          <w:i w:val="0"/>
          <w:sz w:val="24"/>
        </w:rPr>
        <w:t xml:space="preserve"> (</w:t>
      </w:r>
      <w:r>
        <w:rPr>
          <w:rFonts w:ascii="Times New Roman" w:hAnsi="Times New Roman" w:cs="Times New Roman"/>
          <w:b w:val="0"/>
          <w:i/>
          <w:sz w:val="24"/>
        </w:rPr>
        <w:t>unusual</w:t>
      </w:r>
      <w:r>
        <w:rPr>
          <w:rFonts w:ascii="Times New Roman" w:hAnsi="Times New Roman" w:cs="Times New Roman"/>
          <w:b w:val="0"/>
          <w:i w:val="0"/>
          <w:sz w:val="24"/>
        </w:rPr>
        <w:t xml:space="preserve">, nonoperasi) dan </w:t>
      </w:r>
      <w:r>
        <w:rPr>
          <w:rFonts w:ascii="Times New Roman" w:hAnsi="Times New Roman" w:cs="Times New Roman"/>
          <w:b/>
          <w:i w:val="0"/>
          <w:sz w:val="24"/>
        </w:rPr>
        <w:t>jarang terjadi</w:t>
      </w:r>
      <w:r>
        <w:rPr>
          <w:rFonts w:ascii="Times New Roman" w:hAnsi="Times New Roman" w:cs="Times New Roman"/>
          <w:b w:val="0"/>
          <w:i w:val="0"/>
          <w:sz w:val="24"/>
        </w:rPr>
        <w:t xml:space="preserve"> (</w:t>
      </w:r>
      <w:r>
        <w:rPr>
          <w:rFonts w:ascii="Times New Roman" w:hAnsi="Times New Roman" w:cs="Times New Roman"/>
          <w:b w:val="0"/>
          <w:i/>
          <w:sz w:val="24"/>
        </w:rPr>
        <w:t>infrequent</w:t>
      </w:r>
      <w:r>
        <w:rPr>
          <w:rFonts w:ascii="Times New Roman" w:hAnsi="Times New Roman" w:cs="Times New Roman"/>
          <w:b w:val="0"/>
          <w:i w:val="0"/>
          <w:sz w:val="24"/>
        </w:rPr>
        <w:t xml:space="preserve">) (Wolk et al., 2017, PDF hlm. 11). Aliran </w:t>
      </w:r>
      <w:r>
        <w:rPr>
          <w:rFonts w:ascii="Times New Roman" w:hAnsi="Times New Roman" w:cs="Times New Roman"/>
          <w:b/>
          <w:i w:val="0"/>
          <w:sz w:val="24"/>
        </w:rPr>
        <w:t>current operating</w:t>
      </w:r>
      <w:r>
        <w:rPr>
          <w:rFonts w:ascii="Times New Roman" w:hAnsi="Times New Roman" w:cs="Times New Roman"/>
          <w:b w:val="0"/>
          <w:i w:val="0"/>
          <w:sz w:val="24"/>
        </w:rPr>
        <w:t xml:space="preserve"> berpendapat bahwa laporan laba rugi seyogianya hanya memuat pos operasi normal, sementara pos nonoperasi dilaporkan dalam laporan laba ditahan. Sebaliknya, aliran </w:t>
      </w:r>
      <w:r>
        <w:rPr>
          <w:rFonts w:ascii="Times New Roman" w:hAnsi="Times New Roman" w:cs="Times New Roman"/>
          <w:b/>
          <w:i w:val="0"/>
          <w:sz w:val="24"/>
        </w:rPr>
        <w:t>all-inclusive</w:t>
      </w:r>
      <w:r>
        <w:rPr>
          <w:rFonts w:ascii="Times New Roman" w:hAnsi="Times New Roman" w:cs="Times New Roman"/>
          <w:b w:val="0"/>
          <w:i w:val="0"/>
          <w:sz w:val="24"/>
        </w:rPr>
        <w:t xml:space="preserve"> menyatakan bahwa seluruh komponen laba komprehensif harus berada dalam laporan laba rugi, dengan konsekuensi laporan laba ditahan hanya mencerminkan total laba yang dilaporkan, distribusi dividen, serta saldo awal dan akhir (Wolk et al., 2017, PDF hlm. 11).</w:t>
      </w:r>
    </w:p>
    <w:p>
      <w:pPr>
        <w:spacing w:lineRule="exact" w:line="360" w:before="0" w:after="120"/>
        <w:jc w:val="both"/>
      </w:pPr>
      <w:r>
        <w:rPr>
          <w:rFonts w:ascii="Times New Roman" w:hAnsi="Times New Roman" w:cs="Times New Roman"/>
          <w:b w:val="0"/>
          <w:i w:val="0"/>
          <w:sz w:val="24"/>
        </w:rPr>
        <w:t xml:space="preserve">Para pendukung </w:t>
      </w:r>
      <w:r>
        <w:rPr>
          <w:rFonts w:ascii="Times New Roman" w:hAnsi="Times New Roman" w:cs="Times New Roman"/>
          <w:b w:val="0"/>
          <w:i/>
          <w:sz w:val="24"/>
        </w:rPr>
        <w:t>current operating</w:t>
      </w:r>
      <w:r>
        <w:rPr>
          <w:rFonts w:ascii="Times New Roman" w:hAnsi="Times New Roman" w:cs="Times New Roman"/>
          <w:b w:val="0"/>
          <w:i w:val="0"/>
          <w:sz w:val="24"/>
        </w:rPr>
        <w:t xml:space="preserve"> berargumen bahwa laporan laba rugi lebih berguna untuk menilai </w:t>
      </w:r>
      <w:r>
        <w:rPr>
          <w:rFonts w:ascii="Times New Roman" w:hAnsi="Times New Roman" w:cs="Times New Roman"/>
          <w:b/>
          <w:i w:val="0"/>
          <w:sz w:val="24"/>
        </w:rPr>
        <w:t>kinerja manajemen</w:t>
      </w:r>
      <w:r>
        <w:rPr>
          <w:rFonts w:ascii="Times New Roman" w:hAnsi="Times New Roman" w:cs="Times New Roman"/>
          <w:b w:val="0"/>
          <w:i w:val="0"/>
          <w:sz w:val="24"/>
        </w:rPr>
        <w:t xml:space="preserve"> dan memprediksi kinerja tahun-tahun berikutnya bila pos-pos yang ekstraneus terhadap keputusan manajemen kini dikeluarkan. Premisnya, sebagian besar pengguna hanya menatap </w:t>
      </w:r>
      <w:r>
        <w:rPr>
          <w:rFonts w:ascii="Times New Roman" w:hAnsi="Times New Roman" w:cs="Times New Roman"/>
          <w:b/>
          <w:i w:val="0"/>
          <w:sz w:val="24"/>
        </w:rPr>
        <w:t>laba bersih</w:t>
      </w:r>
      <w:r>
        <w:rPr>
          <w:rFonts w:ascii="Times New Roman" w:hAnsi="Times New Roman" w:cs="Times New Roman"/>
          <w:b w:val="0"/>
          <w:i w:val="0"/>
          <w:sz w:val="24"/>
        </w:rPr>
        <w:t xml:space="preserve"> (</w:t>
      </w:r>
      <w:r>
        <w:rPr>
          <w:rFonts w:ascii="Times New Roman" w:hAnsi="Times New Roman" w:cs="Times New Roman"/>
          <w:b w:val="0"/>
          <w:i/>
          <w:sz w:val="24"/>
        </w:rPr>
        <w:t>bottom-line net income</w:t>
      </w:r>
      <w:r>
        <w:rPr>
          <w:rFonts w:ascii="Times New Roman" w:hAnsi="Times New Roman" w:cs="Times New Roman"/>
          <w:b w:val="0"/>
          <w:i w:val="0"/>
          <w:sz w:val="24"/>
        </w:rPr>
        <w:t xml:space="preserve">) untuk menilai kinerja dan menyusun prediksi; karenanya, jika pos nonoperasi yang material dan jarang terjadi diselipkan ke dalam laporan laba rugi, pengguna dapat tersesat dan mengambil keputusan keliru (Wolk et al., 2017, PDF hlm. 11). Pihak </w:t>
      </w:r>
      <w:r>
        <w:rPr>
          <w:rFonts w:ascii="Times New Roman" w:hAnsi="Times New Roman" w:cs="Times New Roman"/>
          <w:b w:val="0"/>
          <w:i/>
          <w:sz w:val="24"/>
        </w:rPr>
        <w:t>all-inclusive</w:t>
      </w:r>
      <w:r>
        <w:rPr>
          <w:rFonts w:ascii="Times New Roman" w:hAnsi="Times New Roman" w:cs="Times New Roman"/>
          <w:b w:val="0"/>
          <w:i w:val="0"/>
          <w:sz w:val="24"/>
        </w:rPr>
        <w:t xml:space="preserve"> membalas dengan empat argumen. Pertama, </w:t>
      </w:r>
      <w:r>
        <w:rPr>
          <w:rFonts w:ascii="Times New Roman" w:hAnsi="Times New Roman" w:cs="Times New Roman"/>
          <w:b w:val="0"/>
          <w:i/>
          <w:sz w:val="24"/>
        </w:rPr>
        <w:t>current operating</w:t>
      </w:r>
      <w:r>
        <w:rPr>
          <w:rFonts w:ascii="Times New Roman" w:hAnsi="Times New Roman" w:cs="Times New Roman"/>
          <w:b w:val="0"/>
          <w:i w:val="0"/>
          <w:sz w:val="24"/>
        </w:rPr>
        <w:t xml:space="preserve"> mengundang </w:t>
      </w:r>
      <w:r>
        <w:rPr>
          <w:rFonts w:ascii="Times New Roman" w:hAnsi="Times New Roman" w:cs="Times New Roman"/>
          <w:b/>
          <w:i w:val="0"/>
          <w:sz w:val="24"/>
        </w:rPr>
        <w:t>manipulasi</w:t>
      </w:r>
      <w:r>
        <w:rPr>
          <w:rFonts w:ascii="Times New Roman" w:hAnsi="Times New Roman" w:cs="Times New Roman"/>
          <w:b w:val="0"/>
          <w:i w:val="0"/>
          <w:sz w:val="24"/>
        </w:rPr>
        <w:t xml:space="preserve"> karena manajemenlah yang memutuskan apakah suatu pos bersifat luar biasa. Kedua, pengguna dapat tersesat justru karena tidak menyadari adanya keuntungan atau kerugian besar yang "tersembunyi" dalam laporan laba ditahan. Ketiga, penjumlahan seluruh laba selama serangkaian tahun seharusnya sama dengan laba bersih entitas untuk periode tersebut—identitas yang hanya terjamin oleh pendekatan all-inclusive. Keempat, </w:t>
      </w:r>
      <w:r>
        <w:rPr>
          <w:rFonts w:ascii="Times New Roman" w:hAnsi="Times New Roman" w:cs="Times New Roman"/>
          <w:b/>
          <w:i w:val="0"/>
          <w:sz w:val="24"/>
        </w:rPr>
        <w:t>klasifikasi yang tepat</w:t>
      </w:r>
      <w:r>
        <w:rPr>
          <w:rFonts w:ascii="Times New Roman" w:hAnsi="Times New Roman" w:cs="Times New Roman"/>
          <w:b w:val="0"/>
          <w:i w:val="0"/>
          <w:sz w:val="24"/>
        </w:rPr>
        <w:t xml:space="preserve"> di dalam satu laporan saja sudah memungkinkan pos berulang normal dipisahkan dari pos tidak lazim yang jarang terjadi (Wolk et al., 2017, PDF hlm. 11). Di sini tampak ketegangan antara kegunaan-keputusan dan ruang bagi </w:t>
      </w:r>
      <w:r>
        <w:rPr>
          <w:rFonts w:ascii="Times New Roman" w:hAnsi="Times New Roman" w:cs="Times New Roman"/>
          <w:b w:val="0"/>
          <w:i/>
          <w:sz w:val="24"/>
        </w:rPr>
        <w:t>earnings management</w:t>
      </w:r>
      <w:r>
        <w:rPr>
          <w:rFonts w:ascii="Times New Roman" w:hAnsi="Times New Roman" w:cs="Times New Roman"/>
          <w:b w:val="0"/>
          <w:i w:val="0"/>
          <w:sz w:val="24"/>
        </w:rPr>
        <w:t>: justru kewenangan menentukan keluarbiasaan suatu pos itulah yang dianggap merusak keterbandingan.</w:t>
      </w:r>
    </w:p>
    <w:p>
      <w:pPr>
        <w:spacing w:lineRule="exact" w:line="360" w:before="0" w:after="120"/>
        <w:jc w:val="both"/>
      </w:pPr>
      <w:r>
        <w:rPr>
          <w:rFonts w:ascii="Times New Roman" w:hAnsi="Times New Roman" w:cs="Times New Roman"/>
          <w:b w:val="0"/>
          <w:i w:val="0"/>
          <w:sz w:val="24"/>
        </w:rPr>
        <w:t xml:space="preserve">Secara historis, </w:t>
      </w:r>
      <w:r>
        <w:rPr>
          <w:rFonts w:ascii="Times New Roman" w:hAnsi="Times New Roman" w:cs="Times New Roman"/>
          <w:b/>
          <w:i w:val="0"/>
          <w:sz w:val="24"/>
        </w:rPr>
        <w:t>American Accounting Association (AAA)</w:t>
      </w:r>
      <w:r>
        <w:rPr>
          <w:rFonts w:ascii="Times New Roman" w:hAnsi="Times New Roman" w:cs="Times New Roman"/>
          <w:b w:val="0"/>
          <w:i w:val="0"/>
          <w:sz w:val="24"/>
        </w:rPr>
        <w:t xml:space="preserve"> menyokong all-inclusive; pernyataannya pada 1936 menegaskan bahwa laporan laba rugi sebaiknya mencerminkan semua pendapatan dan biaya yang diakui dalam periode tanpa memandang apakah berasal dari operasi periode tersebut. Sebaliknya, </w:t>
      </w:r>
      <w:r>
        <w:rPr>
          <w:rFonts w:ascii="Times New Roman" w:hAnsi="Times New Roman" w:cs="Times New Roman"/>
          <w:b/>
          <w:i w:val="0"/>
          <w:sz w:val="24"/>
        </w:rPr>
        <w:t>AICPA</w:t>
      </w:r>
      <w:r>
        <w:rPr>
          <w:rFonts w:ascii="Times New Roman" w:hAnsi="Times New Roman" w:cs="Times New Roman"/>
          <w:b w:val="0"/>
          <w:i w:val="0"/>
          <w:sz w:val="24"/>
        </w:rPr>
        <w:t xml:space="preserve"> secara konsisten memihak current operating hingga APB Opinion No. 9; dalam </w:t>
      </w:r>
      <w:r>
        <w:rPr>
          <w:rFonts w:ascii="Times New Roman" w:hAnsi="Times New Roman" w:cs="Times New Roman"/>
          <w:b/>
          <w:i w:val="0"/>
          <w:sz w:val="24"/>
        </w:rPr>
        <w:t>ARB 43</w:t>
      </w:r>
      <w:r>
        <w:rPr>
          <w:rFonts w:ascii="Times New Roman" w:hAnsi="Times New Roman" w:cs="Times New Roman"/>
          <w:b w:val="0"/>
          <w:i w:val="0"/>
          <w:sz w:val="24"/>
        </w:rPr>
        <w:t xml:space="preserve">, </w:t>
      </w:r>
      <w:r>
        <w:rPr>
          <w:rFonts w:ascii="Times New Roman" w:hAnsi="Times New Roman" w:cs="Times New Roman"/>
          <w:b w:val="0"/>
          <w:i/>
          <w:sz w:val="24"/>
        </w:rPr>
        <w:t>Committee on Accounting Procedure</w:t>
      </w:r>
      <w:r>
        <w:rPr>
          <w:rFonts w:ascii="Times New Roman" w:hAnsi="Times New Roman" w:cs="Times New Roman"/>
          <w:b w:val="0"/>
          <w:i w:val="0"/>
          <w:sz w:val="24"/>
        </w:rPr>
        <w:t xml:space="preserve"> bahkan mengarahkan agar seluruh pos luar biasa dibawa langsung ke akun surplus (Wolk et al., 2017, PDF hlm. 11). Titik balik datang pada Desember 1966 melalui </w:t>
      </w:r>
      <w:r>
        <w:rPr>
          <w:rFonts w:ascii="Times New Roman" w:hAnsi="Times New Roman" w:cs="Times New Roman"/>
          <w:b/>
          <w:i w:val="0"/>
          <w:sz w:val="24"/>
        </w:rPr>
        <w:t>APB Opinion No. 9</w:t>
      </w:r>
      <w:r>
        <w:rPr>
          <w:rFonts w:ascii="Times New Roman" w:hAnsi="Times New Roman" w:cs="Times New Roman"/>
          <w:b w:val="0"/>
          <w:i w:val="0"/>
          <w:sz w:val="24"/>
        </w:rPr>
        <w:t xml:space="preserve"> yang condong kuat ke all-inclusive—sebuah pendekatan </w:t>
      </w:r>
      <w:r>
        <w:rPr>
          <w:rFonts w:ascii="Times New Roman" w:hAnsi="Times New Roman" w:cs="Times New Roman"/>
          <w:b/>
          <w:i w:val="0"/>
          <w:sz w:val="24"/>
        </w:rPr>
        <w:t>modified all-inclusive</w:t>
      </w:r>
      <w:r>
        <w:rPr>
          <w:rFonts w:ascii="Times New Roman" w:hAnsi="Times New Roman" w:cs="Times New Roman"/>
          <w:b w:val="0"/>
          <w:i w:val="0"/>
          <w:sz w:val="24"/>
        </w:rPr>
        <w:t xml:space="preserve">—dengan mensyaratkan seluruh pos nonoperasi yang jarang terjadi, kecuali penyesuaian periode lalu, dimasukkan ke perhitungan laba bersih dan dilaporkan terpisah (Wolk et al., 2017, PDF hlm. 11). Evolusi ini berlanjut hingga </w:t>
      </w:r>
      <w:r>
        <w:rPr>
          <w:rFonts w:ascii="Times New Roman" w:hAnsi="Times New Roman" w:cs="Times New Roman"/>
          <w:b/>
          <w:i w:val="0"/>
          <w:sz w:val="24"/>
        </w:rPr>
        <w:t>ASU Juni 2011</w:t>
      </w:r>
      <w:r>
        <w:rPr>
          <w:rFonts w:ascii="Times New Roman" w:hAnsi="Times New Roman" w:cs="Times New Roman"/>
          <w:b w:val="0"/>
          <w:i w:val="0"/>
          <w:sz w:val="24"/>
        </w:rPr>
        <w:t xml:space="preserve"> yang memberi pilihan penyajian laba komprehensif dalam </w:t>
      </w:r>
      <w:r>
        <w:rPr>
          <w:rFonts w:ascii="Times New Roman" w:hAnsi="Times New Roman" w:cs="Times New Roman"/>
          <w:b/>
          <w:i w:val="0"/>
          <w:sz w:val="24"/>
        </w:rPr>
        <w:t>satu atau dua laporan</w:t>
      </w:r>
      <w:r>
        <w:rPr>
          <w:rFonts w:ascii="Times New Roman" w:hAnsi="Times New Roman" w:cs="Times New Roman"/>
          <w:b w:val="0"/>
          <w:i w:val="0"/>
          <w:sz w:val="24"/>
        </w:rPr>
        <w:t xml:space="preserve"> (</w:t>
      </w:r>
      <w:r>
        <w:rPr>
          <w:rFonts w:ascii="Times New Roman" w:hAnsi="Times New Roman" w:cs="Times New Roman"/>
          <w:b w:val="0"/>
          <w:i/>
          <w:sz w:val="24"/>
        </w:rPr>
        <w:t>one or two statement</w:t>
      </w:r>
      <w:r>
        <w:rPr>
          <w:rFonts w:ascii="Times New Roman" w:hAnsi="Times New Roman" w:cs="Times New Roman"/>
          <w:b w:val="0"/>
          <w:i w:val="0"/>
          <w:sz w:val="24"/>
        </w:rPr>
        <w:t>) (Wolk et al., 2017, PDF hlm. 11).</w:t>
      </w:r>
    </w:p>
    <w:p>
      <w:pPr>
        <w:spacing w:lineRule="exact" w:line="360" w:before="0" w:after="120"/>
        <w:jc w:val="both"/>
      </w:pPr>
      <w:r>
        <w:rPr>
          <w:rFonts w:ascii="Times New Roman" w:hAnsi="Times New Roman" w:cs="Times New Roman"/>
          <w:b w:val="0"/>
          <w:i w:val="0"/>
          <w:sz w:val="24"/>
        </w:rPr>
        <w:t xml:space="preserve">Bukti empiris menunjuk dua arah. Gonedes, dalam studi pasar modal, menemukan bahwa pos laba nonoperasi tidak memiliki </w:t>
      </w:r>
      <w:r>
        <w:rPr>
          <w:rFonts w:ascii="Times New Roman" w:hAnsi="Times New Roman" w:cs="Times New Roman"/>
          <w:b/>
          <w:i w:val="0"/>
          <w:sz w:val="24"/>
        </w:rPr>
        <w:t>kandungan informasi</w:t>
      </w:r>
      <w:r>
        <w:rPr>
          <w:rFonts w:ascii="Times New Roman" w:hAnsi="Times New Roman" w:cs="Times New Roman"/>
          <w:b w:val="0"/>
          <w:i w:val="0"/>
          <w:sz w:val="24"/>
        </w:rPr>
        <w:t xml:space="preserve"> (</w:t>
      </w:r>
      <w:r>
        <w:rPr>
          <w:rFonts w:ascii="Times New Roman" w:hAnsi="Times New Roman" w:cs="Times New Roman"/>
          <w:b w:val="0"/>
          <w:i/>
          <w:sz w:val="24"/>
        </w:rPr>
        <w:t>information content</w:t>
      </w:r>
      <w:r>
        <w:rPr>
          <w:rFonts w:ascii="Times New Roman" w:hAnsi="Times New Roman" w:cs="Times New Roman"/>
          <w:b w:val="0"/>
          <w:i w:val="0"/>
          <w:sz w:val="24"/>
        </w:rPr>
        <w:t xml:space="preserve">), yang menyiratkan bahwa informasi relevan bagi penilaian saham telah tertangkap oleh angka laba operasi—temuan yang mendukung current operating dan selaras dengan riset </w:t>
      </w:r>
      <w:r>
        <w:rPr>
          <w:rFonts w:ascii="Times New Roman" w:hAnsi="Times New Roman" w:cs="Times New Roman"/>
          <w:b w:val="0"/>
          <w:i/>
          <w:sz w:val="24"/>
        </w:rPr>
        <w:t>income smoothing</w:t>
      </w:r>
      <w:r>
        <w:rPr>
          <w:rFonts w:ascii="Times New Roman" w:hAnsi="Times New Roman" w:cs="Times New Roman"/>
          <w:b w:val="0"/>
          <w:i w:val="0"/>
          <w:sz w:val="24"/>
        </w:rPr>
        <w:t xml:space="preserve"> yang menunjukkan laba operasi lebih baik diprediksi oleh laba operasi ketimbang laba all-inclusive. Namun studi pasar berikutnya menemukan sebagian pos nonoperasi berasosiasi signifikan dengan harga sekuritas, dengan arah yang berlawanan dari dugaan: pos "berita buruk" justru berasosiasi positif dengan harga saham (Wolk et al., 2017, PDF hlm. 12). Salah satu tafsirnya adalah </w:t>
      </w:r>
      <w:r>
        <w:rPr>
          <w:rFonts w:ascii="Times New Roman" w:hAnsi="Times New Roman" w:cs="Times New Roman"/>
          <w:b/>
          <w:i w:val="0"/>
          <w:sz w:val="24"/>
        </w:rPr>
        <w:t>teori big bath</w:t>
      </w:r>
      <w:r>
        <w:rPr>
          <w:rFonts w:ascii="Times New Roman" w:hAnsi="Times New Roman" w:cs="Times New Roman"/>
          <w:b w:val="0"/>
          <w:i w:val="0"/>
          <w:sz w:val="24"/>
        </w:rPr>
        <w:t xml:space="preserve">—ketika perusahaan akhirnya mengakui masalah besar secara terbuka, pasar merespons positif karena menilai manajemen tengah bergerak menyelesaikan masalah. Contoh klasiknya, pada 1987 </w:t>
      </w:r>
      <w:r>
        <w:rPr>
          <w:rFonts w:ascii="Times New Roman" w:hAnsi="Times New Roman" w:cs="Times New Roman"/>
          <w:b/>
          <w:i w:val="0"/>
          <w:sz w:val="24"/>
        </w:rPr>
        <w:t>Citicorp</w:t>
      </w:r>
      <w:r>
        <w:rPr>
          <w:rFonts w:ascii="Times New Roman" w:hAnsi="Times New Roman" w:cs="Times New Roman"/>
          <w:b w:val="0"/>
          <w:i w:val="0"/>
          <w:sz w:val="24"/>
        </w:rPr>
        <w:t xml:space="preserve"> secara tak terduga mengakui kerugian $3 miliar atas pinjaman luar negerinya, dan sehari setelah pengumuman, harga sahamnya justru naik sekitar 5% (Wolk et al., 2017, PDF hlm. 12). Mendorong logika all-inclusive ke kesimpulan terjauhnya membawa kita pada konsep laba komprehensif, yang menjadi pokok Bagian VII.</w:t>
      </w:r>
    </w:p>
    <w:p>
      <w:pPr>
        <w:spacing w:before="120" w:after="120"/>
        <w:jc w:val="center"/>
      </w:pPr>
      <w:r>
        <w:drawing>
          <wp:inline xmlns:a="http://schemas.openxmlformats.org/drawingml/2006/main" xmlns:pic="http://schemas.openxmlformats.org/drawingml/2006/picture">
            <wp:extent cx="5220000" cy="1585514"/>
            <wp:docPr id="4" name="Picture 4"/>
            <wp:cNvGraphicFramePr>
              <a:graphicFrameLocks noChangeAspect="1"/>
            </wp:cNvGraphicFramePr>
            <a:graphic>
              <a:graphicData uri="http://schemas.openxmlformats.org/drawingml/2006/picture">
                <pic:pic>
                  <pic:nvPicPr>
                    <pic:cNvPr id="0" name="gambar4_evolusi_laba.png"/>
                    <pic:cNvPicPr/>
                  </pic:nvPicPr>
                  <pic:blipFill>
                    <a:blip r:embed="rId13"/>
                    <a:stretch>
                      <a:fillRect/>
                    </a:stretch>
                  </pic:blipFill>
                  <pic:spPr>
                    <a:xfrm>
                      <a:off x="0" y="0"/>
                      <a:ext cx="5220000" cy="1585514"/>
                    </a:xfrm>
                    <a:prstGeom prst="rect"/>
                  </pic:spPr>
                </pic:pic>
              </a:graphicData>
            </a:graphic>
          </wp:inline>
        </w:drawing>
      </w:r>
    </w:p>
    <w:p>
      <w:pPr>
        <w:spacing w:lineRule="exact" w:line="360" w:before="0" w:after="0"/>
        <w:jc w:val="center"/>
      </w:pPr>
      <w:r>
        <w:rPr>
          <w:rFonts w:ascii="Times New Roman" w:hAnsi="Times New Roman" w:cs="Times New Roman"/>
          <w:b/>
          <w:i w:val="0"/>
          <w:sz w:val="22"/>
        </w:rPr>
        <w:t xml:space="preserve">Gambar 4. </w:t>
      </w:r>
      <w:r>
        <w:rPr>
          <w:rFonts w:ascii="Times New Roman" w:hAnsi="Times New Roman" w:cs="Times New Roman"/>
          <w:b w:val="0"/>
          <w:i w:val="0"/>
          <w:sz w:val="22"/>
        </w:rPr>
        <w:t>Evolusi pelaporan laba: dari current operating menuju all-inclusive dan comprehensive income</w:t>
      </w:r>
    </w:p>
    <w:p>
      <w:pPr>
        <w:spacing w:lineRule="exact" w:line="360" w:before="0" w:after="240"/>
        <w:jc w:val="center"/>
      </w:pPr>
      <w:r>
        <w:rPr>
          <w:rFonts w:ascii="Times New Roman" w:hAnsi="Times New Roman" w:cs="Times New Roman"/>
          <w:b w:val="0"/>
          <w:i/>
          <w:sz w:val="22"/>
        </w:rPr>
        <w:t>Sumber: diolah dari Wolk et al. (2017), PDF hlm. 11–13</w:t>
      </w:r>
    </w:p>
    <w:p>
      <w:pPr>
        <w:spacing w:lineRule="exact" w:line="360" w:before="240" w:after="120"/>
        <w:jc w:val="left"/>
      </w:pPr>
      <w:r>
        <w:rPr>
          <w:rFonts w:ascii="Times New Roman" w:hAnsi="Times New Roman" w:cs="Times New Roman"/>
          <w:b/>
          <w:i w:val="0"/>
          <w:sz w:val="26"/>
        </w:rPr>
        <w:t>VII. Comprehensive Income</w:t>
      </w:r>
    </w:p>
    <w:p>
      <w:pPr>
        <w:spacing w:lineRule="exact" w:line="360" w:before="0" w:after="120"/>
        <w:jc w:val="both"/>
      </w:pPr>
      <w:r>
        <w:rPr>
          <w:rFonts w:ascii="Times New Roman" w:hAnsi="Times New Roman" w:cs="Times New Roman"/>
          <w:b/>
          <w:i w:val="0"/>
          <w:sz w:val="24"/>
        </w:rPr>
        <w:t>SFAC No. 5</w:t>
      </w:r>
      <w:r>
        <w:rPr>
          <w:rFonts w:ascii="Times New Roman" w:hAnsi="Times New Roman" w:cs="Times New Roman"/>
          <w:b w:val="0"/>
          <w:i w:val="0"/>
          <w:sz w:val="24"/>
        </w:rPr>
        <w:t xml:space="preserve"> mengusulkan suatu laporan laba dan </w:t>
      </w:r>
      <w:r>
        <w:rPr>
          <w:rFonts w:ascii="Times New Roman" w:hAnsi="Times New Roman" w:cs="Times New Roman"/>
          <w:b/>
          <w:i w:val="0"/>
          <w:sz w:val="24"/>
        </w:rPr>
        <w:t>laba komprehensif</w:t>
      </w:r>
      <w:r>
        <w:rPr>
          <w:rFonts w:ascii="Times New Roman" w:hAnsi="Times New Roman" w:cs="Times New Roman"/>
          <w:b w:val="0"/>
          <w:i w:val="0"/>
          <w:sz w:val="24"/>
        </w:rPr>
        <w:t xml:space="preserve"> (</w:t>
      </w:r>
      <w:r>
        <w:rPr>
          <w:rFonts w:ascii="Times New Roman" w:hAnsi="Times New Roman" w:cs="Times New Roman"/>
          <w:b w:val="0"/>
          <w:i/>
          <w:sz w:val="24"/>
        </w:rPr>
        <w:t>comprehensive income</w:t>
      </w:r>
      <w:r>
        <w:rPr>
          <w:rFonts w:ascii="Times New Roman" w:hAnsi="Times New Roman" w:cs="Times New Roman"/>
          <w:b w:val="0"/>
          <w:i w:val="0"/>
          <w:sz w:val="24"/>
        </w:rPr>
        <w:t xml:space="preserve">) yang mencakup seluruh perubahan ekuitas kecuali investasi oleh dan distribusi kepada pemilik (Wolk et al., 2017, PDF hlm. 12). Dengan demikian, laba komprehensif mendorong pendekatan all-inclusive menuju kesimpulan logisnya: jika semua perubahan ekuitas di luar transaksi modal dengan pemilik harus masuk perhitungan laba, maka laba menjadi ukuran perubahan kekayaan pemilik yang paling menyeluruh. Konsep ini berakar pada </w:t>
      </w:r>
      <w:r>
        <w:rPr>
          <w:rFonts w:ascii="Times New Roman" w:hAnsi="Times New Roman" w:cs="Times New Roman"/>
          <w:b/>
          <w:i w:val="0"/>
          <w:sz w:val="24"/>
        </w:rPr>
        <w:t>teori proprietary</w:t>
      </w:r>
      <w:r>
        <w:rPr>
          <w:rFonts w:ascii="Times New Roman" w:hAnsi="Times New Roman" w:cs="Times New Roman"/>
          <w:b w:val="0"/>
          <w:i w:val="0"/>
          <w:sz w:val="24"/>
        </w:rPr>
        <w:t xml:space="preserve"> (</w:t>
      </w:r>
      <w:r>
        <w:rPr>
          <w:rFonts w:ascii="Times New Roman" w:hAnsi="Times New Roman" w:cs="Times New Roman"/>
          <w:b w:val="0"/>
          <w:i/>
          <w:sz w:val="24"/>
        </w:rPr>
        <w:t>proprietary theory</w:t>
      </w:r>
      <w:r>
        <w:rPr>
          <w:rFonts w:ascii="Times New Roman" w:hAnsi="Times New Roman" w:cs="Times New Roman"/>
          <w:b w:val="0"/>
          <w:i w:val="0"/>
          <w:sz w:val="24"/>
        </w:rPr>
        <w:t xml:space="preserve">), sebab seluruh perubahan ekuitas pada hakikatnya memengaruhi kepentingan pemilik, dan dipandang sangat sesuai untuk tujuan </w:t>
      </w:r>
      <w:r>
        <w:rPr>
          <w:rFonts w:ascii="Times New Roman" w:hAnsi="Times New Roman" w:cs="Times New Roman"/>
          <w:b/>
          <w:i w:val="0"/>
          <w:sz w:val="24"/>
        </w:rPr>
        <w:t>prediksi</w:t>
      </w:r>
      <w:r>
        <w:rPr>
          <w:rFonts w:ascii="Times New Roman" w:hAnsi="Times New Roman" w:cs="Times New Roman"/>
          <w:b w:val="0"/>
          <w:i w:val="0"/>
          <w:sz w:val="24"/>
        </w:rPr>
        <w:t xml:space="preserve"> serta </w:t>
      </w:r>
      <w:r>
        <w:rPr>
          <w:rFonts w:ascii="Times New Roman" w:hAnsi="Times New Roman" w:cs="Times New Roman"/>
          <w:b/>
          <w:i w:val="0"/>
          <w:sz w:val="24"/>
        </w:rPr>
        <w:t>penilaian ekuitas</w:t>
      </w:r>
      <w:r>
        <w:rPr>
          <w:rFonts w:ascii="Times New Roman" w:hAnsi="Times New Roman" w:cs="Times New Roman"/>
          <w:b w:val="0"/>
          <w:i w:val="0"/>
          <w:sz w:val="24"/>
        </w:rPr>
        <w:t xml:space="preserve"> (</w:t>
      </w:r>
      <w:r>
        <w:rPr>
          <w:rFonts w:ascii="Times New Roman" w:hAnsi="Times New Roman" w:cs="Times New Roman"/>
          <w:b w:val="0"/>
          <w:i/>
          <w:sz w:val="24"/>
        </w:rPr>
        <w:t>equity valuation</w:t>
      </w:r>
      <w:r>
        <w:rPr>
          <w:rFonts w:ascii="Times New Roman" w:hAnsi="Times New Roman" w:cs="Times New Roman"/>
          <w:b w:val="0"/>
          <w:i w:val="0"/>
          <w:sz w:val="24"/>
        </w:rPr>
        <w:t>) (Wolk et al., 2017, PDF hlm. 12). Inilah penghubung langsung dengan tema kegunaan-keputusan: ukuran yang lebih komprehensif diharapkan lebih informatif bagi investor yang menaksir arus kas masa depan.</w:t>
      </w:r>
    </w:p>
    <w:p>
      <w:pPr>
        <w:spacing w:lineRule="exact" w:line="360" w:before="0" w:after="120"/>
        <w:jc w:val="both"/>
      </w:pPr>
      <w:r>
        <w:rPr>
          <w:rFonts w:ascii="Times New Roman" w:hAnsi="Times New Roman" w:cs="Times New Roman"/>
          <w:b w:val="0"/>
          <w:i w:val="0"/>
          <w:sz w:val="24"/>
        </w:rPr>
        <w:t xml:space="preserve">Selain laba bersih sebagaimana didefinisikan kini, laba komprehensif mencakup unsur-unsur untung-rugi yang "melewati" laporan laba rugi. </w:t>
      </w:r>
      <w:r>
        <w:rPr>
          <w:rFonts w:ascii="Times New Roman" w:hAnsi="Times New Roman" w:cs="Times New Roman"/>
          <w:b/>
          <w:i w:val="0"/>
          <w:sz w:val="24"/>
        </w:rPr>
        <w:t>SFAS No. 130</w:t>
      </w:r>
      <w:r>
        <w:rPr>
          <w:rFonts w:ascii="Times New Roman" w:hAnsi="Times New Roman" w:cs="Times New Roman"/>
          <w:b w:val="0"/>
          <w:i w:val="0"/>
          <w:sz w:val="24"/>
        </w:rPr>
        <w:t xml:space="preserve"> merinci elemen-elemen </w:t>
      </w:r>
      <w:r>
        <w:rPr>
          <w:rFonts w:ascii="Times New Roman" w:hAnsi="Times New Roman" w:cs="Times New Roman"/>
          <w:b/>
          <w:i w:val="0"/>
          <w:sz w:val="24"/>
        </w:rPr>
        <w:t>laba komprehensif lain</w:t>
      </w:r>
      <w:r>
        <w:rPr>
          <w:rFonts w:ascii="Times New Roman" w:hAnsi="Times New Roman" w:cs="Times New Roman"/>
          <w:b w:val="0"/>
          <w:i w:val="0"/>
          <w:sz w:val="24"/>
        </w:rPr>
        <w:t xml:space="preserve"> (</w:t>
      </w:r>
      <w:r>
        <w:rPr>
          <w:rFonts w:ascii="Times New Roman" w:hAnsi="Times New Roman" w:cs="Times New Roman"/>
          <w:b w:val="0"/>
          <w:i/>
          <w:sz w:val="24"/>
        </w:rPr>
        <w:t>other comprehensive income</w:t>
      </w:r>
      <w:r>
        <w:rPr>
          <w:rFonts w:ascii="Times New Roman" w:hAnsi="Times New Roman" w:cs="Times New Roman"/>
          <w:b w:val="0"/>
          <w:i w:val="0"/>
          <w:sz w:val="24"/>
        </w:rPr>
        <w:t xml:space="preserve">, OCI) ini, yakni penyesuaian translasi mata uang asing ketika mata uang fungsional bukan dolar AS, keuntungan dan kerugian kepemilikan yang belum direalisasi atas sekuritas </w:t>
      </w:r>
      <w:r>
        <w:rPr>
          <w:rFonts w:ascii="Times New Roman" w:hAnsi="Times New Roman" w:cs="Times New Roman"/>
          <w:b/>
          <w:i w:val="0"/>
          <w:sz w:val="24"/>
        </w:rPr>
        <w:t>tersedia untuk dijual</w:t>
      </w:r>
      <w:r>
        <w:rPr>
          <w:rFonts w:ascii="Times New Roman" w:hAnsi="Times New Roman" w:cs="Times New Roman"/>
          <w:b w:val="0"/>
          <w:i w:val="0"/>
          <w:sz w:val="24"/>
        </w:rPr>
        <w:t xml:space="preserve"> (</w:t>
      </w:r>
      <w:r>
        <w:rPr>
          <w:rFonts w:ascii="Times New Roman" w:hAnsi="Times New Roman" w:cs="Times New Roman"/>
          <w:b w:val="0"/>
          <w:i/>
          <w:sz w:val="24"/>
        </w:rPr>
        <w:t>available-for-sale</w:t>
      </w:r>
      <w:r>
        <w:rPr>
          <w:rFonts w:ascii="Times New Roman" w:hAnsi="Times New Roman" w:cs="Times New Roman"/>
          <w:b w:val="0"/>
          <w:i w:val="0"/>
          <w:sz w:val="24"/>
        </w:rPr>
        <w:t xml:space="preserve">), serta penyesuaian liabilitas pensiun minimum yang sebelumnya diklasifikasikan sebagai aset takberwujud (Wolk et al., 2017, PDF hlm. 12). Yang penting dicermati, Dewan secara sengaja tidak memindahkan beberapa pos: </w:t>
      </w:r>
      <w:r>
        <w:rPr>
          <w:rFonts w:ascii="Times New Roman" w:hAnsi="Times New Roman" w:cs="Times New Roman"/>
          <w:b/>
          <w:i w:val="0"/>
          <w:sz w:val="24"/>
        </w:rPr>
        <w:t>operasi yang dihentikan</w:t>
      </w:r>
      <w:r>
        <w:rPr>
          <w:rFonts w:ascii="Times New Roman" w:hAnsi="Times New Roman" w:cs="Times New Roman"/>
          <w:b w:val="0"/>
          <w:i w:val="0"/>
          <w:sz w:val="24"/>
        </w:rPr>
        <w:t xml:space="preserve"> (</w:t>
      </w:r>
      <w:r>
        <w:rPr>
          <w:rFonts w:ascii="Times New Roman" w:hAnsi="Times New Roman" w:cs="Times New Roman"/>
          <w:b w:val="0"/>
          <w:i/>
          <w:sz w:val="24"/>
        </w:rPr>
        <w:t>discontinued operations</w:t>
      </w:r>
      <w:r>
        <w:rPr>
          <w:rFonts w:ascii="Times New Roman" w:hAnsi="Times New Roman" w:cs="Times New Roman"/>
          <w:b w:val="0"/>
          <w:i w:val="0"/>
          <w:sz w:val="24"/>
        </w:rPr>
        <w:t xml:space="preserve">), </w:t>
      </w:r>
      <w:r>
        <w:rPr>
          <w:rFonts w:ascii="Times New Roman" w:hAnsi="Times New Roman" w:cs="Times New Roman"/>
          <w:b/>
          <w:i w:val="0"/>
          <w:sz w:val="24"/>
        </w:rPr>
        <w:t>pos luar biasa</w:t>
      </w:r>
      <w:r>
        <w:rPr>
          <w:rFonts w:ascii="Times New Roman" w:hAnsi="Times New Roman" w:cs="Times New Roman"/>
          <w:b w:val="0"/>
          <w:i w:val="0"/>
          <w:sz w:val="24"/>
        </w:rPr>
        <w:t xml:space="preserve"> (</w:t>
      </w:r>
      <w:r>
        <w:rPr>
          <w:rFonts w:ascii="Times New Roman" w:hAnsi="Times New Roman" w:cs="Times New Roman"/>
          <w:b w:val="0"/>
          <w:i/>
          <w:sz w:val="24"/>
        </w:rPr>
        <w:t>extraordinary items</w:t>
      </w:r>
      <w:r>
        <w:rPr>
          <w:rFonts w:ascii="Times New Roman" w:hAnsi="Times New Roman" w:cs="Times New Roman"/>
          <w:b w:val="0"/>
          <w:i w:val="0"/>
          <w:sz w:val="24"/>
        </w:rPr>
        <w:t xml:space="preserve">), serta efek kumulatif perubahan prinsip akuntansi tetap menempati posisinya semula dalam laporan laba rugi—agaknya karena FASB tidak ingin terlalu mengganggu tatanan yang ada. Begitu pula </w:t>
      </w:r>
      <w:r>
        <w:rPr>
          <w:rFonts w:ascii="Times New Roman" w:hAnsi="Times New Roman" w:cs="Times New Roman"/>
          <w:b/>
          <w:i w:val="0"/>
          <w:sz w:val="24"/>
        </w:rPr>
        <w:t>penyesuaian periode lalu</w:t>
      </w:r>
      <w:r>
        <w:rPr>
          <w:rFonts w:ascii="Times New Roman" w:hAnsi="Times New Roman" w:cs="Times New Roman"/>
          <w:b w:val="0"/>
          <w:i w:val="0"/>
          <w:sz w:val="24"/>
        </w:rPr>
        <w:t xml:space="preserve"> (</w:t>
      </w:r>
      <w:r>
        <w:rPr>
          <w:rFonts w:ascii="Times New Roman" w:hAnsi="Times New Roman" w:cs="Times New Roman"/>
          <w:b w:val="0"/>
          <w:i/>
          <w:sz w:val="24"/>
        </w:rPr>
        <w:t>prior period adjustments</w:t>
      </w:r>
      <w:r>
        <w:rPr>
          <w:rFonts w:ascii="Times New Roman" w:hAnsi="Times New Roman" w:cs="Times New Roman"/>
          <w:b w:val="0"/>
          <w:i w:val="0"/>
          <w:sz w:val="24"/>
        </w:rPr>
        <w:t>) tetap langsung dibebankan ke laba ditahan, dengan alasan bahwa penyajian ulang retroaktif laba tahun-tahun lalu pada dasarnya telah menyajikan ulang laba komprehensif periode-periode terdampak tersebut (Wolk et al., 2017, PDF hlm. 12).</w:t>
      </w:r>
    </w:p>
    <w:p>
      <w:pPr>
        <w:spacing w:lineRule="exact" w:line="360" w:before="0" w:after="120"/>
        <w:jc w:val="both"/>
      </w:pPr>
      <w:r>
        <w:rPr>
          <w:rFonts w:ascii="Times New Roman" w:hAnsi="Times New Roman" w:cs="Times New Roman"/>
          <w:b w:val="0"/>
          <w:i w:val="0"/>
          <w:sz w:val="24"/>
        </w:rPr>
        <w:t xml:space="preserve">FASB juga menegaskan bahwa </w:t>
      </w:r>
      <w:r>
        <w:rPr>
          <w:rFonts w:ascii="Times New Roman" w:hAnsi="Times New Roman" w:cs="Times New Roman"/>
          <w:b/>
          <w:i w:val="0"/>
          <w:sz w:val="24"/>
        </w:rPr>
        <w:t>laba per saham</w:t>
      </w:r>
      <w:r>
        <w:rPr>
          <w:rFonts w:ascii="Times New Roman" w:hAnsi="Times New Roman" w:cs="Times New Roman"/>
          <w:b w:val="0"/>
          <w:i w:val="0"/>
          <w:sz w:val="24"/>
        </w:rPr>
        <w:t xml:space="preserve"> (</w:t>
      </w:r>
      <w:r>
        <w:rPr>
          <w:rFonts w:ascii="Times New Roman" w:hAnsi="Times New Roman" w:cs="Times New Roman"/>
          <w:b w:val="0"/>
          <w:i/>
          <w:sz w:val="24"/>
        </w:rPr>
        <w:t>earnings per share</w:t>
      </w:r>
      <w:r>
        <w:rPr>
          <w:rFonts w:ascii="Times New Roman" w:hAnsi="Times New Roman" w:cs="Times New Roman"/>
          <w:b w:val="0"/>
          <w:i w:val="0"/>
          <w:sz w:val="24"/>
        </w:rPr>
        <w:t xml:space="preserve">, EPS) tidak boleh dihitung untuk laba komprehensif. Sebagian alasannya terletak pada fleksibilitas kebijakan pelaporan: bila laba komprehensif disajikan di dalam laporan perubahan ekuitas, perhitungan EPS dapat menjadi tidak konsisten dan membingungkan antarperusahaan (Wolk et al., 2017, PDF hlm. 12). Penilaian Wolk atas langkah ini—tepat dan tepat waktu, tetapi cukup berhati-hati dan bersifat </w:t>
      </w:r>
      <w:r>
        <w:rPr>
          <w:rFonts w:ascii="Times New Roman" w:hAnsi="Times New Roman" w:cs="Times New Roman"/>
          <w:b/>
          <w:i w:val="0"/>
          <w:sz w:val="24"/>
        </w:rPr>
        <w:t>evolusioner</w:t>
      </w:r>
      <w:r>
        <w:rPr>
          <w:rFonts w:ascii="Times New Roman" w:hAnsi="Times New Roman" w:cs="Times New Roman"/>
          <w:b w:val="0"/>
          <w:i w:val="0"/>
          <w:sz w:val="24"/>
        </w:rPr>
        <w:t xml:space="preserve"> (</w:t>
      </w:r>
      <w:r>
        <w:rPr>
          <w:rFonts w:ascii="Times New Roman" w:hAnsi="Times New Roman" w:cs="Times New Roman"/>
          <w:b w:val="0"/>
          <w:i/>
          <w:sz w:val="24"/>
        </w:rPr>
        <w:t>evolutionary</w:t>
      </w:r>
      <w:r>
        <w:rPr>
          <w:rFonts w:ascii="Times New Roman" w:hAnsi="Times New Roman" w:cs="Times New Roman"/>
          <w:b w:val="0"/>
          <w:i w:val="0"/>
          <w:sz w:val="24"/>
        </w:rPr>
        <w:t>)—mencerminkan ketegangan antara keinginan menyempurnakan ukuran laba dan keengganan mengusik konvensi pelaporan yang telah mapan.</w:t>
      </w:r>
    </w:p>
    <w:p>
      <w:pPr>
        <w:spacing w:lineRule="exact" w:line="360" w:before="0" w:after="120"/>
        <w:jc w:val="both"/>
      </w:pPr>
      <w:r>
        <w:rPr>
          <w:rFonts w:ascii="Times New Roman" w:hAnsi="Times New Roman" w:cs="Times New Roman"/>
          <w:b w:val="0"/>
          <w:i w:val="0"/>
          <w:sz w:val="24"/>
        </w:rPr>
        <w:t xml:space="preserve">SFAS No. 130 mengizinkan tiga format pelaporan: (1) dalam </w:t>
      </w:r>
      <w:r>
        <w:rPr>
          <w:rFonts w:ascii="Times New Roman" w:hAnsi="Times New Roman" w:cs="Times New Roman"/>
          <w:b/>
          <w:i w:val="0"/>
          <w:sz w:val="24"/>
        </w:rPr>
        <w:t>laporan kinerja keuangan gabungan</w:t>
      </w:r>
      <w:r>
        <w:rPr>
          <w:rFonts w:ascii="Times New Roman" w:hAnsi="Times New Roman" w:cs="Times New Roman"/>
          <w:b w:val="0"/>
          <w:i w:val="0"/>
          <w:sz w:val="24"/>
        </w:rPr>
        <w:t xml:space="preserve"> (</w:t>
      </w:r>
      <w:r>
        <w:rPr>
          <w:rFonts w:ascii="Times New Roman" w:hAnsi="Times New Roman" w:cs="Times New Roman"/>
          <w:b w:val="0"/>
          <w:i/>
          <w:sz w:val="24"/>
        </w:rPr>
        <w:t>combined statement</w:t>
      </w:r>
      <w:r>
        <w:rPr>
          <w:rFonts w:ascii="Times New Roman" w:hAnsi="Times New Roman" w:cs="Times New Roman"/>
          <w:b w:val="0"/>
          <w:i w:val="0"/>
          <w:sz w:val="24"/>
        </w:rPr>
        <w:t>) di mana elemen dan total laba komprehensif tampil di bawah laba bersih; (2) dalam laporan laba komprehensif terpisah yang dimulai dari laba bersih; dan (3) disajikan di dalam laporan perubahan ekuitas. Preferensi Dewan jatuh pada format (1) (Wolk et al., 2017, PDF hlm. 13).</w:t>
      </w:r>
    </w:p>
    <w:p>
      <w:pPr>
        <w:spacing w:lineRule="exact" w:line="360" w:before="0" w:after="0"/>
        <w:jc w:val="center"/>
      </w:pPr>
      <w:r>
        <w:rPr>
          <w:rFonts w:ascii="Times New Roman" w:hAnsi="Times New Roman" w:cs="Times New Roman"/>
          <w:b/>
          <w:i w:val="0"/>
          <w:sz w:val="22"/>
        </w:rPr>
        <w:t xml:space="preserve">Tabel 2. </w:t>
      </w:r>
      <w:r>
        <w:rPr>
          <w:rFonts w:ascii="Times New Roman" w:hAnsi="Times New Roman" w:cs="Times New Roman"/>
          <w:b w:val="0"/>
          <w:i w:val="0"/>
          <w:sz w:val="22"/>
        </w:rPr>
        <w:t>Tiga format pelaporan comprehensive income menurut SFAS No. 130</w:t>
      </w:r>
    </w:p>
    <w:p>
      <w:pPr>
        <w:spacing w:lineRule="exact" w:line="360" w:before="0" w:after="80"/>
        <w:jc w:val="center"/>
      </w:pPr>
      <w:r>
        <w:rPr>
          <w:rFonts w:ascii="Times New Roman" w:hAnsi="Times New Roman" w:cs="Times New Roman"/>
          <w:b w:val="0"/>
          <w:i/>
          <w:sz w:val="22"/>
        </w:rPr>
        <w:t>Sumber: diolah dari Wolk et al. (2017), PDF hlm. 13</w:t>
      </w:r>
    </w:p>
    <w:tbl>
      <w:tblPr>
        <w:tblStyle w:val="TableGrid"/>
        <w:tblW w:type="auto" w:w="0"/>
        <w:jc w:val="center"/>
        <w:tblLook w:firstColumn="1" w:firstRow="1" w:lastColumn="0" w:lastRow="0" w:noHBand="0" w:noVBand="1" w:val="04A0"/>
      </w:tblPr>
      <w:tblGrid>
        <w:gridCol w:w="2835"/>
        <w:gridCol w:w="2835"/>
        <w:gridCol w:w="2835"/>
      </w:tblGrid>
      <w:tr>
        <w:tc>
          <w:tcPr>
            <w:tcW w:type="dxa" w:w="2381"/>
          </w:tcPr>
          <w:p>
            <w:r/>
            <w:r>
              <w:rPr>
                <w:rFonts w:ascii="Times New Roman" w:hAnsi="Times New Roman" w:cs="Times New Roman"/>
                <w:b/>
                <w:i w:val="0"/>
                <w:sz w:val="22"/>
              </w:rPr>
              <w:t>Format</w:t>
            </w:r>
          </w:p>
        </w:tc>
        <w:tc>
          <w:tcPr>
            <w:tcW w:type="dxa" w:w="3742"/>
          </w:tcPr>
          <w:p>
            <w:r/>
            <w:r>
              <w:rPr>
                <w:rFonts w:ascii="Times New Roman" w:hAnsi="Times New Roman" w:cs="Times New Roman"/>
                <w:b/>
                <w:i w:val="0"/>
                <w:sz w:val="22"/>
              </w:rPr>
              <w:t>Deskripsi</w:t>
            </w:r>
          </w:p>
        </w:tc>
        <w:tc>
          <w:tcPr>
            <w:tcW w:type="dxa" w:w="2381"/>
          </w:tcPr>
          <w:p>
            <w:r/>
            <w:r>
              <w:rPr>
                <w:rFonts w:ascii="Times New Roman" w:hAnsi="Times New Roman" w:cs="Times New Roman"/>
                <w:b/>
                <w:i w:val="0"/>
                <w:sz w:val="22"/>
              </w:rPr>
              <w:t>Catatan</w:t>
            </w:r>
          </w:p>
        </w:tc>
      </w:tr>
      <w:tr>
        <w:tc>
          <w:tcPr>
            <w:tcW w:type="dxa" w:w="2381"/>
          </w:tcPr>
          <w:p>
            <w:pPr>
              <w:spacing w:lineRule="exact" w:line="280"/>
            </w:pPr>
            <w:r/>
            <w:r>
              <w:rPr>
                <w:rFonts w:ascii="Times New Roman" w:hAnsi="Times New Roman" w:cs="Times New Roman"/>
                <w:b w:val="0"/>
                <w:i w:val="0"/>
                <w:sz w:val="22"/>
              </w:rPr>
              <w:t>(1) Combined statement of financial performance</w:t>
            </w:r>
          </w:p>
        </w:tc>
        <w:tc>
          <w:tcPr>
            <w:tcW w:type="dxa" w:w="3742"/>
          </w:tcPr>
          <w:p>
            <w:pPr>
              <w:spacing w:lineRule="exact" w:line="280"/>
            </w:pPr>
            <w:r/>
            <w:r>
              <w:rPr>
                <w:rFonts w:ascii="Times New Roman" w:hAnsi="Times New Roman" w:cs="Times New Roman"/>
                <w:b w:val="0"/>
                <w:i w:val="0"/>
                <w:sz w:val="22"/>
              </w:rPr>
              <w:t>Satu laporan: elemen comprehensive income dan totalnya tampil di bawah net income</w:t>
            </w:r>
          </w:p>
        </w:tc>
        <w:tc>
          <w:tcPr>
            <w:tcW w:type="dxa" w:w="2381"/>
          </w:tcPr>
          <w:p>
            <w:pPr>
              <w:spacing w:lineRule="exact" w:line="280"/>
            </w:pPr>
            <w:r/>
            <w:r>
              <w:rPr>
                <w:rFonts w:ascii="Times New Roman" w:hAnsi="Times New Roman" w:cs="Times New Roman"/>
                <w:b w:val="0"/>
                <w:i w:val="0"/>
                <w:sz w:val="22"/>
              </w:rPr>
              <w:t>Preferensi Board</w:t>
            </w:r>
          </w:p>
        </w:tc>
      </w:tr>
      <w:tr>
        <w:tc>
          <w:tcPr>
            <w:tcW w:type="dxa" w:w="2381"/>
          </w:tcPr>
          <w:p>
            <w:pPr>
              <w:spacing w:lineRule="exact" w:line="280"/>
            </w:pPr>
            <w:r/>
            <w:r>
              <w:rPr>
                <w:rFonts w:ascii="Times New Roman" w:hAnsi="Times New Roman" w:cs="Times New Roman"/>
                <w:b w:val="0"/>
                <w:i w:val="0"/>
                <w:sz w:val="22"/>
              </w:rPr>
              <w:t>(2) Separate statement of comprehensive income</w:t>
            </w:r>
          </w:p>
        </w:tc>
        <w:tc>
          <w:tcPr>
            <w:tcW w:type="dxa" w:w="3742"/>
          </w:tcPr>
          <w:p>
            <w:pPr>
              <w:spacing w:lineRule="exact" w:line="280"/>
            </w:pPr>
            <w:r/>
            <w:r>
              <w:rPr>
                <w:rFonts w:ascii="Times New Roman" w:hAnsi="Times New Roman" w:cs="Times New Roman"/>
                <w:b w:val="0"/>
                <w:i w:val="0"/>
                <w:sz w:val="22"/>
              </w:rPr>
              <w:t>Laporan terpisah yang dimulai dari net income</w:t>
            </w:r>
          </w:p>
        </w:tc>
        <w:tc>
          <w:tcPr>
            <w:tcW w:type="dxa" w:w="2381"/>
          </w:tcPr>
          <w:p>
            <w:pPr>
              <w:spacing w:lineRule="exact" w:line="280"/>
            </w:pPr>
            <w:r/>
            <w:r>
              <w:rPr>
                <w:rFonts w:ascii="Times New Roman" w:hAnsi="Times New Roman" w:cs="Times New Roman"/>
                <w:b w:val="0"/>
                <w:i w:val="0"/>
                <w:sz w:val="22"/>
              </w:rPr>
              <w:t>Visibilitas CI tetap terjaga</w:t>
            </w:r>
          </w:p>
        </w:tc>
      </w:tr>
      <w:tr>
        <w:tc>
          <w:tcPr>
            <w:tcW w:type="dxa" w:w="2381"/>
          </w:tcPr>
          <w:p>
            <w:pPr>
              <w:spacing w:lineRule="exact" w:line="280"/>
            </w:pPr>
            <w:r/>
            <w:r>
              <w:rPr>
                <w:rFonts w:ascii="Times New Roman" w:hAnsi="Times New Roman" w:cs="Times New Roman"/>
                <w:b w:val="0"/>
                <w:i w:val="0"/>
                <w:sz w:val="22"/>
              </w:rPr>
              <w:t>(3) Dalam statement of changes in equity</w:t>
            </w:r>
          </w:p>
        </w:tc>
        <w:tc>
          <w:tcPr>
            <w:tcW w:type="dxa" w:w="3742"/>
          </w:tcPr>
          <w:p>
            <w:pPr>
              <w:spacing w:lineRule="exact" w:line="280"/>
            </w:pPr>
            <w:r/>
            <w:r>
              <w:rPr>
                <w:rFonts w:ascii="Times New Roman" w:hAnsi="Times New Roman" w:cs="Times New Roman"/>
                <w:b w:val="0"/>
                <w:i w:val="0"/>
                <w:sz w:val="22"/>
              </w:rPr>
              <w:t>CI dilaporkan di dalam laporan perubahan ekuitas</w:t>
            </w:r>
          </w:p>
        </w:tc>
        <w:tc>
          <w:tcPr>
            <w:tcW w:type="dxa" w:w="2381"/>
          </w:tcPr>
          <w:p>
            <w:pPr>
              <w:spacing w:lineRule="exact" w:line="280"/>
            </w:pPr>
            <w:r/>
            <w:r>
              <w:rPr>
                <w:rFonts w:ascii="Times New Roman" w:hAnsi="Times New Roman" w:cs="Times New Roman"/>
                <w:b w:val="0"/>
                <w:i w:val="0"/>
                <w:sz w:val="22"/>
              </w:rPr>
              <w:t>Diprediksi dua anggota dissenting paling banyak dipakai — menurunkan visibilitas CI</w:t>
            </w:r>
          </w:p>
        </w:tc>
      </w:tr>
    </w:tbl>
    <w:p>
      <w:pPr>
        <w:spacing w:lineRule="exact" w:line="360" w:before="0" w:after="0"/>
        <w:jc w:val="both"/>
      </w:pPr>
      <w:r>
        <w:rPr>
          <w:rFonts w:ascii="Times New Roman" w:hAnsi="Times New Roman" w:cs="Times New Roman"/>
          <w:b w:val="0"/>
          <w:i w:val="0"/>
          <w:sz w:val="24"/>
        </w:rPr>
      </w:r>
    </w:p>
    <w:p>
      <w:pPr>
        <w:spacing w:lineRule="exact" w:line="360" w:before="0" w:after="120"/>
        <w:jc w:val="both"/>
      </w:pPr>
      <w:r>
        <w:rPr>
          <w:rFonts w:ascii="Times New Roman" w:hAnsi="Times New Roman" w:cs="Times New Roman"/>
          <w:b w:val="0"/>
          <w:i w:val="0"/>
          <w:sz w:val="24"/>
        </w:rPr>
        <w:t xml:space="preserve">Dua anggota FASB menyatakan </w:t>
      </w:r>
      <w:r>
        <w:rPr>
          <w:rFonts w:ascii="Times New Roman" w:hAnsi="Times New Roman" w:cs="Times New Roman"/>
          <w:b/>
          <w:i w:val="0"/>
          <w:sz w:val="24"/>
        </w:rPr>
        <w:t>dissent</w:t>
      </w:r>
      <w:r>
        <w:rPr>
          <w:rFonts w:ascii="Times New Roman" w:hAnsi="Times New Roman" w:cs="Times New Roman"/>
          <w:b w:val="0"/>
          <w:i w:val="0"/>
          <w:sz w:val="24"/>
        </w:rPr>
        <w:t xml:space="preserve"> atas SFAS No. 130 karena meyakini sebagian besar perusahaan akan memilih format (3)—menyajikan laba komprehensif di dalam laporan perubahan ekuitas—sehingga </w:t>
      </w:r>
      <w:r>
        <w:rPr>
          <w:rFonts w:ascii="Times New Roman" w:hAnsi="Times New Roman" w:cs="Times New Roman"/>
          <w:b/>
          <w:i w:val="0"/>
          <w:sz w:val="24"/>
        </w:rPr>
        <w:t>kepentingan dan visibilitas</w:t>
      </w:r>
      <w:r>
        <w:rPr>
          <w:rFonts w:ascii="Times New Roman" w:hAnsi="Times New Roman" w:cs="Times New Roman"/>
          <w:b w:val="0"/>
          <w:i w:val="0"/>
          <w:sz w:val="24"/>
        </w:rPr>
        <w:t xml:space="preserve"> laba komprehensif justru tergerus (Wolk et al., 2017, PDF hlm. 13). Wolk menilai kritik ini valid: menyediakan tiga format, dengan salah satunya berpotensi mengaburkan arti penting laba komprehensif, adalah fleksibilitas yang berlebihan. Kendati demikian, antara konservatisme dalam menentukan </w:t>
      </w:r>
      <w:r>
        <w:rPr>
          <w:rFonts w:ascii="Times New Roman" w:hAnsi="Times New Roman" w:cs="Times New Roman"/>
          <w:b w:val="0"/>
          <w:i/>
          <w:sz w:val="24"/>
        </w:rPr>
        <w:t>apa</w:t>
      </w:r>
      <w:r>
        <w:rPr>
          <w:rFonts w:ascii="Times New Roman" w:hAnsi="Times New Roman" w:cs="Times New Roman"/>
          <w:b w:val="0"/>
          <w:i w:val="0"/>
          <w:sz w:val="24"/>
        </w:rPr>
        <w:t xml:space="preserve"> yang disajikan dan fleksibilitas dalam </w:t>
      </w:r>
      <w:r>
        <w:rPr>
          <w:rFonts w:ascii="Times New Roman" w:hAnsi="Times New Roman" w:cs="Times New Roman"/>
          <w:b w:val="0"/>
          <w:i/>
          <w:sz w:val="24"/>
        </w:rPr>
        <w:t>bagaimana</w:t>
      </w:r>
      <w:r>
        <w:rPr>
          <w:rFonts w:ascii="Times New Roman" w:hAnsi="Times New Roman" w:cs="Times New Roman"/>
          <w:b w:val="0"/>
          <w:i w:val="0"/>
          <w:sz w:val="24"/>
        </w:rPr>
        <w:t xml:space="preserve"> menyajikannya, SFAS No. 130 secara neto tetap dinilai berdampak menguntungkan bagi penyajian laba (Wolk et al., 2017, PDF hlm. 13). Setelah meninjau logika all-inclusive hingga puncaknya pada laba komprehensif, kita menelaah secara terperinci seksi nonoperasi laporan laba rugi pada Bagian VIII.</w:t>
      </w:r>
    </w:p>
    <w:p>
      <w:pPr>
        <w:spacing w:lineRule="exact" w:line="360" w:before="240" w:after="120"/>
        <w:jc w:val="left"/>
      </w:pPr>
      <w:r>
        <w:rPr>
          <w:rFonts w:ascii="Times New Roman" w:hAnsi="Times New Roman" w:cs="Times New Roman"/>
          <w:b/>
          <w:i w:val="0"/>
          <w:sz w:val="26"/>
        </w:rPr>
        <w:t>VIII. Seksi Nonoperasi: Extraordinary Items, Accounting Changes, dan Prior Period Adjustments</w:t>
      </w:r>
    </w:p>
    <w:p>
      <w:pPr>
        <w:spacing w:lineRule="exact" w:line="360" w:before="0" w:after="120"/>
        <w:jc w:val="both"/>
      </w:pPr>
      <w:r>
        <w:rPr>
          <w:rFonts w:ascii="Times New Roman" w:hAnsi="Times New Roman" w:cs="Times New Roman"/>
          <w:b w:val="0"/>
          <w:i w:val="0"/>
          <w:sz w:val="24"/>
        </w:rPr>
        <w:t xml:space="preserve">Sejak APB Opinion No. 9, </w:t>
      </w:r>
      <w:r>
        <w:rPr>
          <w:rFonts w:ascii="Times New Roman" w:hAnsi="Times New Roman" w:cs="Times New Roman"/>
          <w:b/>
          <w:i w:val="0"/>
          <w:sz w:val="24"/>
        </w:rPr>
        <w:t>seksi nonoperasi</w:t>
      </w:r>
      <w:r>
        <w:rPr>
          <w:rFonts w:ascii="Times New Roman" w:hAnsi="Times New Roman" w:cs="Times New Roman"/>
          <w:b w:val="0"/>
          <w:i w:val="0"/>
          <w:sz w:val="24"/>
        </w:rPr>
        <w:t xml:space="preserve"> laporan laba rugi meluas hingga mencakup tiga subdivisi—</w:t>
      </w:r>
      <w:r>
        <w:rPr>
          <w:rFonts w:ascii="Times New Roman" w:hAnsi="Times New Roman" w:cs="Times New Roman"/>
          <w:b/>
          <w:i w:val="0"/>
          <w:sz w:val="24"/>
        </w:rPr>
        <w:t>pos luar biasa</w:t>
      </w:r>
      <w:r>
        <w:rPr>
          <w:rFonts w:ascii="Times New Roman" w:hAnsi="Times New Roman" w:cs="Times New Roman"/>
          <w:b w:val="0"/>
          <w:i w:val="0"/>
          <w:sz w:val="24"/>
        </w:rPr>
        <w:t xml:space="preserve"> (</w:t>
      </w:r>
      <w:r>
        <w:rPr>
          <w:rFonts w:ascii="Times New Roman" w:hAnsi="Times New Roman" w:cs="Times New Roman"/>
          <w:b w:val="0"/>
          <w:i/>
          <w:sz w:val="24"/>
        </w:rPr>
        <w:t>extraordinary items</w:t>
      </w:r>
      <w:r>
        <w:rPr>
          <w:rFonts w:ascii="Times New Roman" w:hAnsi="Times New Roman" w:cs="Times New Roman"/>
          <w:b w:val="0"/>
          <w:i w:val="0"/>
          <w:sz w:val="24"/>
        </w:rPr>
        <w:t xml:space="preserve">), </w:t>
      </w:r>
      <w:r>
        <w:rPr>
          <w:rFonts w:ascii="Times New Roman" w:hAnsi="Times New Roman" w:cs="Times New Roman"/>
          <w:b/>
          <w:i w:val="0"/>
          <w:sz w:val="24"/>
        </w:rPr>
        <w:t>perubahan akuntansi</w:t>
      </w:r>
      <w:r>
        <w:rPr>
          <w:rFonts w:ascii="Times New Roman" w:hAnsi="Times New Roman" w:cs="Times New Roman"/>
          <w:b w:val="0"/>
          <w:i w:val="0"/>
          <w:sz w:val="24"/>
        </w:rPr>
        <w:t xml:space="preserve"> (</w:t>
      </w:r>
      <w:r>
        <w:rPr>
          <w:rFonts w:ascii="Times New Roman" w:hAnsi="Times New Roman" w:cs="Times New Roman"/>
          <w:b w:val="0"/>
          <w:i/>
          <w:sz w:val="24"/>
        </w:rPr>
        <w:t>accounting changes</w:t>
      </w:r>
      <w:r>
        <w:rPr>
          <w:rFonts w:ascii="Times New Roman" w:hAnsi="Times New Roman" w:cs="Times New Roman"/>
          <w:b w:val="0"/>
          <w:i w:val="0"/>
          <w:sz w:val="24"/>
        </w:rPr>
        <w:t xml:space="preserve">), dan </w:t>
      </w:r>
      <w:r>
        <w:rPr>
          <w:rFonts w:ascii="Times New Roman" w:hAnsi="Times New Roman" w:cs="Times New Roman"/>
          <w:b/>
          <w:i w:val="0"/>
          <w:sz w:val="24"/>
        </w:rPr>
        <w:t>operasi yang dihentikan</w:t>
      </w:r>
      <w:r>
        <w:rPr>
          <w:rFonts w:ascii="Times New Roman" w:hAnsi="Times New Roman" w:cs="Times New Roman"/>
          <w:b w:val="0"/>
          <w:i w:val="0"/>
          <w:sz w:val="24"/>
        </w:rPr>
        <w:t xml:space="preserve"> (</w:t>
      </w:r>
      <w:r>
        <w:rPr>
          <w:rFonts w:ascii="Times New Roman" w:hAnsi="Times New Roman" w:cs="Times New Roman"/>
          <w:b w:val="0"/>
          <w:i/>
          <w:sz w:val="24"/>
        </w:rPr>
        <w:t>discontinued operations</w:t>
      </w:r>
      <w:r>
        <w:rPr>
          <w:rFonts w:ascii="Times New Roman" w:hAnsi="Times New Roman" w:cs="Times New Roman"/>
          <w:b w:val="0"/>
          <w:i w:val="0"/>
          <w:sz w:val="24"/>
        </w:rPr>
        <w:t xml:space="preserve">)—ditambah pos keempat, </w:t>
      </w:r>
      <w:r>
        <w:rPr>
          <w:rFonts w:ascii="Times New Roman" w:hAnsi="Times New Roman" w:cs="Times New Roman"/>
          <w:b/>
          <w:i w:val="0"/>
          <w:sz w:val="24"/>
        </w:rPr>
        <w:t>penyesuaian periode lalu</w:t>
      </w:r>
      <w:r>
        <w:rPr>
          <w:rFonts w:ascii="Times New Roman" w:hAnsi="Times New Roman" w:cs="Times New Roman"/>
          <w:b w:val="0"/>
          <w:i w:val="0"/>
          <w:sz w:val="24"/>
        </w:rPr>
        <w:t xml:space="preserve"> (</w:t>
      </w:r>
      <w:r>
        <w:rPr>
          <w:rFonts w:ascii="Times New Roman" w:hAnsi="Times New Roman" w:cs="Times New Roman"/>
          <w:b w:val="0"/>
          <w:i/>
          <w:sz w:val="24"/>
        </w:rPr>
        <w:t>prior period adjustments</w:t>
      </w:r>
      <w:r>
        <w:rPr>
          <w:rFonts w:ascii="Times New Roman" w:hAnsi="Times New Roman" w:cs="Times New Roman"/>
          <w:b w:val="0"/>
          <w:i w:val="0"/>
          <w:sz w:val="24"/>
        </w:rPr>
        <w:t xml:space="preserve">), yang dilaporkan dalam laporan laba ditahan (Wolk et al., 2017, PDF hlm. 13). Keberadaan seksi ini sendiri merupakan kelanjutan dilema </w:t>
      </w:r>
      <w:r>
        <w:rPr>
          <w:rFonts w:ascii="Times New Roman" w:hAnsi="Times New Roman" w:cs="Times New Roman"/>
          <w:b w:val="0"/>
          <w:i/>
          <w:sz w:val="24"/>
        </w:rPr>
        <w:t>current operating versus all-inclusive</w:t>
      </w:r>
      <w:r>
        <w:rPr>
          <w:rFonts w:ascii="Times New Roman" w:hAnsi="Times New Roman" w:cs="Times New Roman"/>
          <w:b w:val="0"/>
          <w:i w:val="0"/>
          <w:sz w:val="24"/>
        </w:rPr>
        <w:t>: persoalannya selalu kembali pada bagaimana memisahkan komponen berulang yang normal dari yang tidak berulang, demi pengguna yang menilai operasi masa lalu dan memproyeksikan operasi masa depan (Wolk et al., 2017, PDF hlm. 13).</w:t>
      </w:r>
    </w:p>
    <w:p>
      <w:pPr>
        <w:spacing w:lineRule="exact" w:line="360" w:before="0" w:after="120"/>
        <w:jc w:val="both"/>
      </w:pPr>
      <w:r>
        <w:rPr>
          <w:rFonts w:ascii="Times New Roman" w:hAnsi="Times New Roman" w:cs="Times New Roman"/>
          <w:b w:val="0"/>
          <w:i w:val="0"/>
          <w:sz w:val="24"/>
        </w:rPr>
        <w:t xml:space="preserve">Penanganan </w:t>
      </w:r>
      <w:r>
        <w:rPr>
          <w:rFonts w:ascii="Times New Roman" w:hAnsi="Times New Roman" w:cs="Times New Roman"/>
          <w:b w:val="0"/>
          <w:i/>
          <w:sz w:val="24"/>
        </w:rPr>
        <w:t>extraordinary items</w:t>
      </w:r>
      <w:r>
        <w:rPr>
          <w:rFonts w:ascii="Times New Roman" w:hAnsi="Times New Roman" w:cs="Times New Roman"/>
          <w:b w:val="0"/>
          <w:i w:val="0"/>
          <w:sz w:val="24"/>
        </w:rPr>
        <w:t xml:space="preserve"> adalah contoh terbaik pergeseran dari </w:t>
      </w:r>
      <w:r>
        <w:rPr>
          <w:rFonts w:ascii="Times New Roman" w:hAnsi="Times New Roman" w:cs="Times New Roman"/>
          <w:b/>
          <w:i w:val="0"/>
          <w:sz w:val="24"/>
        </w:rPr>
        <w:t>keseragaman terhingga</w:t>
      </w:r>
      <w:r>
        <w:rPr>
          <w:rFonts w:ascii="Times New Roman" w:hAnsi="Times New Roman" w:cs="Times New Roman"/>
          <w:b w:val="0"/>
          <w:i w:val="0"/>
          <w:sz w:val="24"/>
        </w:rPr>
        <w:t xml:space="preserve"> (</w:t>
      </w:r>
      <w:r>
        <w:rPr>
          <w:rFonts w:ascii="Times New Roman" w:hAnsi="Times New Roman" w:cs="Times New Roman"/>
          <w:b w:val="0"/>
          <w:i/>
          <w:sz w:val="24"/>
        </w:rPr>
        <w:t>finite uniformity</w:t>
      </w:r>
      <w:r>
        <w:rPr>
          <w:rFonts w:ascii="Times New Roman" w:hAnsi="Times New Roman" w:cs="Times New Roman"/>
          <w:b w:val="0"/>
          <w:i w:val="0"/>
          <w:sz w:val="24"/>
        </w:rPr>
        <w:t xml:space="preserve">) menuju </w:t>
      </w:r>
      <w:r>
        <w:rPr>
          <w:rFonts w:ascii="Times New Roman" w:hAnsi="Times New Roman" w:cs="Times New Roman"/>
          <w:b/>
          <w:i w:val="0"/>
          <w:sz w:val="24"/>
        </w:rPr>
        <w:t>keseragaman kaku</w:t>
      </w:r>
      <w:r>
        <w:rPr>
          <w:rFonts w:ascii="Times New Roman" w:hAnsi="Times New Roman" w:cs="Times New Roman"/>
          <w:b w:val="0"/>
          <w:i w:val="0"/>
          <w:sz w:val="24"/>
        </w:rPr>
        <w:t xml:space="preserve"> (</w:t>
      </w:r>
      <w:r>
        <w:rPr>
          <w:rFonts w:ascii="Times New Roman" w:hAnsi="Times New Roman" w:cs="Times New Roman"/>
          <w:b w:val="0"/>
          <w:i/>
          <w:sz w:val="24"/>
        </w:rPr>
        <w:t>rigid uniformity</w:t>
      </w:r>
      <w:r>
        <w:rPr>
          <w:rFonts w:ascii="Times New Roman" w:hAnsi="Times New Roman" w:cs="Times New Roman"/>
          <w:b w:val="0"/>
          <w:i w:val="0"/>
          <w:sz w:val="24"/>
        </w:rPr>
        <w:t xml:space="preserve">)—pergeseran yang ditempuh justru karena keseragaman terhingga dinilai disalahgunakan dalam praktik. Sebelum APB Opinion No. 9, standar yang berlaku adalah Bab 8 ARB 43 (cetak ulang ARB 32, 1947) yang sangat samar, sehingga selama 19 tahun praktik akuntansi atas pos luar biasa tidak seragam. </w:t>
      </w:r>
      <w:r>
        <w:rPr>
          <w:rFonts w:ascii="Times New Roman" w:hAnsi="Times New Roman" w:cs="Times New Roman"/>
          <w:b/>
          <w:i w:val="0"/>
          <w:sz w:val="24"/>
        </w:rPr>
        <w:t>APB Opinion No. 9</w:t>
      </w:r>
      <w:r>
        <w:rPr>
          <w:rFonts w:ascii="Times New Roman" w:hAnsi="Times New Roman" w:cs="Times New Roman"/>
          <w:b w:val="0"/>
          <w:i w:val="0"/>
          <w:sz w:val="24"/>
        </w:rPr>
        <w:t xml:space="preserve"> mencoba menertibkannya dengan mewajibkan penyajian seluruh pos luar biasa dalam seksi khusus dan menawarkan definisi baru, namun definisi itu pun tetap ambigu (Wolk et al., 2017, PDF hlm. 13–14). Pada 1973, </w:t>
      </w:r>
      <w:r>
        <w:rPr>
          <w:rFonts w:ascii="Times New Roman" w:hAnsi="Times New Roman" w:cs="Times New Roman"/>
          <w:b/>
          <w:i w:val="0"/>
          <w:sz w:val="24"/>
        </w:rPr>
        <w:t>APB Opinion No. 30</w:t>
      </w:r>
      <w:r>
        <w:rPr>
          <w:rFonts w:ascii="Times New Roman" w:hAnsi="Times New Roman" w:cs="Times New Roman"/>
          <w:b w:val="0"/>
          <w:i w:val="0"/>
          <w:sz w:val="24"/>
        </w:rPr>
        <w:t xml:space="preserve"> mengambil jalan keseragaman kaku dan nyaris menghapus eksistensi pos luar biasa karena kriterianya begitu ketat: suatu pos harus </w:t>
      </w:r>
      <w:r>
        <w:rPr>
          <w:rFonts w:ascii="Times New Roman" w:hAnsi="Times New Roman" w:cs="Times New Roman"/>
          <w:b/>
          <w:i w:val="0"/>
          <w:sz w:val="24"/>
        </w:rPr>
        <w:t>sekaligus tidak lazim sifatnya</w:t>
      </w:r>
      <w:r>
        <w:rPr>
          <w:rFonts w:ascii="Times New Roman" w:hAnsi="Times New Roman" w:cs="Times New Roman"/>
          <w:b w:val="0"/>
          <w:i w:val="0"/>
          <w:sz w:val="24"/>
        </w:rPr>
        <w:t xml:space="preserve"> (</w:t>
      </w:r>
      <w:r>
        <w:rPr>
          <w:rFonts w:ascii="Times New Roman" w:hAnsi="Times New Roman" w:cs="Times New Roman"/>
          <w:b w:val="0"/>
          <w:i/>
          <w:sz w:val="24"/>
        </w:rPr>
        <w:t>unusual in nature</w:t>
      </w:r>
      <w:r>
        <w:rPr>
          <w:rFonts w:ascii="Times New Roman" w:hAnsi="Times New Roman" w:cs="Times New Roman"/>
          <w:b w:val="0"/>
          <w:i w:val="0"/>
          <w:sz w:val="24"/>
        </w:rPr>
        <w:t xml:space="preserve">) </w:t>
      </w:r>
      <w:r>
        <w:rPr>
          <w:rFonts w:ascii="Times New Roman" w:hAnsi="Times New Roman" w:cs="Times New Roman"/>
          <w:b/>
          <w:i w:val="0"/>
          <w:sz w:val="24"/>
        </w:rPr>
        <w:t>dan jarang terjadi</w:t>
      </w:r>
      <w:r>
        <w:rPr>
          <w:rFonts w:ascii="Times New Roman" w:hAnsi="Times New Roman" w:cs="Times New Roman"/>
          <w:b w:val="0"/>
          <w:i w:val="0"/>
          <w:sz w:val="24"/>
        </w:rPr>
        <w:t xml:space="preserve"> (</w:t>
      </w:r>
      <w:r>
        <w:rPr>
          <w:rFonts w:ascii="Times New Roman" w:hAnsi="Times New Roman" w:cs="Times New Roman"/>
          <w:b w:val="0"/>
          <w:i/>
          <w:sz w:val="24"/>
        </w:rPr>
        <w:t>infrequent in occurrence</w:t>
      </w:r>
      <w:r>
        <w:rPr>
          <w:rFonts w:ascii="Times New Roman" w:hAnsi="Times New Roman" w:cs="Times New Roman"/>
          <w:b w:val="0"/>
          <w:i w:val="0"/>
          <w:sz w:val="24"/>
        </w:rPr>
        <w:t xml:space="preserve">). Faktor lingkungan operasi entitas kerap menjadi penentu: kerusakan akibat embun beku pada kebun jeruk di </w:t>
      </w:r>
      <w:r>
        <w:rPr>
          <w:rFonts w:ascii="Times New Roman" w:hAnsi="Times New Roman" w:cs="Times New Roman"/>
          <w:b/>
          <w:i w:val="0"/>
          <w:sz w:val="24"/>
        </w:rPr>
        <w:t>Florida utara atau tengah</w:t>
      </w:r>
      <w:r>
        <w:rPr>
          <w:rFonts w:ascii="Times New Roman" w:hAnsi="Times New Roman" w:cs="Times New Roman"/>
          <w:b w:val="0"/>
          <w:i w:val="0"/>
          <w:sz w:val="24"/>
        </w:rPr>
        <w:t xml:space="preserve"> tidak tergolong luar biasa karena lazim terjadi setiap tiga-empat tahun, sedangkan kerusakan serupa di </w:t>
      </w:r>
      <w:r>
        <w:rPr>
          <w:rFonts w:ascii="Times New Roman" w:hAnsi="Times New Roman" w:cs="Times New Roman"/>
          <w:b/>
          <w:i w:val="0"/>
          <w:sz w:val="24"/>
        </w:rPr>
        <w:t>Florida selatan</w:t>
      </w:r>
      <w:r>
        <w:rPr>
          <w:rFonts w:ascii="Times New Roman" w:hAnsi="Times New Roman" w:cs="Times New Roman"/>
          <w:b w:val="0"/>
          <w:i w:val="0"/>
          <w:sz w:val="24"/>
        </w:rPr>
        <w:t xml:space="preserve"> atau California Selatan kemungkinan memenuhi syarat karena tidak terjadi berulang (Wolk et al., 2017, PDF hlm. 14). Pos luar biasa, bila ada, disajikan dalam seksi khusus tepat </w:t>
      </w:r>
      <w:r>
        <w:rPr>
          <w:rFonts w:ascii="Times New Roman" w:hAnsi="Times New Roman" w:cs="Times New Roman"/>
          <w:b/>
          <w:i w:val="0"/>
          <w:sz w:val="24"/>
        </w:rPr>
        <w:t>di atas laba bersih</w:t>
      </w:r>
      <w:r>
        <w:rPr>
          <w:rFonts w:ascii="Times New Roman" w:hAnsi="Times New Roman" w:cs="Times New Roman"/>
          <w:b w:val="0"/>
          <w:i w:val="0"/>
          <w:sz w:val="24"/>
        </w:rPr>
        <w:t xml:space="preserve"> dan ditampilkan </w:t>
      </w:r>
      <w:r>
        <w:rPr>
          <w:rFonts w:ascii="Times New Roman" w:hAnsi="Times New Roman" w:cs="Times New Roman"/>
          <w:b/>
          <w:i w:val="0"/>
          <w:sz w:val="24"/>
        </w:rPr>
        <w:t>neto setelah pajak</w:t>
      </w:r>
      <w:r>
        <w:rPr>
          <w:rFonts w:ascii="Times New Roman" w:hAnsi="Times New Roman" w:cs="Times New Roman"/>
          <w:b w:val="0"/>
          <w:i w:val="0"/>
          <w:sz w:val="24"/>
        </w:rPr>
        <w:t xml:space="preserve">; sebaliknya, pos yang tidak lazim </w:t>
      </w:r>
      <w:r>
        <w:rPr>
          <w:rFonts w:ascii="Times New Roman" w:hAnsi="Times New Roman" w:cs="Times New Roman"/>
          <w:b w:val="0"/>
          <w:i/>
          <w:sz w:val="24"/>
        </w:rPr>
        <w:t>atau</w:t>
      </w:r>
      <w:r>
        <w:rPr>
          <w:rFonts w:ascii="Times New Roman" w:hAnsi="Times New Roman" w:cs="Times New Roman"/>
          <w:b w:val="0"/>
          <w:i w:val="0"/>
          <w:sz w:val="24"/>
        </w:rPr>
        <w:t xml:space="preserve"> jarang terjadi namun tidak keduanya disajikan bersama pos berulang normal—jika material, dipisahkan di atas kaption </w:t>
      </w:r>
      <w:r>
        <w:rPr>
          <w:rFonts w:ascii="Times New Roman" w:hAnsi="Times New Roman" w:cs="Times New Roman"/>
          <w:b w:val="0"/>
          <w:i/>
          <w:sz w:val="24"/>
        </w:rPr>
        <w:t>income (loss) before extraordinary items</w:t>
      </w:r>
      <w:r>
        <w:rPr>
          <w:rFonts w:ascii="Times New Roman" w:hAnsi="Times New Roman" w:cs="Times New Roman"/>
          <w:b w:val="0"/>
          <w:i w:val="0"/>
          <w:sz w:val="24"/>
        </w:rPr>
        <w:t xml:space="preserve"> dan tidak boleh disajikan neto pajak (Wolk et al., 2017, PDF hlm. 14).</w:t>
      </w:r>
    </w:p>
    <w:p>
      <w:pPr>
        <w:spacing w:lineRule="exact" w:line="360" w:before="0" w:after="120"/>
        <w:jc w:val="both"/>
      </w:pPr>
      <w:r>
        <w:rPr>
          <w:rFonts w:ascii="Times New Roman" w:hAnsi="Times New Roman" w:cs="Times New Roman"/>
          <w:b w:val="0"/>
          <w:i w:val="0"/>
          <w:sz w:val="24"/>
        </w:rPr>
        <w:t xml:space="preserve">Untuk </w:t>
      </w:r>
      <w:r>
        <w:rPr>
          <w:rFonts w:ascii="Times New Roman" w:hAnsi="Times New Roman" w:cs="Times New Roman"/>
          <w:b w:val="0"/>
          <w:i/>
          <w:sz w:val="24"/>
        </w:rPr>
        <w:t>accounting changes</w:t>
      </w:r>
      <w:r>
        <w:rPr>
          <w:rFonts w:ascii="Times New Roman" w:hAnsi="Times New Roman" w:cs="Times New Roman"/>
          <w:b w:val="0"/>
          <w:i w:val="0"/>
          <w:sz w:val="24"/>
        </w:rPr>
        <w:t xml:space="preserve">, terdapat tiga kategori: </w:t>
      </w:r>
      <w:r>
        <w:rPr>
          <w:rFonts w:ascii="Times New Roman" w:hAnsi="Times New Roman" w:cs="Times New Roman"/>
          <w:b/>
          <w:i w:val="0"/>
          <w:sz w:val="24"/>
        </w:rPr>
        <w:t>perubahan prinsip akuntansi</w:t>
      </w:r>
      <w:r>
        <w:rPr>
          <w:rFonts w:ascii="Times New Roman" w:hAnsi="Times New Roman" w:cs="Times New Roman"/>
          <w:b w:val="0"/>
          <w:i w:val="0"/>
          <w:sz w:val="24"/>
        </w:rPr>
        <w:t xml:space="preserve"> (misalnya beralih dari penyusutan garis lurus ke metode dipercepat), </w:t>
      </w:r>
      <w:r>
        <w:rPr>
          <w:rFonts w:ascii="Times New Roman" w:hAnsi="Times New Roman" w:cs="Times New Roman"/>
          <w:b/>
          <w:i w:val="0"/>
          <w:sz w:val="24"/>
        </w:rPr>
        <w:t>perubahan estimasi akuntansi</w:t>
      </w:r>
      <w:r>
        <w:rPr>
          <w:rFonts w:ascii="Times New Roman" w:hAnsi="Times New Roman" w:cs="Times New Roman"/>
          <w:b w:val="0"/>
          <w:i w:val="0"/>
          <w:sz w:val="24"/>
        </w:rPr>
        <w:t xml:space="preserve"> (misalnya umur aset yang semula ditaksir 10 tahun direvisi menjadi lebih pendek seiring tersedianya informasi baru), dan </w:t>
      </w:r>
      <w:r>
        <w:rPr>
          <w:rFonts w:ascii="Times New Roman" w:hAnsi="Times New Roman" w:cs="Times New Roman"/>
          <w:b/>
          <w:i w:val="0"/>
          <w:sz w:val="24"/>
        </w:rPr>
        <w:t>perubahan entitas pelaporan</w:t>
      </w:r>
      <w:r>
        <w:rPr>
          <w:rFonts w:ascii="Times New Roman" w:hAnsi="Times New Roman" w:cs="Times New Roman"/>
          <w:b w:val="0"/>
          <w:i w:val="0"/>
          <w:sz w:val="24"/>
        </w:rPr>
        <w:t xml:space="preserve"> (perubahan material atas kelompok entitas yang dilaporkan) (Wolk et al., 2017, PDF hlm. 15).</w:t>
      </w:r>
    </w:p>
    <w:p>
      <w:pPr>
        <w:spacing w:lineRule="exact" w:line="360" w:before="0" w:after="0"/>
        <w:jc w:val="center"/>
      </w:pPr>
      <w:r>
        <w:rPr>
          <w:rFonts w:ascii="Times New Roman" w:hAnsi="Times New Roman" w:cs="Times New Roman"/>
          <w:b/>
          <w:i w:val="0"/>
          <w:sz w:val="22"/>
        </w:rPr>
        <w:t xml:space="preserve">Tabel 3. </w:t>
      </w:r>
      <w:r>
        <w:rPr>
          <w:rFonts w:ascii="Times New Roman" w:hAnsi="Times New Roman" w:cs="Times New Roman"/>
          <w:b w:val="0"/>
          <w:i w:val="0"/>
          <w:sz w:val="22"/>
        </w:rPr>
        <w:t>Tiga jenis perubahan akuntansi dan perlakuannya</w:t>
      </w:r>
    </w:p>
    <w:p>
      <w:pPr>
        <w:spacing w:lineRule="exact" w:line="360" w:before="0" w:after="80"/>
        <w:jc w:val="center"/>
      </w:pPr>
      <w:r>
        <w:rPr>
          <w:rFonts w:ascii="Times New Roman" w:hAnsi="Times New Roman" w:cs="Times New Roman"/>
          <w:b w:val="0"/>
          <w:i/>
          <w:sz w:val="22"/>
        </w:rPr>
        <w:t>Sumber: diolah dari Wolk et al. (2017), PDF hlm. 15–16</w:t>
      </w:r>
    </w:p>
    <w:tbl>
      <w:tblPr>
        <w:tblStyle w:val="TableGrid"/>
        <w:tblW w:type="auto" w:w="0"/>
        <w:jc w:val="center"/>
        <w:tblLook w:firstColumn="1" w:firstRow="1" w:lastColumn="0" w:lastRow="0" w:noHBand="0" w:noVBand="1" w:val="04A0"/>
      </w:tblPr>
      <w:tblGrid>
        <w:gridCol w:w="2835"/>
        <w:gridCol w:w="2835"/>
        <w:gridCol w:w="2835"/>
      </w:tblGrid>
      <w:tr>
        <w:tc>
          <w:tcPr>
            <w:tcW w:type="dxa" w:w="2381"/>
          </w:tcPr>
          <w:p>
            <w:r/>
            <w:r>
              <w:rPr>
                <w:rFonts w:ascii="Times New Roman" w:hAnsi="Times New Roman" w:cs="Times New Roman"/>
                <w:b/>
                <w:i w:val="0"/>
                <w:sz w:val="22"/>
              </w:rPr>
              <w:t>Jenis perubahan</w:t>
            </w:r>
          </w:p>
        </w:tc>
        <w:tc>
          <w:tcPr>
            <w:tcW w:type="dxa" w:w="3061"/>
          </w:tcPr>
          <w:p>
            <w:r/>
            <w:r>
              <w:rPr>
                <w:rFonts w:ascii="Times New Roman" w:hAnsi="Times New Roman" w:cs="Times New Roman"/>
                <w:b/>
                <w:i w:val="0"/>
                <w:sz w:val="22"/>
              </w:rPr>
              <w:t>APB Opinion No. 20</w:t>
            </w:r>
          </w:p>
        </w:tc>
        <w:tc>
          <w:tcPr>
            <w:tcW w:type="dxa" w:w="3061"/>
          </w:tcPr>
          <w:p>
            <w:r/>
            <w:r>
              <w:rPr>
                <w:rFonts w:ascii="Times New Roman" w:hAnsi="Times New Roman" w:cs="Times New Roman"/>
                <w:b/>
                <w:i w:val="0"/>
                <w:sz w:val="22"/>
              </w:rPr>
              <w:t>SFAS No. 154</w:t>
            </w:r>
          </w:p>
        </w:tc>
      </w:tr>
      <w:tr>
        <w:tc>
          <w:tcPr>
            <w:tcW w:type="dxa" w:w="2381"/>
          </w:tcPr>
          <w:p>
            <w:pPr>
              <w:spacing w:lineRule="exact" w:line="280"/>
            </w:pPr>
            <w:r/>
            <w:r>
              <w:rPr>
                <w:rFonts w:ascii="Times New Roman" w:hAnsi="Times New Roman" w:cs="Times New Roman"/>
                <w:b w:val="0"/>
                <w:i w:val="0"/>
                <w:sz w:val="22"/>
              </w:rPr>
              <w:t>Change in accounting principle (prinsip GAAP lama → GAAP lain)</w:t>
            </w:r>
          </w:p>
        </w:tc>
        <w:tc>
          <w:tcPr>
            <w:tcW w:type="dxa" w:w="3061"/>
          </w:tcPr>
          <w:p>
            <w:pPr>
              <w:spacing w:lineRule="exact" w:line="280"/>
            </w:pPr>
            <w:r/>
            <w:r>
              <w:rPr>
                <w:rFonts w:ascii="Times New Roman" w:hAnsi="Times New Roman" w:cs="Times New Roman"/>
                <w:b w:val="0"/>
                <w:i w:val="0"/>
                <w:sz w:val="22"/>
              </w:rPr>
              <w:t>Cumulative effect disajikan di laporan laba rugi berjalan, tepat di bawah extraordinary items</w:t>
            </w:r>
          </w:p>
        </w:tc>
        <w:tc>
          <w:tcPr>
            <w:tcW w:type="dxa" w:w="3061"/>
          </w:tcPr>
          <w:p>
            <w:pPr>
              <w:spacing w:lineRule="exact" w:line="280"/>
            </w:pPr>
            <w:r/>
            <w:r>
              <w:rPr>
                <w:rFonts w:ascii="Times New Roman" w:hAnsi="Times New Roman" w:cs="Times New Roman"/>
                <w:b w:val="0"/>
                <w:i w:val="0"/>
                <w:sz w:val="22"/>
              </w:rPr>
              <w:t>Retrospektif ke semua laporan laba rugi terdampak, kecuali impraktis; saldo neraca disesuaikan ke awal periode pertama yang disajikan</w:t>
            </w:r>
          </w:p>
        </w:tc>
      </w:tr>
      <w:tr>
        <w:tc>
          <w:tcPr>
            <w:tcW w:type="dxa" w:w="2381"/>
          </w:tcPr>
          <w:p>
            <w:pPr>
              <w:spacing w:lineRule="exact" w:line="280"/>
            </w:pPr>
            <w:r/>
            <w:r>
              <w:rPr>
                <w:rFonts w:ascii="Times New Roman" w:hAnsi="Times New Roman" w:cs="Times New Roman"/>
                <w:b w:val="0"/>
                <w:i w:val="0"/>
                <w:sz w:val="22"/>
              </w:rPr>
              <w:t>Change in accounting estimate (informasi baru atas estimasi)</w:t>
            </w:r>
          </w:p>
        </w:tc>
        <w:tc>
          <w:tcPr>
            <w:tcW w:type="dxa" w:w="3061"/>
          </w:tcPr>
          <w:p>
            <w:pPr>
              <w:spacing w:lineRule="exact" w:line="280"/>
            </w:pPr>
            <w:r/>
            <w:r>
              <w:rPr>
                <w:rFonts w:ascii="Times New Roman" w:hAnsi="Times New Roman" w:cs="Times New Roman"/>
                <w:b w:val="0"/>
                <w:i w:val="0"/>
                <w:sz w:val="22"/>
              </w:rPr>
              <w:t>Prospektif: periode berjalan dan/atau periode mendatang</w:t>
            </w:r>
          </w:p>
        </w:tc>
        <w:tc>
          <w:tcPr>
            <w:tcW w:type="dxa" w:w="3061"/>
          </w:tcPr>
          <w:p>
            <w:pPr>
              <w:spacing w:lineRule="exact" w:line="280"/>
            </w:pPr>
            <w:r/>
            <w:r>
              <w:rPr>
                <w:rFonts w:ascii="Times New Roman" w:hAnsi="Times New Roman" w:cs="Times New Roman"/>
                <w:b w:val="0"/>
                <w:i w:val="0"/>
                <w:sz w:val="22"/>
              </w:rPr>
              <w:t>Sama (prospektif); perubahan depresiasi/deplesi/amortisasi akibat perubahan prinsip diperlakukan sebagai perubahan estimasi</w:t>
            </w:r>
          </w:p>
        </w:tc>
      </w:tr>
      <w:tr>
        <w:tc>
          <w:tcPr>
            <w:tcW w:type="dxa" w:w="2381"/>
          </w:tcPr>
          <w:p>
            <w:pPr>
              <w:spacing w:lineRule="exact" w:line="280"/>
            </w:pPr>
            <w:r/>
            <w:r>
              <w:rPr>
                <w:rFonts w:ascii="Times New Roman" w:hAnsi="Times New Roman" w:cs="Times New Roman"/>
                <w:b w:val="0"/>
                <w:i w:val="0"/>
                <w:sz w:val="22"/>
              </w:rPr>
              <w:t>Change in reporting entity (komposisi entitas pelapor berubah)</w:t>
            </w:r>
          </w:p>
        </w:tc>
        <w:tc>
          <w:tcPr>
            <w:tcW w:type="dxa" w:w="3061"/>
          </w:tcPr>
          <w:p>
            <w:pPr>
              <w:spacing w:lineRule="exact" w:line="280"/>
            </w:pPr>
            <w:r/>
            <w:r>
              <w:rPr>
                <w:rFonts w:ascii="Times New Roman" w:hAnsi="Times New Roman" w:cs="Times New Roman"/>
                <w:b w:val="0"/>
                <w:i w:val="0"/>
                <w:sz w:val="22"/>
              </w:rPr>
              <w:t>Restate seluruh laporan periode sebelumnya; ungkap sifat, alasan, dan efeknya</w:t>
            </w:r>
          </w:p>
        </w:tc>
        <w:tc>
          <w:tcPr>
            <w:tcW w:type="dxa" w:w="3061"/>
          </w:tcPr>
          <w:p>
            <w:pPr>
              <w:spacing w:lineRule="exact" w:line="280"/>
            </w:pPr>
            <w:r/>
            <w:r>
              <w:rPr>
                <w:rFonts w:ascii="Times New Roman" w:hAnsi="Times New Roman" w:cs="Times New Roman"/>
                <w:b w:val="0"/>
                <w:i w:val="0"/>
                <w:sz w:val="22"/>
              </w:rPr>
              <w:t>Tidak diubah oleh SFAS 154</w:t>
            </w:r>
          </w:p>
        </w:tc>
      </w:tr>
    </w:tbl>
    <w:p>
      <w:pPr>
        <w:spacing w:lineRule="exact" w:line="360" w:before="0" w:after="0"/>
        <w:jc w:val="both"/>
      </w:pPr>
      <w:r>
        <w:rPr>
          <w:rFonts w:ascii="Times New Roman" w:hAnsi="Times New Roman" w:cs="Times New Roman"/>
          <w:b w:val="0"/>
          <w:i w:val="0"/>
          <w:sz w:val="24"/>
        </w:rPr>
      </w:r>
    </w:p>
    <w:p>
      <w:pPr>
        <w:spacing w:lineRule="exact" w:line="360" w:before="0" w:after="120"/>
        <w:jc w:val="both"/>
      </w:pPr>
      <w:r>
        <w:rPr>
          <w:rFonts w:ascii="Times New Roman" w:hAnsi="Times New Roman" w:cs="Times New Roman"/>
          <w:b w:val="0"/>
          <w:i w:val="0"/>
          <w:sz w:val="24"/>
        </w:rPr>
        <w:t xml:space="preserve">Di bawah </w:t>
      </w:r>
      <w:r>
        <w:rPr>
          <w:rFonts w:ascii="Times New Roman" w:hAnsi="Times New Roman" w:cs="Times New Roman"/>
          <w:b/>
          <w:i w:val="0"/>
          <w:sz w:val="24"/>
        </w:rPr>
        <w:t>APB Opinion No. 20</w:t>
      </w:r>
      <w:r>
        <w:rPr>
          <w:rFonts w:ascii="Times New Roman" w:hAnsi="Times New Roman" w:cs="Times New Roman"/>
          <w:b w:val="0"/>
          <w:i w:val="0"/>
          <w:sz w:val="24"/>
        </w:rPr>
        <w:t xml:space="preserve">, efek kumulatif perubahan prinsip dimasukkan tepat di bawah pos luar biasa dalam laporan laba rugi periode berjalan; sebaliknya </w:t>
      </w:r>
      <w:r>
        <w:rPr>
          <w:rFonts w:ascii="Times New Roman" w:hAnsi="Times New Roman" w:cs="Times New Roman"/>
          <w:b/>
          <w:i w:val="0"/>
          <w:sz w:val="24"/>
        </w:rPr>
        <w:t>SFAS No. 154</w:t>
      </w:r>
      <w:r>
        <w:rPr>
          <w:rFonts w:ascii="Times New Roman" w:hAnsi="Times New Roman" w:cs="Times New Roman"/>
          <w:b w:val="0"/>
          <w:i w:val="0"/>
          <w:sz w:val="24"/>
        </w:rPr>
        <w:t xml:space="preserve"> mensyaratkan </w:t>
      </w:r>
      <w:r>
        <w:rPr>
          <w:rFonts w:ascii="Times New Roman" w:hAnsi="Times New Roman" w:cs="Times New Roman"/>
          <w:b/>
          <w:i w:val="0"/>
          <w:sz w:val="24"/>
        </w:rPr>
        <w:t>penyajian ulang retrospektif</w:t>
      </w:r>
      <w:r>
        <w:rPr>
          <w:rFonts w:ascii="Times New Roman" w:hAnsi="Times New Roman" w:cs="Times New Roman"/>
          <w:b w:val="0"/>
          <w:i w:val="0"/>
          <w:sz w:val="24"/>
        </w:rPr>
        <w:t xml:space="preserve"> (</w:t>
      </w:r>
      <w:r>
        <w:rPr>
          <w:rFonts w:ascii="Times New Roman" w:hAnsi="Times New Roman" w:cs="Times New Roman"/>
          <w:b w:val="0"/>
          <w:i/>
          <w:sz w:val="24"/>
        </w:rPr>
        <w:t>retrospective restatement</w:t>
      </w:r>
      <w:r>
        <w:rPr>
          <w:rFonts w:ascii="Times New Roman" w:hAnsi="Times New Roman" w:cs="Times New Roman"/>
          <w:b w:val="0"/>
          <w:i w:val="0"/>
          <w:sz w:val="24"/>
        </w:rPr>
        <w:t xml:space="preserve">) atas semua laporan laba rugi terdampak kecuali tidak praktis, dengan akun neraca disesuaikan untuk mencerminkan efek kumulatif per awal periode terdini yang disajikan (Wolk et al., 2017, PDF hlm. 15). Perubahan estimasi tidak dilaporkan terpisah, melainkan ditangani secara prospektif pada periode perubahan dan periode mendatang. Satu pergeseran penting dari SFAS No. 154: perubahan prinsip yang termanifestasi melalui metode penyusutan—misalnya dari garis lurus ke </w:t>
      </w:r>
      <w:r>
        <w:rPr>
          <w:rFonts w:ascii="Times New Roman" w:hAnsi="Times New Roman" w:cs="Times New Roman"/>
          <w:b w:val="0"/>
          <w:i/>
          <w:sz w:val="24"/>
        </w:rPr>
        <w:t>sum-of-the-years-digits</w:t>
      </w:r>
      <w:r>
        <w:rPr>
          <w:rFonts w:ascii="Times New Roman" w:hAnsi="Times New Roman" w:cs="Times New Roman"/>
          <w:b w:val="0"/>
          <w:i w:val="0"/>
          <w:sz w:val="24"/>
        </w:rPr>
        <w:t xml:space="preserve">—kini diperlakukan </w:t>
      </w:r>
      <w:r>
        <w:rPr>
          <w:rFonts w:ascii="Times New Roman" w:hAnsi="Times New Roman" w:cs="Times New Roman"/>
          <w:b/>
          <w:i w:val="0"/>
          <w:sz w:val="24"/>
        </w:rPr>
        <w:t>prospektif sebagai perubahan estimasi</w:t>
      </w:r>
      <w:r>
        <w:rPr>
          <w:rFonts w:ascii="Times New Roman" w:hAnsi="Times New Roman" w:cs="Times New Roman"/>
          <w:b w:val="0"/>
          <w:i w:val="0"/>
          <w:sz w:val="24"/>
        </w:rPr>
        <w:t>, sehingga secara efektif menjadi perubahan prinsip yang ditangani layaknya perubahan estimasi (Wolk et al., 2017, PDF hlm. 15). Untuk perubahan entitas, APB Opinion No. 20 mewajibkan penyajian ulang seluruh periode lalu seakan entitas baru telah ada sepanjang periode. Secara umum, untuk pemutakhiran prinsip yang diterbitkannya, FASB cenderung memihak penyajian ulang retroaktif ketimbang metode APB Opinion No. 20 (Wolk et al., 2017, PDF hlm. 15).</w:t>
      </w:r>
    </w:p>
    <w:p>
      <w:pPr>
        <w:spacing w:lineRule="exact" w:line="360" w:before="0" w:after="120"/>
        <w:jc w:val="both"/>
      </w:pPr>
      <w:r>
        <w:rPr>
          <w:rFonts w:ascii="Times New Roman" w:hAnsi="Times New Roman" w:cs="Times New Roman"/>
          <w:b w:val="0"/>
          <w:i w:val="0"/>
          <w:sz w:val="24"/>
        </w:rPr>
        <w:t xml:space="preserve">Adapun </w:t>
      </w:r>
      <w:r>
        <w:rPr>
          <w:rFonts w:ascii="Times New Roman" w:hAnsi="Times New Roman" w:cs="Times New Roman"/>
          <w:b w:val="0"/>
          <w:i/>
          <w:sz w:val="24"/>
        </w:rPr>
        <w:t>prior period adjustments</w:t>
      </w:r>
      <w:r>
        <w:rPr>
          <w:rFonts w:ascii="Times New Roman" w:hAnsi="Times New Roman" w:cs="Times New Roman"/>
          <w:b w:val="0"/>
          <w:i w:val="0"/>
          <w:sz w:val="24"/>
        </w:rPr>
        <w:t xml:space="preserve"> dibebankan atau dikreditkan ke saldo awal laba ditahan dan disajikan neto pajak dalam laporan laba ditahan, sehingga dikecualikan dari penentuan laba bersih periode berjalan. </w:t>
      </w:r>
      <w:r>
        <w:rPr>
          <w:rFonts w:ascii="Times New Roman" w:hAnsi="Times New Roman" w:cs="Times New Roman"/>
          <w:b/>
          <w:i w:val="0"/>
          <w:sz w:val="24"/>
        </w:rPr>
        <w:t>APB Opinion No. 9</w:t>
      </w:r>
      <w:r>
        <w:rPr>
          <w:rFonts w:ascii="Times New Roman" w:hAnsi="Times New Roman" w:cs="Times New Roman"/>
          <w:b w:val="0"/>
          <w:i w:val="0"/>
          <w:sz w:val="24"/>
        </w:rPr>
        <w:t xml:space="preserve"> mula-mula menetapkan kriteria yang restriktif—pos harus teridentifikasi spesifik dengan periode lalu tertentu, ditentukan terutama oleh pihak selain manajemen, dan tidak dapat diestimasi sebelum penentuan. Namun staf </w:t>
      </w:r>
      <w:r>
        <w:rPr>
          <w:rFonts w:ascii="Times New Roman" w:hAnsi="Times New Roman" w:cs="Times New Roman"/>
          <w:b/>
          <w:i w:val="0"/>
          <w:sz w:val="24"/>
        </w:rPr>
        <w:t>SEC</w:t>
      </w:r>
      <w:r>
        <w:rPr>
          <w:rFonts w:ascii="Times New Roman" w:hAnsi="Times New Roman" w:cs="Times New Roman"/>
          <w:b w:val="0"/>
          <w:i w:val="0"/>
          <w:sz w:val="24"/>
        </w:rPr>
        <w:t xml:space="preserve"> kian mempersoalkan penerapannya dan, melalui </w:t>
      </w:r>
      <w:r>
        <w:rPr>
          <w:rFonts w:ascii="Times New Roman" w:hAnsi="Times New Roman" w:cs="Times New Roman"/>
          <w:b/>
          <w:i w:val="0"/>
          <w:sz w:val="24"/>
        </w:rPr>
        <w:t>Staff Accounting Bulletin No. 8</w:t>
      </w:r>
      <w:r>
        <w:rPr>
          <w:rFonts w:ascii="Times New Roman" w:hAnsi="Times New Roman" w:cs="Times New Roman"/>
          <w:b w:val="0"/>
          <w:i w:val="0"/>
          <w:sz w:val="24"/>
        </w:rPr>
        <w:t xml:space="preserve">, mengeluarkan beban/kredit dari litigasi sebagai penyesuaian periode lalu—padahal pos itu dicontohkan dalam APB Opinion No. 9. Tekanan ini mendorong </w:t>
      </w:r>
      <w:r>
        <w:rPr>
          <w:rFonts w:ascii="Times New Roman" w:hAnsi="Times New Roman" w:cs="Times New Roman"/>
          <w:b/>
          <w:i w:val="0"/>
          <w:sz w:val="24"/>
        </w:rPr>
        <w:t>SFAS No. 16</w:t>
      </w:r>
      <w:r>
        <w:rPr>
          <w:rFonts w:ascii="Times New Roman" w:hAnsi="Times New Roman" w:cs="Times New Roman"/>
          <w:b w:val="0"/>
          <w:i w:val="0"/>
          <w:sz w:val="24"/>
        </w:rPr>
        <w:t xml:space="preserve"> yang membatasi penyesuaian periode lalu hanya pada </w:t>
      </w:r>
      <w:r>
        <w:rPr>
          <w:rFonts w:ascii="Times New Roman" w:hAnsi="Times New Roman" w:cs="Times New Roman"/>
          <w:b/>
          <w:i w:val="0"/>
          <w:sz w:val="24"/>
        </w:rPr>
        <w:t>koreksi kesalahan</w:t>
      </w:r>
      <w:r>
        <w:rPr>
          <w:rFonts w:ascii="Times New Roman" w:hAnsi="Times New Roman" w:cs="Times New Roman"/>
          <w:b w:val="0"/>
          <w:i w:val="0"/>
          <w:sz w:val="24"/>
        </w:rPr>
        <w:t xml:space="preserve"> laporan periode lalu serta realisasi manfaat pajak atas </w:t>
      </w:r>
      <w:r>
        <w:rPr>
          <w:rFonts w:ascii="Times New Roman" w:hAnsi="Times New Roman" w:cs="Times New Roman"/>
          <w:b/>
          <w:i w:val="0"/>
          <w:sz w:val="24"/>
        </w:rPr>
        <w:t>kerugian operasi terbawa</w:t>
      </w:r>
      <w:r>
        <w:rPr>
          <w:rFonts w:ascii="Times New Roman" w:hAnsi="Times New Roman" w:cs="Times New Roman"/>
          <w:b w:val="0"/>
          <w:i w:val="0"/>
          <w:sz w:val="24"/>
        </w:rPr>
        <w:t xml:space="preserve"> (</w:t>
      </w:r>
      <w:r>
        <w:rPr>
          <w:rFonts w:ascii="Times New Roman" w:hAnsi="Times New Roman" w:cs="Times New Roman"/>
          <w:b w:val="0"/>
          <w:i/>
          <w:sz w:val="24"/>
        </w:rPr>
        <w:t>loss carryforward</w:t>
      </w:r>
      <w:r>
        <w:rPr>
          <w:rFonts w:ascii="Times New Roman" w:hAnsi="Times New Roman" w:cs="Times New Roman"/>
          <w:b w:val="0"/>
          <w:i w:val="0"/>
          <w:sz w:val="24"/>
        </w:rPr>
        <w:t xml:space="preserve">) prapenggabungan anak perusahaan yang dibeli (Wolk et al., 2017, PDF hlm. 16). Seluruh arsitektur seksi nonoperasi ini, pada akhirnya, melayani satu tujuan: menjernihkan distinksi antara komponen berulang dan </w:t>
      </w:r>
      <w:r>
        <w:rPr>
          <w:rFonts w:ascii="Times New Roman" w:hAnsi="Times New Roman" w:cs="Times New Roman"/>
          <w:b/>
          <w:i w:val="0"/>
          <w:sz w:val="24"/>
        </w:rPr>
        <w:t>transitori</w:t>
      </w:r>
      <w:r>
        <w:rPr>
          <w:rFonts w:ascii="Times New Roman" w:hAnsi="Times New Roman" w:cs="Times New Roman"/>
          <w:b w:val="0"/>
          <w:i w:val="0"/>
          <w:sz w:val="24"/>
        </w:rPr>
        <w:t xml:space="preserve"> bagi pengguna yang memforecast kinerja masa depan—kebutuhan akan ukuran kinerja yang ringkas dan dapat diperbandingkan inilah yang melatari pembahasan </w:t>
      </w:r>
      <w:r>
        <w:rPr>
          <w:rFonts w:ascii="Times New Roman" w:hAnsi="Times New Roman" w:cs="Times New Roman"/>
          <w:b w:val="0"/>
          <w:i/>
          <w:sz w:val="24"/>
        </w:rPr>
        <w:t>earnings per share</w:t>
      </w:r>
      <w:r>
        <w:rPr>
          <w:rFonts w:ascii="Times New Roman" w:hAnsi="Times New Roman" w:cs="Times New Roman"/>
          <w:b w:val="0"/>
          <w:i w:val="0"/>
          <w:sz w:val="24"/>
        </w:rPr>
        <w:t xml:space="preserve"> pada Bagian IX.</w:t>
      </w:r>
    </w:p>
    <w:p>
      <w:pPr>
        <w:spacing w:lineRule="exact" w:line="360" w:before="240" w:after="120"/>
        <w:jc w:val="left"/>
      </w:pPr>
      <w:r>
        <w:rPr>
          <w:rFonts w:ascii="Times New Roman" w:hAnsi="Times New Roman" w:cs="Times New Roman"/>
          <w:b/>
          <w:i w:val="0"/>
          <w:sz w:val="26"/>
        </w:rPr>
        <w:t>IX. Earnings per Share</w:t>
      </w:r>
    </w:p>
    <w:p>
      <w:pPr>
        <w:spacing w:lineRule="exact" w:line="360" w:before="0" w:after="120"/>
        <w:jc w:val="both"/>
      </w:pPr>
      <w:r>
        <w:rPr>
          <w:rFonts w:ascii="Times New Roman" w:hAnsi="Times New Roman" w:cs="Times New Roman"/>
          <w:b w:val="0"/>
          <w:i w:val="0"/>
          <w:sz w:val="24"/>
        </w:rPr>
        <w:t xml:space="preserve">Konsep </w:t>
      </w:r>
      <w:r>
        <w:rPr>
          <w:rFonts w:ascii="Times New Roman" w:hAnsi="Times New Roman" w:cs="Times New Roman"/>
          <w:b/>
          <w:i w:val="0"/>
          <w:sz w:val="24"/>
        </w:rPr>
        <w:t>indikator ringkas</w:t>
      </w:r>
      <w:r>
        <w:rPr>
          <w:rFonts w:ascii="Times New Roman" w:hAnsi="Times New Roman" w:cs="Times New Roman"/>
          <w:b w:val="0"/>
          <w:i w:val="0"/>
          <w:sz w:val="24"/>
        </w:rPr>
        <w:t xml:space="preserve"> (</w:t>
      </w:r>
      <w:r>
        <w:rPr>
          <w:rFonts w:ascii="Times New Roman" w:hAnsi="Times New Roman" w:cs="Times New Roman"/>
          <w:b w:val="0"/>
          <w:i/>
          <w:sz w:val="24"/>
        </w:rPr>
        <w:t>summary indicator</w:t>
      </w:r>
      <w:r>
        <w:rPr>
          <w:rFonts w:ascii="Times New Roman" w:hAnsi="Times New Roman" w:cs="Times New Roman"/>
          <w:b w:val="0"/>
          <w:i w:val="0"/>
          <w:sz w:val="24"/>
        </w:rPr>
        <w:t xml:space="preserve">) diperkenalkan FASB dalam memorandum diskusi 1979 berjudul </w:t>
      </w:r>
      <w:r>
        <w:rPr>
          <w:rFonts w:ascii="Times New Roman" w:hAnsi="Times New Roman" w:cs="Times New Roman"/>
          <w:b w:val="0"/>
          <w:i/>
          <w:sz w:val="24"/>
        </w:rPr>
        <w:t>Reporting Earnings</w:t>
      </w:r>
      <w:r>
        <w:rPr>
          <w:rFonts w:ascii="Times New Roman" w:hAnsi="Times New Roman" w:cs="Times New Roman"/>
          <w:b w:val="0"/>
          <w:i w:val="0"/>
          <w:sz w:val="24"/>
        </w:rPr>
        <w:t xml:space="preserve">: sebuah pos disebut indikator ringkas apabila satu angka tunggal mampu mengomunikasikan informasi yang luas tentang kinerja atau posisi keuangan suatu entitas (Wolk et al., 2017, PDF hlm. 17). Contohnya mencakup </w:t>
      </w:r>
      <w:r>
        <w:rPr>
          <w:rFonts w:ascii="Times New Roman" w:hAnsi="Times New Roman" w:cs="Times New Roman"/>
          <w:b/>
          <w:i w:val="0"/>
          <w:sz w:val="24"/>
        </w:rPr>
        <w:t>laba per saham</w:t>
      </w:r>
      <w:r>
        <w:rPr>
          <w:rFonts w:ascii="Times New Roman" w:hAnsi="Times New Roman" w:cs="Times New Roman"/>
          <w:b w:val="0"/>
          <w:i w:val="0"/>
          <w:sz w:val="24"/>
        </w:rPr>
        <w:t xml:space="preserve"> (</w:t>
      </w:r>
      <w:r>
        <w:rPr>
          <w:rFonts w:ascii="Times New Roman" w:hAnsi="Times New Roman" w:cs="Times New Roman"/>
          <w:b w:val="0"/>
          <w:i/>
          <w:sz w:val="24"/>
        </w:rPr>
        <w:t>earnings per share</w:t>
      </w:r>
      <w:r>
        <w:rPr>
          <w:rFonts w:ascii="Times New Roman" w:hAnsi="Times New Roman" w:cs="Times New Roman"/>
          <w:b w:val="0"/>
          <w:i w:val="0"/>
          <w:sz w:val="24"/>
        </w:rPr>
        <w:t xml:space="preserve">, EPS), </w:t>
      </w:r>
      <w:r>
        <w:rPr>
          <w:rFonts w:ascii="Times New Roman" w:hAnsi="Times New Roman" w:cs="Times New Roman"/>
          <w:b w:val="0"/>
          <w:i/>
          <w:sz w:val="24"/>
        </w:rPr>
        <w:t>return on investment</w:t>
      </w:r>
      <w:r>
        <w:rPr>
          <w:rFonts w:ascii="Times New Roman" w:hAnsi="Times New Roman" w:cs="Times New Roman"/>
          <w:b w:val="0"/>
          <w:i w:val="0"/>
          <w:sz w:val="24"/>
        </w:rPr>
        <w:t xml:space="preserve">, dan rasio utang terhadap ekuitas; di antara semuanya, EPS adalah yang paling lazim dipakai dan paling banyak menyita perhatian badan penyusun standar. Daya tariknya bagi tema </w:t>
      </w:r>
      <w:r>
        <w:rPr>
          <w:rFonts w:ascii="Times New Roman" w:hAnsi="Times New Roman" w:cs="Times New Roman"/>
          <w:b w:val="0"/>
          <w:i/>
          <w:sz w:val="24"/>
        </w:rPr>
        <w:t>decision usefulness</w:t>
      </w:r>
      <w:r>
        <w:rPr>
          <w:rFonts w:ascii="Times New Roman" w:hAnsi="Times New Roman" w:cs="Times New Roman"/>
          <w:b w:val="0"/>
          <w:i w:val="0"/>
          <w:sz w:val="24"/>
        </w:rPr>
        <w:t xml:space="preserve"> sekaligus menjelaskan kerawanannya: justru karena pengguna sangat bersandar pada satu angka, insentif untuk merekayasanya menjadi besar.</w:t>
      </w:r>
    </w:p>
    <w:p>
      <w:pPr>
        <w:spacing w:lineRule="exact" w:line="360" w:before="0" w:after="120"/>
        <w:jc w:val="both"/>
      </w:pPr>
      <w:r>
        <w:rPr>
          <w:rFonts w:ascii="Times New Roman" w:hAnsi="Times New Roman" w:cs="Times New Roman"/>
          <w:b w:val="0"/>
          <w:i w:val="0"/>
          <w:sz w:val="24"/>
        </w:rPr>
        <w:t xml:space="preserve">Sebelum APB Opinion No. 9, keputusan untuk melaporkan EPS, cara menghitungnya, dan tempat menyajikannya sepenuhnya berada pada </w:t>
      </w:r>
      <w:r>
        <w:rPr>
          <w:rFonts w:ascii="Times New Roman" w:hAnsi="Times New Roman" w:cs="Times New Roman"/>
          <w:b/>
          <w:i w:val="0"/>
          <w:sz w:val="24"/>
        </w:rPr>
        <w:t>diskresi manajemen</w:t>
      </w:r>
      <w:r>
        <w:rPr>
          <w:rFonts w:ascii="Times New Roman" w:hAnsi="Times New Roman" w:cs="Times New Roman"/>
          <w:b w:val="0"/>
          <w:i w:val="0"/>
          <w:sz w:val="24"/>
        </w:rPr>
        <w:t xml:space="preserve">, sehingga rawan dimanipulasi dan menyesatkan pengguna (Wolk et al., 2017, PDF hlm. 17). Untuk menertibkannya, APB pada 1969 menerbitkan </w:t>
      </w:r>
      <w:r>
        <w:rPr>
          <w:rFonts w:ascii="Times New Roman" w:hAnsi="Times New Roman" w:cs="Times New Roman"/>
          <w:b/>
          <w:i w:val="0"/>
          <w:sz w:val="24"/>
        </w:rPr>
        <w:t>APB Opinion No. 15</w:t>
      </w:r>
      <w:r>
        <w:rPr>
          <w:rFonts w:ascii="Times New Roman" w:hAnsi="Times New Roman" w:cs="Times New Roman"/>
          <w:b w:val="0"/>
          <w:i w:val="0"/>
          <w:sz w:val="24"/>
        </w:rPr>
        <w:t xml:space="preserve">—seperangkat aturan kaku yang dirancang agar angka EPS mencerminkan substansi ekonomi struktur modal ketimbang bentuk hukumnya, namun begitu kompleks hingga memerlukan buku interpretatif setebal </w:t>
      </w:r>
      <w:r>
        <w:rPr>
          <w:rFonts w:ascii="Times New Roman" w:hAnsi="Times New Roman" w:cs="Times New Roman"/>
          <w:b/>
          <w:i w:val="0"/>
          <w:sz w:val="24"/>
        </w:rPr>
        <w:t>116 halaman</w:t>
      </w:r>
      <w:r>
        <w:rPr>
          <w:rFonts w:ascii="Times New Roman" w:hAnsi="Times New Roman" w:cs="Times New Roman"/>
          <w:b w:val="0"/>
          <w:i w:val="0"/>
          <w:sz w:val="24"/>
        </w:rPr>
        <w:t xml:space="preserve">. Belakangan FASB, melalui </w:t>
      </w:r>
      <w:r>
        <w:rPr>
          <w:rFonts w:ascii="Times New Roman" w:hAnsi="Times New Roman" w:cs="Times New Roman"/>
          <w:b/>
          <w:i w:val="0"/>
          <w:sz w:val="24"/>
        </w:rPr>
        <w:t>SFAS No. 21</w:t>
      </w:r>
      <w:r>
        <w:rPr>
          <w:rFonts w:ascii="Times New Roman" w:hAnsi="Times New Roman" w:cs="Times New Roman"/>
          <w:b w:val="0"/>
          <w:i w:val="0"/>
          <w:sz w:val="24"/>
        </w:rPr>
        <w:t>, menangguhkan keberlakuan APB Opinion No. 15 bagi entitas nonpublik (Wolk et al., 2017, PDF hlm. 17).</w:t>
      </w:r>
    </w:p>
    <w:p>
      <w:pPr>
        <w:spacing w:lineRule="exact" w:line="360" w:before="0" w:after="120"/>
        <w:jc w:val="both"/>
      </w:pPr>
      <w:r>
        <w:rPr>
          <w:rFonts w:ascii="Times New Roman" w:hAnsi="Times New Roman" w:cs="Times New Roman"/>
          <w:b w:val="0"/>
          <w:i w:val="0"/>
          <w:sz w:val="24"/>
        </w:rPr>
        <w:t xml:space="preserve">Atas kerja sama FASB dan IASB, </w:t>
      </w:r>
      <w:r>
        <w:rPr>
          <w:rFonts w:ascii="Times New Roman" w:hAnsi="Times New Roman" w:cs="Times New Roman"/>
          <w:b/>
          <w:i w:val="0"/>
          <w:sz w:val="24"/>
        </w:rPr>
        <w:t>SFAS No. 128</w:t>
      </w:r>
      <w:r>
        <w:rPr>
          <w:rFonts w:ascii="Times New Roman" w:hAnsi="Times New Roman" w:cs="Times New Roman"/>
          <w:b w:val="0"/>
          <w:i w:val="0"/>
          <w:sz w:val="24"/>
        </w:rPr>
        <w:t xml:space="preserve"> terbit dengan tiga rasionalisasi: meningkatkan komparabilitas internasional, menyederhanakan komputasi, dan merevisi pengungkapan (Wolk et al., 2017, PDF hlm. 17). Perubahan terbesarnya adalah penghapusan </w:t>
      </w:r>
      <w:r>
        <w:rPr>
          <w:rFonts w:ascii="Times New Roman" w:hAnsi="Times New Roman" w:cs="Times New Roman"/>
          <w:b/>
          <w:i w:val="0"/>
          <w:sz w:val="24"/>
        </w:rPr>
        <w:t>primary EPS</w:t>
      </w:r>
      <w:r>
        <w:rPr>
          <w:rFonts w:ascii="Times New Roman" w:hAnsi="Times New Roman" w:cs="Times New Roman"/>
          <w:b w:val="0"/>
          <w:i w:val="0"/>
          <w:sz w:val="24"/>
        </w:rPr>
        <w:t xml:space="preserve"> (PEPS)—kategori "terdilusi sebagian" yang memasukkan efek konvertibel ke penyebut bila </w:t>
      </w:r>
      <w:r>
        <w:rPr>
          <w:rFonts w:ascii="Times New Roman" w:hAnsi="Times New Roman" w:cs="Times New Roman"/>
          <w:b w:val="0"/>
          <w:i/>
          <w:sz w:val="24"/>
        </w:rPr>
        <w:t>effective rate</w:t>
      </w:r>
      <w:r>
        <w:rPr>
          <w:rFonts w:ascii="Times New Roman" w:hAnsi="Times New Roman" w:cs="Times New Roman"/>
          <w:b w:val="0"/>
          <w:i w:val="0"/>
          <w:sz w:val="24"/>
        </w:rPr>
        <w:t xml:space="preserve"> saat penerbitan setara atau kurang dari dua pertiga </w:t>
      </w:r>
      <w:r>
        <w:rPr>
          <w:rFonts w:ascii="Times New Roman" w:hAnsi="Times New Roman" w:cs="Times New Roman"/>
          <w:b w:val="0"/>
          <w:i/>
          <w:sz w:val="24"/>
        </w:rPr>
        <w:t>Aa bond rate</w:t>
      </w:r>
      <w:r>
        <w:rPr>
          <w:rFonts w:ascii="Times New Roman" w:hAnsi="Times New Roman" w:cs="Times New Roman"/>
          <w:b w:val="0"/>
          <w:i w:val="0"/>
          <w:sz w:val="24"/>
        </w:rPr>
        <w:t xml:space="preserve">, dengan asumsi konversi sudah di ambang pintu, namun mengabaikan perubahan kondisi suku bunga setelahnya (Wolk et al., 2017, PDF hlm. 17–18). Karena perhitungannya artifisial dan sulit dipahami, penghapusannya merupakan kasus klasik "informasi yang lebih sedikit justru menghasilkan kegunaan yang lebih besar"—pengingat bahwa relevansi tidak identik dengan kelimpahan data. Sejalan dengan itu, </w:t>
      </w:r>
      <w:r>
        <w:rPr>
          <w:rFonts w:ascii="Times New Roman" w:hAnsi="Times New Roman" w:cs="Times New Roman"/>
          <w:b/>
          <w:i w:val="0"/>
          <w:sz w:val="24"/>
        </w:rPr>
        <w:t>aturan 3%</w:t>
      </w:r>
      <w:r>
        <w:rPr>
          <w:rFonts w:ascii="Times New Roman" w:hAnsi="Times New Roman" w:cs="Times New Roman"/>
          <w:b w:val="0"/>
          <w:i w:val="0"/>
          <w:sz w:val="24"/>
        </w:rPr>
        <w:t xml:space="preserve"> (yang membebaskan entitas dari menyajikan EPS terdilusi penuh bila selisihnya tidak melebihi 3% dari EPS sederhana) juga dieliminasi.</w:t>
      </w:r>
    </w:p>
    <w:p>
      <w:pPr>
        <w:spacing w:lineRule="exact" w:line="360" w:before="0" w:after="0"/>
        <w:jc w:val="center"/>
      </w:pPr>
      <w:r>
        <w:rPr>
          <w:rFonts w:ascii="Times New Roman" w:hAnsi="Times New Roman" w:cs="Times New Roman"/>
          <w:b/>
          <w:i w:val="0"/>
          <w:sz w:val="22"/>
        </w:rPr>
        <w:t xml:space="preserve">Tabel 4. </w:t>
      </w:r>
      <w:r>
        <w:rPr>
          <w:rFonts w:ascii="Times New Roman" w:hAnsi="Times New Roman" w:cs="Times New Roman"/>
          <w:b w:val="0"/>
          <w:i w:val="0"/>
          <w:sz w:val="22"/>
        </w:rPr>
        <w:t>Pergeseran APB Opinion No. 15 ke SFAS No. 128 dalam pelaporan EPS</w:t>
      </w:r>
    </w:p>
    <w:p>
      <w:pPr>
        <w:spacing w:lineRule="exact" w:line="360" w:before="0" w:after="80"/>
        <w:jc w:val="center"/>
      </w:pPr>
      <w:r>
        <w:rPr>
          <w:rFonts w:ascii="Times New Roman" w:hAnsi="Times New Roman" w:cs="Times New Roman"/>
          <w:b w:val="0"/>
          <w:i/>
          <w:sz w:val="22"/>
        </w:rPr>
        <w:t>Sumber: diolah dari Wolk et al. (2017), PDF hlm. 17–18</w:t>
      </w:r>
    </w:p>
    <w:tbl>
      <w:tblPr>
        <w:tblStyle w:val="TableGrid"/>
        <w:tblW w:type="auto" w:w="0"/>
        <w:jc w:val="center"/>
        <w:tblLook w:firstColumn="1" w:firstRow="1" w:lastColumn="0" w:lastRow="0" w:noHBand="0" w:noVBand="1" w:val="04A0"/>
      </w:tblPr>
      <w:tblGrid>
        <w:gridCol w:w="2835"/>
        <w:gridCol w:w="2835"/>
        <w:gridCol w:w="2835"/>
      </w:tblGrid>
      <w:tr>
        <w:tc>
          <w:tcPr>
            <w:tcW w:type="dxa" w:w="2041"/>
          </w:tcPr>
          <w:p>
            <w:r/>
            <w:r>
              <w:rPr>
                <w:rFonts w:ascii="Times New Roman" w:hAnsi="Times New Roman" w:cs="Times New Roman"/>
                <w:b/>
                <w:i w:val="0"/>
                <w:sz w:val="22"/>
              </w:rPr>
              <w:t>Aspek</w:t>
            </w:r>
          </w:p>
        </w:tc>
        <w:tc>
          <w:tcPr>
            <w:tcW w:type="dxa" w:w="3231"/>
          </w:tcPr>
          <w:p>
            <w:r/>
            <w:r>
              <w:rPr>
                <w:rFonts w:ascii="Times New Roman" w:hAnsi="Times New Roman" w:cs="Times New Roman"/>
                <w:b/>
                <w:i w:val="0"/>
                <w:sz w:val="22"/>
              </w:rPr>
              <w:t>APB Opinion No. 15</w:t>
            </w:r>
          </w:p>
        </w:tc>
        <w:tc>
          <w:tcPr>
            <w:tcW w:type="dxa" w:w="3231"/>
          </w:tcPr>
          <w:p>
            <w:r/>
            <w:r>
              <w:rPr>
                <w:rFonts w:ascii="Times New Roman" w:hAnsi="Times New Roman" w:cs="Times New Roman"/>
                <w:b/>
                <w:i w:val="0"/>
                <w:sz w:val="22"/>
              </w:rPr>
              <w:t>SFAS No. 128</w:t>
            </w:r>
          </w:p>
        </w:tc>
      </w:tr>
      <w:tr>
        <w:tc>
          <w:tcPr>
            <w:tcW w:type="dxa" w:w="2041"/>
          </w:tcPr>
          <w:p>
            <w:pPr>
              <w:spacing w:lineRule="exact" w:line="280"/>
            </w:pPr>
            <w:r/>
            <w:r>
              <w:rPr>
                <w:rFonts w:ascii="Times New Roman" w:hAnsi="Times New Roman" w:cs="Times New Roman"/>
                <w:b w:val="0"/>
                <w:i w:val="0"/>
                <w:sz w:val="22"/>
              </w:rPr>
              <w:t>Kategori EPS</w:t>
            </w:r>
          </w:p>
        </w:tc>
        <w:tc>
          <w:tcPr>
            <w:tcW w:type="dxa" w:w="3231"/>
          </w:tcPr>
          <w:p>
            <w:pPr>
              <w:spacing w:lineRule="exact" w:line="280"/>
            </w:pPr>
            <w:r/>
            <w:r>
              <w:rPr>
                <w:rFonts w:ascii="Times New Roman" w:hAnsi="Times New Roman" w:cs="Times New Roman"/>
                <w:b w:val="0"/>
                <w:i w:val="0"/>
                <w:sz w:val="22"/>
              </w:rPr>
              <w:t>Primary EPS (PEPS) dan fully diluted EPS</w:t>
            </w:r>
          </w:p>
        </w:tc>
        <w:tc>
          <w:tcPr>
            <w:tcW w:type="dxa" w:w="3231"/>
          </w:tcPr>
          <w:p>
            <w:pPr>
              <w:spacing w:lineRule="exact" w:line="280"/>
            </w:pPr>
            <w:r/>
            <w:r>
              <w:rPr>
                <w:rFonts w:ascii="Times New Roman" w:hAnsi="Times New Roman" w:cs="Times New Roman"/>
                <w:b w:val="0"/>
                <w:i w:val="0"/>
                <w:sz w:val="22"/>
              </w:rPr>
              <w:t>Basic EPS (tanpa dilusi) dan diluted EPS (dilusi maksimum)</w:t>
            </w:r>
          </w:p>
        </w:tc>
      </w:tr>
      <w:tr>
        <w:tc>
          <w:tcPr>
            <w:tcW w:type="dxa" w:w="2041"/>
          </w:tcPr>
          <w:p>
            <w:pPr>
              <w:spacing w:lineRule="exact" w:line="280"/>
            </w:pPr>
            <w:r/>
            <w:r>
              <w:rPr>
                <w:rFonts w:ascii="Times New Roman" w:hAnsi="Times New Roman" w:cs="Times New Roman"/>
                <w:b w:val="0"/>
                <w:i w:val="0"/>
                <w:sz w:val="22"/>
              </w:rPr>
              <w:t>PEPS</w:t>
            </w:r>
          </w:p>
        </w:tc>
        <w:tc>
          <w:tcPr>
            <w:tcW w:type="dxa" w:w="3231"/>
          </w:tcPr>
          <w:p>
            <w:pPr>
              <w:spacing w:lineRule="exact" w:line="280"/>
            </w:pPr>
            <w:r/>
            <w:r>
              <w:rPr>
                <w:rFonts w:ascii="Times New Roman" w:hAnsi="Times New Roman" w:cs="Times New Roman"/>
                <w:b w:val="0"/>
                <w:i w:val="0"/>
                <w:sz w:val="22"/>
              </w:rPr>
              <w:t>Wajib: memasukkan convertible securities bila effective rate ≤ 2/3 Aa bond rate saat terbit</w:t>
            </w:r>
          </w:p>
        </w:tc>
        <w:tc>
          <w:tcPr>
            <w:tcW w:type="dxa" w:w="3231"/>
          </w:tcPr>
          <w:p>
            <w:pPr>
              <w:spacing w:lineRule="exact" w:line="280"/>
            </w:pPr>
            <w:r/>
            <w:r>
              <w:rPr>
                <w:rFonts w:ascii="Times New Roman" w:hAnsi="Times New Roman" w:cs="Times New Roman"/>
                <w:b w:val="0"/>
                <w:i w:val="0"/>
                <w:sz w:val="22"/>
              </w:rPr>
              <w:t>Dieliminasi — perhitungan artifisial yang sulit dipahami pengguna</w:t>
            </w:r>
          </w:p>
        </w:tc>
      </w:tr>
      <w:tr>
        <w:tc>
          <w:tcPr>
            <w:tcW w:type="dxa" w:w="2041"/>
          </w:tcPr>
          <w:p>
            <w:pPr>
              <w:spacing w:lineRule="exact" w:line="280"/>
            </w:pPr>
            <w:r/>
            <w:r>
              <w:rPr>
                <w:rFonts w:ascii="Times New Roman" w:hAnsi="Times New Roman" w:cs="Times New Roman"/>
                <w:b w:val="0"/>
                <w:i w:val="0"/>
                <w:sz w:val="22"/>
              </w:rPr>
              <w:t>Aturan 3%</w:t>
            </w:r>
          </w:p>
        </w:tc>
        <w:tc>
          <w:tcPr>
            <w:tcW w:type="dxa" w:w="3231"/>
          </w:tcPr>
          <w:p>
            <w:pPr>
              <w:spacing w:lineRule="exact" w:line="280"/>
            </w:pPr>
            <w:r/>
            <w:r>
              <w:rPr>
                <w:rFonts w:ascii="Times New Roman" w:hAnsi="Times New Roman" w:cs="Times New Roman"/>
                <w:b w:val="0"/>
                <w:i w:val="0"/>
                <w:sz w:val="22"/>
              </w:rPr>
              <w:t>Bila dilusi penuh ≤ 3% dari simple EPS, cukup simple EPS</w:t>
            </w:r>
          </w:p>
        </w:tc>
        <w:tc>
          <w:tcPr>
            <w:tcW w:type="dxa" w:w="3231"/>
          </w:tcPr>
          <w:p>
            <w:pPr>
              <w:spacing w:lineRule="exact" w:line="280"/>
            </w:pPr>
            <w:r/>
            <w:r>
              <w:rPr>
                <w:rFonts w:ascii="Times New Roman" w:hAnsi="Times New Roman" w:cs="Times New Roman"/>
                <w:b w:val="0"/>
                <w:i w:val="0"/>
                <w:sz w:val="22"/>
              </w:rPr>
              <w:t>Dieliminasi — basic dan diluted selalu disajikan</w:t>
            </w:r>
          </w:p>
        </w:tc>
      </w:tr>
      <w:tr>
        <w:tc>
          <w:tcPr>
            <w:tcW w:type="dxa" w:w="2041"/>
          </w:tcPr>
          <w:p>
            <w:pPr>
              <w:spacing w:lineRule="exact" w:line="280"/>
            </w:pPr>
            <w:r/>
            <w:r>
              <w:rPr>
                <w:rFonts w:ascii="Times New Roman" w:hAnsi="Times New Roman" w:cs="Times New Roman"/>
                <w:b w:val="0"/>
                <w:i w:val="0"/>
                <w:sz w:val="22"/>
              </w:rPr>
              <w:t>Rekonsiliasi</w:t>
            </w:r>
          </w:p>
        </w:tc>
        <w:tc>
          <w:tcPr>
            <w:tcW w:type="dxa" w:w="3231"/>
          </w:tcPr>
          <w:p>
            <w:pPr>
              <w:spacing w:lineRule="exact" w:line="280"/>
            </w:pPr>
            <w:r/>
            <w:r>
              <w:rPr>
                <w:rFonts w:ascii="Times New Roman" w:hAnsi="Times New Roman" w:cs="Times New Roman"/>
                <w:b w:val="0"/>
                <w:i w:val="0"/>
                <w:sz w:val="22"/>
              </w:rPr>
              <w:t>Tidak diwajibkan</w:t>
            </w:r>
          </w:p>
        </w:tc>
        <w:tc>
          <w:tcPr>
            <w:tcW w:type="dxa" w:w="3231"/>
          </w:tcPr>
          <w:p>
            <w:pPr>
              <w:spacing w:lineRule="exact" w:line="280"/>
            </w:pPr>
            <w:r/>
            <w:r>
              <w:rPr>
                <w:rFonts w:ascii="Times New Roman" w:hAnsi="Times New Roman" w:cs="Times New Roman"/>
                <w:b w:val="0"/>
                <w:i w:val="0"/>
                <w:sz w:val="22"/>
              </w:rPr>
              <w:t>Wajib: rekonsiliasi pembilang dan penyebut basic ↔ diluted</w:t>
            </w:r>
          </w:p>
        </w:tc>
      </w:tr>
      <w:tr>
        <w:tc>
          <w:tcPr>
            <w:tcW w:type="dxa" w:w="2041"/>
          </w:tcPr>
          <w:p>
            <w:pPr>
              <w:spacing w:lineRule="exact" w:line="280"/>
            </w:pPr>
            <w:r/>
            <w:r>
              <w:rPr>
                <w:rFonts w:ascii="Times New Roman" w:hAnsi="Times New Roman" w:cs="Times New Roman"/>
                <w:b w:val="0"/>
                <w:i w:val="0"/>
                <w:sz w:val="22"/>
              </w:rPr>
              <w:t>Penyajian</w:t>
            </w:r>
          </w:p>
        </w:tc>
        <w:tc>
          <w:tcPr>
            <w:tcW w:type="dxa" w:w="3231"/>
          </w:tcPr>
          <w:p>
            <w:pPr>
              <w:spacing w:lineRule="exact" w:line="280"/>
            </w:pPr>
            <w:r/>
            <w:r>
              <w:rPr>
                <w:rFonts w:ascii="Times New Roman" w:hAnsi="Times New Roman" w:cs="Times New Roman"/>
                <w:b w:val="0"/>
                <w:i w:val="0"/>
                <w:sz w:val="22"/>
              </w:rPr>
              <w:t>Direkomendasikan kuat di laporan laba rugi</w:t>
            </w:r>
          </w:p>
        </w:tc>
        <w:tc>
          <w:tcPr>
            <w:tcW w:type="dxa" w:w="3231"/>
          </w:tcPr>
          <w:p>
            <w:pPr>
              <w:spacing w:lineRule="exact" w:line="280"/>
            </w:pPr>
            <w:r/>
            <w:r>
              <w:rPr>
                <w:rFonts w:ascii="Times New Roman" w:hAnsi="Times New Roman" w:cs="Times New Roman"/>
                <w:b w:val="0"/>
                <w:i w:val="0"/>
                <w:sz w:val="22"/>
              </w:rPr>
              <w:t>Wajib di muka laporan laba rugi, untuk income before discontinued operations/extraordinary items dan net income; tidak untuk comprehensive income</w:t>
            </w:r>
          </w:p>
        </w:tc>
      </w:tr>
    </w:tbl>
    <w:p>
      <w:pPr>
        <w:spacing w:lineRule="exact" w:line="360" w:before="0" w:after="0"/>
        <w:jc w:val="both"/>
      </w:pPr>
      <w:r>
        <w:rPr>
          <w:rFonts w:ascii="Times New Roman" w:hAnsi="Times New Roman" w:cs="Times New Roman"/>
          <w:b w:val="0"/>
          <w:i w:val="0"/>
          <w:sz w:val="24"/>
        </w:rPr>
      </w:r>
    </w:p>
    <w:p>
      <w:pPr>
        <w:spacing w:lineRule="exact" w:line="360" w:before="0" w:after="120"/>
        <w:jc w:val="both"/>
      </w:pPr>
      <w:r>
        <w:rPr>
          <w:rFonts w:ascii="Times New Roman" w:hAnsi="Times New Roman" w:cs="Times New Roman"/>
          <w:b w:val="0"/>
          <w:i w:val="0"/>
          <w:sz w:val="24"/>
        </w:rPr>
        <w:t xml:space="preserve">Di bawah SFAS No. 128, kini diwajibkan </w:t>
      </w:r>
      <w:r>
        <w:rPr>
          <w:rFonts w:ascii="Times New Roman" w:hAnsi="Times New Roman" w:cs="Times New Roman"/>
          <w:b/>
          <w:i w:val="0"/>
          <w:sz w:val="24"/>
        </w:rPr>
        <w:t>basic EPS</w:t>
      </w:r>
      <w:r>
        <w:rPr>
          <w:rFonts w:ascii="Times New Roman" w:hAnsi="Times New Roman" w:cs="Times New Roman"/>
          <w:b w:val="0"/>
          <w:i w:val="0"/>
          <w:sz w:val="24"/>
        </w:rPr>
        <w:t xml:space="preserve"> (saat tanpa dilusi) dan </w:t>
      </w:r>
      <w:r>
        <w:rPr>
          <w:rFonts w:ascii="Times New Roman" w:hAnsi="Times New Roman" w:cs="Times New Roman"/>
          <w:b/>
          <w:i w:val="0"/>
          <w:sz w:val="24"/>
        </w:rPr>
        <w:t>diluted EPS</w:t>
      </w:r>
      <w:r>
        <w:rPr>
          <w:rFonts w:ascii="Times New Roman" w:hAnsi="Times New Roman" w:cs="Times New Roman"/>
          <w:b w:val="0"/>
          <w:i w:val="0"/>
          <w:sz w:val="24"/>
        </w:rPr>
        <w:t xml:space="preserve"> (saat dilusi maksimum), keduanya disajikan langsung </w:t>
      </w:r>
      <w:r>
        <w:rPr>
          <w:rFonts w:ascii="Times New Roman" w:hAnsi="Times New Roman" w:cs="Times New Roman"/>
          <w:b/>
          <w:i w:val="0"/>
          <w:sz w:val="24"/>
        </w:rPr>
        <w:t>di muka laporan laba rugi</w:t>
      </w:r>
      <w:r>
        <w:rPr>
          <w:rFonts w:ascii="Times New Roman" w:hAnsi="Times New Roman" w:cs="Times New Roman"/>
          <w:b w:val="0"/>
          <w:i w:val="0"/>
          <w:sz w:val="24"/>
        </w:rPr>
        <w:t xml:space="preserve">—baik untuk laba sebelum operasi yang dihentikan dan pos luar biasa maupun untuk laba bersih, tetapi </w:t>
      </w:r>
      <w:r>
        <w:rPr>
          <w:rFonts w:ascii="Times New Roman" w:hAnsi="Times New Roman" w:cs="Times New Roman"/>
          <w:b/>
          <w:i w:val="0"/>
          <w:sz w:val="24"/>
        </w:rPr>
        <w:t>bukan</w:t>
      </w:r>
      <w:r>
        <w:rPr>
          <w:rFonts w:ascii="Times New Roman" w:hAnsi="Times New Roman" w:cs="Times New Roman"/>
          <w:b w:val="0"/>
          <w:i w:val="0"/>
          <w:sz w:val="24"/>
        </w:rPr>
        <w:t xml:space="preserve"> untuk laba komprehensif (Wolk et al., 2017, PDF hlm. 18). Standar ini turut mensyaratkan </w:t>
      </w:r>
      <w:r>
        <w:rPr>
          <w:rFonts w:ascii="Times New Roman" w:hAnsi="Times New Roman" w:cs="Times New Roman"/>
          <w:b/>
          <w:i w:val="0"/>
          <w:sz w:val="24"/>
        </w:rPr>
        <w:t>rekonsiliasi</w:t>
      </w:r>
      <w:r>
        <w:rPr>
          <w:rFonts w:ascii="Times New Roman" w:hAnsi="Times New Roman" w:cs="Times New Roman"/>
          <w:b w:val="0"/>
          <w:i w:val="0"/>
          <w:sz w:val="24"/>
        </w:rPr>
        <w:t xml:space="preserve"> baik pembilang maupun penyebut antara basic dan diluted EPS, sehingga pengguna dapat menilai efek penuh dilusi secara transparan. Sekali lagi tampak gema dilema </w:t>
      </w:r>
      <w:r>
        <w:rPr>
          <w:rFonts w:ascii="Times New Roman" w:hAnsi="Times New Roman" w:cs="Times New Roman"/>
          <w:b/>
          <w:i w:val="0"/>
          <w:sz w:val="24"/>
        </w:rPr>
        <w:t>keseragaman terhingga</w:t>
      </w:r>
      <w:r>
        <w:rPr>
          <w:rFonts w:ascii="Times New Roman" w:hAnsi="Times New Roman" w:cs="Times New Roman"/>
          <w:b w:val="0"/>
          <w:i w:val="0"/>
          <w:sz w:val="24"/>
        </w:rPr>
        <w:t xml:space="preserve"> (</w:t>
      </w:r>
      <w:r>
        <w:rPr>
          <w:rFonts w:ascii="Times New Roman" w:hAnsi="Times New Roman" w:cs="Times New Roman"/>
          <w:b w:val="0"/>
          <w:i/>
          <w:sz w:val="24"/>
        </w:rPr>
        <w:t>finite uniformity</w:t>
      </w:r>
      <w:r>
        <w:rPr>
          <w:rFonts w:ascii="Times New Roman" w:hAnsi="Times New Roman" w:cs="Times New Roman"/>
          <w:b w:val="0"/>
          <w:i w:val="0"/>
          <w:sz w:val="24"/>
        </w:rPr>
        <w:t xml:space="preserve">) versus </w:t>
      </w:r>
      <w:r>
        <w:rPr>
          <w:rFonts w:ascii="Times New Roman" w:hAnsi="Times New Roman" w:cs="Times New Roman"/>
          <w:b/>
          <w:i w:val="0"/>
          <w:sz w:val="24"/>
        </w:rPr>
        <w:t>keseragaman kaku</w:t>
      </w:r>
      <w:r>
        <w:rPr>
          <w:rFonts w:ascii="Times New Roman" w:hAnsi="Times New Roman" w:cs="Times New Roman"/>
          <w:b w:val="0"/>
          <w:i w:val="0"/>
          <w:sz w:val="24"/>
        </w:rPr>
        <w:t xml:space="preserve"> (</w:t>
      </w:r>
      <w:r>
        <w:rPr>
          <w:rFonts w:ascii="Times New Roman" w:hAnsi="Times New Roman" w:cs="Times New Roman"/>
          <w:b w:val="0"/>
          <w:i/>
          <w:sz w:val="24"/>
        </w:rPr>
        <w:t>rigid uniformity</w:t>
      </w:r>
      <w:r>
        <w:rPr>
          <w:rFonts w:ascii="Times New Roman" w:hAnsi="Times New Roman" w:cs="Times New Roman"/>
          <w:b w:val="0"/>
          <w:i w:val="0"/>
          <w:sz w:val="24"/>
        </w:rPr>
        <w:t>): dengan menghapus PEPS dan aturan 3%, penyusun standar memangkas keluwesan demi keseragaman dan komparabilitas lintas negara. Pelajaran inti—bahwa kompleksitas pengukuran dan diskresi manajemen dapat menggerus kegunaan angka ringkas—akan diperdalam pada Bagian X, yang menelusuri sejumlah topik khusus pengukuran laba tempat tarik-menarik antara konsekuensi ekonomi dan kesetiaan representasional kembali mengemuka.</w:t>
      </w:r>
    </w:p>
    <w:p>
      <w:pPr>
        <w:spacing w:lineRule="exact" w:line="360" w:before="240" w:after="120"/>
        <w:jc w:val="left"/>
      </w:pPr>
      <w:r>
        <w:rPr>
          <w:rFonts w:ascii="Times New Roman" w:hAnsi="Times New Roman" w:cs="Times New Roman"/>
          <w:b/>
          <w:i w:val="0"/>
          <w:sz w:val="26"/>
        </w:rPr>
        <w:t>X. Topik Khusus dalam Pengukuran Laba</w:t>
      </w:r>
    </w:p>
    <w:p>
      <w:pPr>
        <w:spacing w:lineRule="exact" w:line="360" w:before="0" w:after="120"/>
        <w:jc w:val="both"/>
      </w:pPr>
      <w:r>
        <w:rPr>
          <w:rFonts w:ascii="Times New Roman" w:hAnsi="Times New Roman" w:cs="Times New Roman"/>
          <w:b w:val="0"/>
          <w:i w:val="0"/>
          <w:sz w:val="24"/>
        </w:rPr>
        <w:t xml:space="preserve">Sejumlah topik khusus mengilustrasikan bagaimana konsensus standar akuntansi berevolusi—kerap bertahun-tahun dan berdampak material pada laba—serta bagaimana ketiadaan kerangka teori yang konsisten menghambat penetapan standar (Wolk et al., 2017, PDF hlm. 18). Keempat kasus berikut menjadi laboratorium bagi tema kursus: tarik-menarik antara </w:t>
      </w:r>
      <w:r>
        <w:rPr>
          <w:rFonts w:ascii="Times New Roman" w:hAnsi="Times New Roman" w:cs="Times New Roman"/>
          <w:b w:val="0"/>
          <w:i/>
          <w:sz w:val="24"/>
        </w:rPr>
        <w:t>decision usefulness</w:t>
      </w:r>
      <w:r>
        <w:rPr>
          <w:rFonts w:ascii="Times New Roman" w:hAnsi="Times New Roman" w:cs="Times New Roman"/>
          <w:b w:val="0"/>
          <w:i w:val="0"/>
          <w:sz w:val="24"/>
        </w:rPr>
        <w:t>, kesetiaan representasional (</w:t>
      </w:r>
      <w:r>
        <w:rPr>
          <w:rFonts w:ascii="Times New Roman" w:hAnsi="Times New Roman" w:cs="Times New Roman"/>
          <w:b w:val="0"/>
          <w:i/>
          <w:sz w:val="24"/>
        </w:rPr>
        <w:t>representational faithfulness</w:t>
      </w:r>
      <w:r>
        <w:rPr>
          <w:rFonts w:ascii="Times New Roman" w:hAnsi="Times New Roman" w:cs="Times New Roman"/>
          <w:b w:val="0"/>
          <w:i w:val="0"/>
          <w:sz w:val="24"/>
        </w:rPr>
        <w:t>), dan konsekuensi ekonomi (</w:t>
      </w:r>
      <w:r>
        <w:rPr>
          <w:rFonts w:ascii="Times New Roman" w:hAnsi="Times New Roman" w:cs="Times New Roman"/>
          <w:b w:val="0"/>
          <w:i/>
          <w:sz w:val="24"/>
        </w:rPr>
        <w:t>economic consequences</w:t>
      </w:r>
      <w:r>
        <w:rPr>
          <w:rFonts w:ascii="Times New Roman" w:hAnsi="Times New Roman" w:cs="Times New Roman"/>
          <w:b w:val="0"/>
          <w:i w:val="0"/>
          <w:sz w:val="24"/>
        </w:rPr>
        <w:t>).</w:t>
      </w:r>
    </w:p>
    <w:p>
      <w:pPr>
        <w:spacing w:lineRule="exact" w:line="360" w:before="160" w:after="80"/>
        <w:jc w:val="left"/>
      </w:pPr>
      <w:r>
        <w:rPr>
          <w:rFonts w:ascii="Times New Roman" w:hAnsi="Times New Roman" w:cs="Times New Roman"/>
          <w:b/>
          <w:i/>
          <w:sz w:val="24"/>
        </w:rPr>
        <w:t>Development Stage Enterprises</w:t>
      </w:r>
    </w:p>
    <w:p>
      <w:pPr>
        <w:spacing w:lineRule="exact" w:line="360" w:before="0" w:after="120"/>
        <w:jc w:val="both"/>
      </w:pPr>
      <w:r>
        <w:rPr>
          <w:rFonts w:ascii="Times New Roman" w:hAnsi="Times New Roman" w:cs="Times New Roman"/>
          <w:b w:val="0"/>
          <w:i w:val="0"/>
          <w:sz w:val="24"/>
        </w:rPr>
        <w:t xml:space="preserve">Sebuah </w:t>
      </w:r>
      <w:r>
        <w:rPr>
          <w:rFonts w:ascii="Times New Roman" w:hAnsi="Times New Roman" w:cs="Times New Roman"/>
          <w:b/>
          <w:i w:val="0"/>
          <w:sz w:val="24"/>
        </w:rPr>
        <w:t>entitas tahap pengembangan</w:t>
      </w:r>
      <w:r>
        <w:rPr>
          <w:rFonts w:ascii="Times New Roman" w:hAnsi="Times New Roman" w:cs="Times New Roman"/>
          <w:b w:val="0"/>
          <w:i w:val="0"/>
          <w:sz w:val="24"/>
        </w:rPr>
        <w:t xml:space="preserve"> (</w:t>
      </w:r>
      <w:r>
        <w:rPr>
          <w:rFonts w:ascii="Times New Roman" w:hAnsi="Times New Roman" w:cs="Times New Roman"/>
          <w:b w:val="0"/>
          <w:i/>
          <w:sz w:val="24"/>
        </w:rPr>
        <w:t>development stage enterprise</w:t>
      </w:r>
      <w:r>
        <w:rPr>
          <w:rFonts w:ascii="Times New Roman" w:hAnsi="Times New Roman" w:cs="Times New Roman"/>
          <w:b w:val="0"/>
          <w:i w:val="0"/>
          <w:sz w:val="24"/>
        </w:rPr>
        <w:t xml:space="preserve">) adalah entitas yang mencurahkan hampir seluruh upayanya untuk merintis usaha baru dan belum memulai operasi utama atau belum menghasilkan pendapatan signifikan (Wolk et al., 2017, PDF hlm. 18). Pertanyaan teoretisnya: haruskah biaya tahap pengembangan dibebankan atau ditangguhkan? Sebelum 1976, entitas semacam ini lazim menangguhkan biaya sementara entitas yang sudah beroperasi membebankannya, sehingga lahir dua perangkat standar paralel padahal tidak ada keadaan relevan yang sungguh-sungguh memisahkan keduanya—gagasan manfaat masa depan dinilai terlalu rapuh (Wolk et al., 2017, PDF hlm. 18–19). </w:t>
      </w:r>
      <w:r>
        <w:rPr>
          <w:rFonts w:ascii="Times New Roman" w:hAnsi="Times New Roman" w:cs="Times New Roman"/>
          <w:b/>
          <w:i w:val="0"/>
          <w:sz w:val="24"/>
        </w:rPr>
        <w:t>SFAS No. 7</w:t>
      </w:r>
      <w:r>
        <w:rPr>
          <w:rFonts w:ascii="Times New Roman" w:hAnsi="Times New Roman" w:cs="Times New Roman"/>
          <w:b w:val="0"/>
          <w:i w:val="0"/>
          <w:sz w:val="24"/>
        </w:rPr>
        <w:t xml:space="preserve"> menjawab dengan menetapkan bahwa </w:t>
      </w:r>
      <w:r>
        <w:rPr>
          <w:rFonts w:ascii="Times New Roman" w:hAnsi="Times New Roman" w:cs="Times New Roman"/>
          <w:b/>
          <w:i w:val="0"/>
          <w:sz w:val="24"/>
        </w:rPr>
        <w:t>sifat biaya, bukan sifat entitas</w:t>
      </w:r>
      <w:r>
        <w:rPr>
          <w:rFonts w:ascii="Times New Roman" w:hAnsi="Times New Roman" w:cs="Times New Roman"/>
          <w:b w:val="0"/>
          <w:i w:val="0"/>
          <w:sz w:val="24"/>
        </w:rPr>
        <w:t xml:space="preserve">, yang menentukan perlakuan akuntansi: biaya sejenis diperlakukan sejenis tanpa memandang tahap perkembangan entitas. FASB sekaligus mewajibkan pengungkapan penuh agar pengguna tidak tersesat oleh kerugian awal yang besar, dan dengan demikian mencapai keseragaman atas dasar </w:t>
      </w:r>
      <w:r>
        <w:rPr>
          <w:rFonts w:ascii="Times New Roman" w:hAnsi="Times New Roman" w:cs="Times New Roman"/>
          <w:b/>
          <w:i w:val="0"/>
          <w:sz w:val="24"/>
        </w:rPr>
        <w:t>sifat transaksi</w:t>
      </w:r>
      <w:r>
        <w:rPr>
          <w:rFonts w:ascii="Times New Roman" w:hAnsi="Times New Roman" w:cs="Times New Roman"/>
          <w:b w:val="0"/>
          <w:i w:val="0"/>
          <w:sz w:val="24"/>
        </w:rPr>
        <w:t xml:space="preserve">, bukan sifat entitas. Pilihan ini, secara teoretis, adalah pilihan </w:t>
      </w:r>
      <w:r>
        <w:rPr>
          <w:rFonts w:ascii="Times New Roman" w:hAnsi="Times New Roman" w:cs="Times New Roman"/>
          <w:b/>
          <w:i w:val="0"/>
          <w:sz w:val="24"/>
        </w:rPr>
        <w:t>keseragaman kaku</w:t>
      </w:r>
      <w:r>
        <w:rPr>
          <w:rFonts w:ascii="Times New Roman" w:hAnsi="Times New Roman" w:cs="Times New Roman"/>
          <w:b w:val="0"/>
          <w:i w:val="0"/>
          <w:sz w:val="24"/>
        </w:rPr>
        <w:t xml:space="preserve"> (</w:t>
      </w:r>
      <w:r>
        <w:rPr>
          <w:rFonts w:ascii="Times New Roman" w:hAnsi="Times New Roman" w:cs="Times New Roman"/>
          <w:b w:val="0"/>
          <w:i/>
          <w:sz w:val="24"/>
        </w:rPr>
        <w:t>rigid uniformity</w:t>
      </w:r>
      <w:r>
        <w:rPr>
          <w:rFonts w:ascii="Times New Roman" w:hAnsi="Times New Roman" w:cs="Times New Roman"/>
          <w:b w:val="0"/>
          <w:i w:val="0"/>
          <w:sz w:val="24"/>
        </w:rPr>
        <w:t>) di atas keseragaman terhingga (</w:t>
      </w:r>
      <w:r>
        <w:rPr>
          <w:rFonts w:ascii="Times New Roman" w:hAnsi="Times New Roman" w:cs="Times New Roman"/>
          <w:b w:val="0"/>
          <w:i/>
          <w:sz w:val="24"/>
        </w:rPr>
        <w:t>finite uniformity</w:t>
      </w:r>
      <w:r>
        <w:rPr>
          <w:rFonts w:ascii="Times New Roman" w:hAnsi="Times New Roman" w:cs="Times New Roman"/>
          <w:b w:val="0"/>
          <w:i w:val="0"/>
          <w:sz w:val="24"/>
        </w:rPr>
        <w:t>)—sebab tahap pengembangan sebenarnya bisa saja diperlakukan sebagai keadaan relevan, meski itu menuntut interpretasi yang sangat longgar atas konsep keadaan relevan (Wolk et al., 2017, PDF hlm. 19).</w:t>
      </w:r>
    </w:p>
    <w:p>
      <w:pPr>
        <w:spacing w:lineRule="exact" w:line="360" w:before="160" w:after="80"/>
        <w:jc w:val="left"/>
      </w:pPr>
      <w:r>
        <w:rPr>
          <w:rFonts w:ascii="Times New Roman" w:hAnsi="Times New Roman" w:cs="Times New Roman"/>
          <w:b/>
          <w:i/>
          <w:sz w:val="24"/>
        </w:rPr>
        <w:t>Troubled Debt Restructuring</w:t>
      </w:r>
    </w:p>
    <w:p>
      <w:pPr>
        <w:spacing w:lineRule="exact" w:line="360" w:before="0" w:after="120"/>
        <w:jc w:val="both"/>
      </w:pPr>
      <w:r>
        <w:rPr>
          <w:rFonts w:ascii="Times New Roman" w:hAnsi="Times New Roman" w:cs="Times New Roman"/>
          <w:b/>
          <w:i w:val="0"/>
          <w:sz w:val="24"/>
        </w:rPr>
        <w:t>Restrukturisasi utang bermasalah</w:t>
      </w:r>
      <w:r>
        <w:rPr>
          <w:rFonts w:ascii="Times New Roman" w:hAnsi="Times New Roman" w:cs="Times New Roman"/>
          <w:b w:val="0"/>
          <w:i w:val="0"/>
          <w:sz w:val="24"/>
        </w:rPr>
        <w:t xml:space="preserve"> (</w:t>
      </w:r>
      <w:r>
        <w:rPr>
          <w:rFonts w:ascii="Times New Roman" w:hAnsi="Times New Roman" w:cs="Times New Roman"/>
          <w:b w:val="0"/>
          <w:i/>
          <w:sz w:val="24"/>
        </w:rPr>
        <w:t>troubled debt restructuring</w:t>
      </w:r>
      <w:r>
        <w:rPr>
          <w:rFonts w:ascii="Times New Roman" w:hAnsi="Times New Roman" w:cs="Times New Roman"/>
          <w:b w:val="0"/>
          <w:i w:val="0"/>
          <w:sz w:val="24"/>
        </w:rPr>
        <w:t xml:space="preserve">) terjadi ketika kreditor, karena alasan ekonomi atau hukum terkait kesulitan keuangan debitor, memberi konsesi yang dalam keadaan normal tidak akan diberikan (Wolk et al., 2017, PDF hlm. 19). </w:t>
      </w:r>
      <w:r>
        <w:rPr>
          <w:rFonts w:ascii="Times New Roman" w:hAnsi="Times New Roman" w:cs="Times New Roman"/>
          <w:b/>
          <w:i w:val="0"/>
          <w:sz w:val="24"/>
        </w:rPr>
        <w:t>SFAS No. 15</w:t>
      </w:r>
      <w:r>
        <w:rPr>
          <w:rFonts w:ascii="Times New Roman" w:hAnsi="Times New Roman" w:cs="Times New Roman"/>
          <w:b w:val="0"/>
          <w:i w:val="0"/>
          <w:sz w:val="24"/>
        </w:rPr>
        <w:t xml:space="preserve"> disebut Wolk sebagai "kemenangan konsekuensi ekonomi atas kesetiaan representasional": selama total arus kas masa depan </w:t>
      </w:r>
      <w:r>
        <w:rPr>
          <w:rFonts w:ascii="Times New Roman" w:hAnsi="Times New Roman" w:cs="Times New Roman"/>
          <w:b/>
          <w:i w:val="0"/>
          <w:sz w:val="24"/>
        </w:rPr>
        <w:t>tanpa didiskontokan</w:t>
      </w:r>
      <w:r>
        <w:rPr>
          <w:rFonts w:ascii="Times New Roman" w:hAnsi="Times New Roman" w:cs="Times New Roman"/>
          <w:b w:val="0"/>
          <w:i w:val="0"/>
          <w:sz w:val="24"/>
        </w:rPr>
        <w:t xml:space="preserve"> masih setara atau melampaui nilai tercatat kewajiban, tidak ada untung-rugi yang diakui oleh kedua pihak—padahal APB Opinion No. 21 sudah menjadikan pendiskontoan sebagai praktik baku, sehingga pengabaian nilai kini di sini menjadi anomali (Wolk et al., 2017, PDF hlm. 19). </w:t>
      </w:r>
      <w:r>
        <w:rPr>
          <w:rFonts w:ascii="Times New Roman" w:hAnsi="Times New Roman" w:cs="Times New Roman"/>
          <w:b/>
          <w:i w:val="0"/>
          <w:sz w:val="24"/>
        </w:rPr>
        <w:t>SFAS No. 114</w:t>
      </w:r>
      <w:r>
        <w:rPr>
          <w:rFonts w:ascii="Times New Roman" w:hAnsi="Times New Roman" w:cs="Times New Roman"/>
          <w:b w:val="0"/>
          <w:i w:val="0"/>
          <w:sz w:val="24"/>
        </w:rPr>
        <w:t xml:space="preserve"> kemudian mengubah sisi kreditor: arus kas yang direstrukturisasi kini didiskontokan dengan </w:t>
      </w:r>
      <w:r>
        <w:rPr>
          <w:rFonts w:ascii="Times New Roman" w:hAnsi="Times New Roman" w:cs="Times New Roman"/>
          <w:b/>
          <w:i w:val="0"/>
          <w:sz w:val="24"/>
        </w:rPr>
        <w:t>suku bunga efektif awal</w:t>
      </w:r>
      <w:r>
        <w:rPr>
          <w:rFonts w:ascii="Times New Roman" w:hAnsi="Times New Roman" w:cs="Times New Roman"/>
          <w:b w:val="0"/>
          <w:i w:val="0"/>
          <w:sz w:val="24"/>
        </w:rPr>
        <w:t xml:space="preserve"> (</w:t>
      </w:r>
      <w:r>
        <w:rPr>
          <w:rFonts w:ascii="Times New Roman" w:hAnsi="Times New Roman" w:cs="Times New Roman"/>
          <w:b w:val="0"/>
          <w:i/>
          <w:sz w:val="24"/>
        </w:rPr>
        <w:t>original effective rate</w:t>
      </w:r>
      <w:r>
        <w:rPr>
          <w:rFonts w:ascii="Times New Roman" w:hAnsi="Times New Roman" w:cs="Times New Roman"/>
          <w:b w:val="0"/>
          <w:i w:val="0"/>
          <w:sz w:val="24"/>
        </w:rPr>
        <w:t xml:space="preserve">) pada inisiasi transaksi, dan penurunan nilai tercatat pinjaman dibebankan sebagai tambahan </w:t>
      </w:r>
      <w:r>
        <w:rPr>
          <w:rFonts w:ascii="Times New Roman" w:hAnsi="Times New Roman" w:cs="Times New Roman"/>
          <w:b/>
          <w:i w:val="0"/>
          <w:sz w:val="24"/>
        </w:rPr>
        <w:t>beban piutang tak tertagih</w:t>
      </w:r>
      <w:r>
        <w:rPr>
          <w:rFonts w:ascii="Times New Roman" w:hAnsi="Times New Roman" w:cs="Times New Roman"/>
          <w:b w:val="0"/>
          <w:i w:val="0"/>
          <w:sz w:val="24"/>
        </w:rPr>
        <w:t xml:space="preserve"> (</w:t>
      </w:r>
      <w:r>
        <w:rPr>
          <w:rFonts w:ascii="Times New Roman" w:hAnsi="Times New Roman" w:cs="Times New Roman"/>
          <w:b w:val="0"/>
          <w:i/>
          <w:sz w:val="24"/>
        </w:rPr>
        <w:t>bad debt expense</w:t>
      </w:r>
      <w:r>
        <w:rPr>
          <w:rFonts w:ascii="Times New Roman" w:hAnsi="Times New Roman" w:cs="Times New Roman"/>
          <w:b w:val="0"/>
          <w:i w:val="0"/>
          <w:sz w:val="24"/>
        </w:rPr>
        <w:t xml:space="preserve">) (Wolk et al., 2017, PDF hlm. 19). Dua anggota FASB menolak standar ini dengan argumen bahwa arus kas yang baru direstrukturisasi mestinya didiskontokan dengan </w:t>
      </w:r>
      <w:r>
        <w:rPr>
          <w:rFonts w:ascii="Times New Roman" w:hAnsi="Times New Roman" w:cs="Times New Roman"/>
          <w:b/>
          <w:i w:val="0"/>
          <w:sz w:val="24"/>
        </w:rPr>
        <w:t>suku bunga pasar terkini</w:t>
      </w:r>
      <w:r>
        <w:rPr>
          <w:rFonts w:ascii="Times New Roman" w:hAnsi="Times New Roman" w:cs="Times New Roman"/>
          <w:b w:val="0"/>
          <w:i w:val="0"/>
          <w:sz w:val="24"/>
        </w:rPr>
        <w:t xml:space="preserve">, bukan suku bunga historis yang tak lagi relevan—sebab transaksi lama jelas sudah tidak berlaku (Wolk et al., 2017, PDF hlm. 19). Persoalan kedua: SFAS No. 114 hanya berlaku bagi kreditor, sedangkan debitor tetap tunduk pada SFAS No. 15 sehingga tidak mendiskontokan dan tidak mengakui keuntungan. Akibatnya muncul </w:t>
      </w:r>
      <w:r>
        <w:rPr>
          <w:rFonts w:ascii="Times New Roman" w:hAnsi="Times New Roman" w:cs="Times New Roman"/>
          <w:b/>
          <w:i w:val="0"/>
          <w:sz w:val="24"/>
        </w:rPr>
        <w:t>asimetri debitor–kreditor</w:t>
      </w:r>
      <w:r>
        <w:rPr>
          <w:rFonts w:ascii="Times New Roman" w:hAnsi="Times New Roman" w:cs="Times New Roman"/>
          <w:b w:val="0"/>
          <w:i w:val="0"/>
          <w:sz w:val="24"/>
        </w:rPr>
        <w:t xml:space="preserve"> yang total—satu pihak mendiskontokan dan umumnya mencatat rugi, pihak lain tidak. Sebagaimana disimpulkan Wolk, "evolusi bisa menjadi proses yang lambat dan menyakitkan" (Wolk et al., 2017, PDF hlm. 20).</w:t>
      </w:r>
    </w:p>
    <w:p>
      <w:pPr>
        <w:spacing w:lineRule="exact" w:line="360" w:before="160" w:after="80"/>
        <w:jc w:val="left"/>
      </w:pPr>
      <w:r>
        <w:rPr>
          <w:rFonts w:ascii="Times New Roman" w:hAnsi="Times New Roman" w:cs="Times New Roman"/>
          <w:b/>
          <w:i/>
          <w:sz w:val="24"/>
        </w:rPr>
        <w:t>Early Extinguishment of Debt</w:t>
      </w:r>
    </w:p>
    <w:p>
      <w:pPr>
        <w:spacing w:lineRule="exact" w:line="360" w:before="0" w:after="120"/>
        <w:jc w:val="both"/>
      </w:pPr>
      <w:r>
        <w:rPr>
          <w:rFonts w:ascii="Times New Roman" w:hAnsi="Times New Roman" w:cs="Times New Roman"/>
          <w:b/>
          <w:i w:val="0"/>
          <w:sz w:val="24"/>
        </w:rPr>
        <w:t>Pelunasan dini utang</w:t>
      </w:r>
      <w:r>
        <w:rPr>
          <w:rFonts w:ascii="Times New Roman" w:hAnsi="Times New Roman" w:cs="Times New Roman"/>
          <w:b w:val="0"/>
          <w:i w:val="0"/>
          <w:sz w:val="24"/>
        </w:rPr>
        <w:t xml:space="preserve"> (</w:t>
      </w:r>
      <w:r>
        <w:rPr>
          <w:rFonts w:ascii="Times New Roman" w:hAnsi="Times New Roman" w:cs="Times New Roman"/>
          <w:b w:val="0"/>
          <w:i/>
          <w:sz w:val="24"/>
        </w:rPr>
        <w:t>early extinguishment of debt</w:t>
      </w:r>
      <w:r>
        <w:rPr>
          <w:rFonts w:ascii="Times New Roman" w:hAnsi="Times New Roman" w:cs="Times New Roman"/>
          <w:b w:val="0"/>
          <w:i w:val="0"/>
          <w:sz w:val="24"/>
        </w:rPr>
        <w:t xml:space="preserve">) menggambarkan betapa standar yang berubah-ubah dapat mengguncang laporan laba rugi. Sebelum APB Opinion No. 26 dikenal tiga metode—amortisasi sepanjang sisa umur emisi lama, amortisasi sepanjang umur emisi baru, atau pengakuan kini di laporan laba rugi—dan APB memilih </w:t>
      </w:r>
      <w:r>
        <w:rPr>
          <w:rFonts w:ascii="Times New Roman" w:hAnsi="Times New Roman" w:cs="Times New Roman"/>
          <w:b/>
          <w:i w:val="0"/>
          <w:sz w:val="24"/>
        </w:rPr>
        <w:t>pengakuan kini</w:t>
      </w:r>
      <w:r>
        <w:rPr>
          <w:rFonts w:ascii="Times New Roman" w:hAnsi="Times New Roman" w:cs="Times New Roman"/>
          <w:b w:val="0"/>
          <w:i w:val="0"/>
          <w:sz w:val="24"/>
        </w:rPr>
        <w:t xml:space="preserve"> (Wolk et al., 2017, PDF hlm. 20). Konsensus profesi semula menganggapnya luar biasa, tetapi hanya sembilan bulan kemudian </w:t>
      </w:r>
      <w:r>
        <w:rPr>
          <w:rFonts w:ascii="Times New Roman" w:hAnsi="Times New Roman" w:cs="Times New Roman"/>
          <w:b/>
          <w:i w:val="0"/>
          <w:sz w:val="24"/>
        </w:rPr>
        <w:t>APB Opinion No. 30</w:t>
      </w:r>
      <w:r>
        <w:rPr>
          <w:rFonts w:ascii="Times New Roman" w:hAnsi="Times New Roman" w:cs="Times New Roman"/>
          <w:b w:val="0"/>
          <w:i w:val="0"/>
          <w:sz w:val="24"/>
        </w:rPr>
        <w:t xml:space="preserve"> membalik kriteria sehingga untung-rugi pelunasan dini </w:t>
      </w:r>
      <w:r>
        <w:rPr>
          <w:rFonts w:ascii="Times New Roman" w:hAnsi="Times New Roman" w:cs="Times New Roman"/>
          <w:b/>
          <w:i w:val="0"/>
          <w:sz w:val="24"/>
        </w:rPr>
        <w:t>tidak</w:t>
      </w:r>
      <w:r>
        <w:rPr>
          <w:rFonts w:ascii="Times New Roman" w:hAnsi="Times New Roman" w:cs="Times New Roman"/>
          <w:b w:val="0"/>
          <w:i w:val="0"/>
          <w:sz w:val="24"/>
        </w:rPr>
        <w:t xml:space="preserve"> lagi tergolong luar biasa: dalam rentang sembilan bulan, satu pos berpindah dari yang biasanya tak diakui segera menjadi pos luar biasa wajib, lalu menjadi pos operasi wajib (Wolk et al., 2017, PDF hlm. 20). Akhirnya </w:t>
      </w:r>
      <w:r>
        <w:rPr>
          <w:rFonts w:ascii="Times New Roman" w:hAnsi="Times New Roman" w:cs="Times New Roman"/>
          <w:b/>
          <w:i w:val="0"/>
          <w:sz w:val="24"/>
        </w:rPr>
        <w:t>SFAS No. 4</w:t>
      </w:r>
      <w:r>
        <w:rPr>
          <w:rFonts w:ascii="Times New Roman" w:hAnsi="Times New Roman" w:cs="Times New Roman"/>
          <w:b w:val="0"/>
          <w:i w:val="0"/>
          <w:sz w:val="24"/>
        </w:rPr>
        <w:t xml:space="preserve"> menyelesaikannya dengan mewajibkan—bila material—pelaporan layaknya pos luar biasa, </w:t>
      </w:r>
      <w:r>
        <w:rPr>
          <w:rFonts w:ascii="Times New Roman" w:hAnsi="Times New Roman" w:cs="Times New Roman"/>
          <w:b/>
          <w:i w:val="0"/>
          <w:sz w:val="24"/>
        </w:rPr>
        <w:t>neto setelah pajak</w:t>
      </w:r>
      <w:r>
        <w:rPr>
          <w:rFonts w:ascii="Times New Roman" w:hAnsi="Times New Roman" w:cs="Times New Roman"/>
          <w:b w:val="0"/>
          <w:i w:val="0"/>
          <w:sz w:val="24"/>
        </w:rPr>
        <w:t xml:space="preserve">. Ini contoh khas penyusun standar mengalah kepada konstituennya atas </w:t>
      </w:r>
      <w:r>
        <w:rPr>
          <w:rFonts w:ascii="Times New Roman" w:hAnsi="Times New Roman" w:cs="Times New Roman"/>
          <w:b/>
          <w:i w:val="0"/>
          <w:sz w:val="24"/>
        </w:rPr>
        <w:t>satu pos baris</w:t>
      </w:r>
      <w:r>
        <w:rPr>
          <w:rFonts w:ascii="Times New Roman" w:hAnsi="Times New Roman" w:cs="Times New Roman"/>
          <w:b w:val="0"/>
          <w:i w:val="0"/>
          <w:sz w:val="24"/>
        </w:rPr>
        <w:t xml:space="preserve"> sembari membiarkan standar keseluruhan (definisi apa yang luar biasa) tak berubah; konsesi diberikan justru karena besarnya angka yang terlibat (Wolk et al., 2017, PDF hlm. 20).</w:t>
      </w:r>
    </w:p>
    <w:p>
      <w:pPr>
        <w:spacing w:lineRule="exact" w:line="360" w:before="160" w:after="80"/>
        <w:jc w:val="left"/>
      </w:pPr>
      <w:r>
        <w:rPr>
          <w:rFonts w:ascii="Times New Roman" w:hAnsi="Times New Roman" w:cs="Times New Roman"/>
          <w:b/>
          <w:i/>
          <w:sz w:val="24"/>
        </w:rPr>
        <w:t>Stock Options</w:t>
      </w:r>
    </w:p>
    <w:p>
      <w:pPr>
        <w:spacing w:lineRule="exact" w:line="360" w:before="0" w:after="120"/>
        <w:jc w:val="both"/>
      </w:pPr>
      <w:r>
        <w:rPr>
          <w:rFonts w:ascii="Times New Roman" w:hAnsi="Times New Roman" w:cs="Times New Roman"/>
          <w:b/>
          <w:i w:val="0"/>
          <w:sz w:val="24"/>
        </w:rPr>
        <w:t>Opsi saham</w:t>
      </w:r>
      <w:r>
        <w:rPr>
          <w:rFonts w:ascii="Times New Roman" w:hAnsi="Times New Roman" w:cs="Times New Roman"/>
          <w:b w:val="0"/>
          <w:i w:val="0"/>
          <w:sz w:val="24"/>
        </w:rPr>
        <w:t xml:space="preserve"> (</w:t>
      </w:r>
      <w:r>
        <w:rPr>
          <w:rFonts w:ascii="Times New Roman" w:hAnsi="Times New Roman" w:cs="Times New Roman"/>
          <w:b w:val="0"/>
          <w:i/>
          <w:sz w:val="24"/>
        </w:rPr>
        <w:t>stock options</w:t>
      </w:r>
      <w:r>
        <w:rPr>
          <w:rFonts w:ascii="Times New Roman" w:hAnsi="Times New Roman" w:cs="Times New Roman"/>
          <w:b w:val="0"/>
          <w:i w:val="0"/>
          <w:sz w:val="24"/>
        </w:rPr>
        <w:t xml:space="preserve">) dirancang dengan rasionalisasi </w:t>
      </w:r>
      <w:r>
        <w:rPr>
          <w:rFonts w:ascii="Times New Roman" w:hAnsi="Times New Roman" w:cs="Times New Roman"/>
          <w:b/>
          <w:i w:val="0"/>
          <w:sz w:val="24"/>
        </w:rPr>
        <w:t>penyelarasan</w:t>
      </w:r>
      <w:r>
        <w:rPr>
          <w:rFonts w:ascii="Times New Roman" w:hAnsi="Times New Roman" w:cs="Times New Roman"/>
          <w:b w:val="0"/>
          <w:i w:val="0"/>
          <w:sz w:val="24"/>
        </w:rPr>
        <w:t xml:space="preserve"> kepentingan manajemen dan pemegang saham—sebuah penerapan langsung teori keagenan—namun realitasnya kerap mengguncang stabilitas: karena opsi sering berukuran besar dan dapat dieksekusi dalam waktu singkat tanpa kewajiban menahan saham, manajer terdorong memanipulasi laba untuk mengangkat harga saham, dengan kasus terburuk </w:t>
      </w:r>
      <w:r>
        <w:rPr>
          <w:rFonts w:ascii="Times New Roman" w:hAnsi="Times New Roman" w:cs="Times New Roman"/>
          <w:b/>
          <w:i w:val="0"/>
          <w:sz w:val="24"/>
        </w:rPr>
        <w:t>WorldCom</w:t>
      </w:r>
      <w:r>
        <w:rPr>
          <w:rFonts w:ascii="Times New Roman" w:hAnsi="Times New Roman" w:cs="Times New Roman"/>
          <w:b w:val="0"/>
          <w:i w:val="0"/>
          <w:sz w:val="24"/>
        </w:rPr>
        <w:t xml:space="preserve"> yang mengapitalisasi beban biasa setidaknya </w:t>
      </w:r>
      <w:r>
        <w:rPr>
          <w:rFonts w:ascii="Times New Roman" w:hAnsi="Times New Roman" w:cs="Times New Roman"/>
          <w:b/>
          <w:i w:val="0"/>
          <w:sz w:val="24"/>
        </w:rPr>
        <w:t>US$7 miliar</w:t>
      </w:r>
      <w:r>
        <w:rPr>
          <w:rFonts w:ascii="Times New Roman" w:hAnsi="Times New Roman" w:cs="Times New Roman"/>
          <w:b w:val="0"/>
          <w:i w:val="0"/>
          <w:sz w:val="24"/>
        </w:rPr>
        <w:t xml:space="preserve"> (Wolk et al., 2017, PDF hlm. 20). Pertanyaan sentralnya: apakah opsi merupakan beban, dan jika ya, bagaimana menyajikannya. </w:t>
      </w:r>
      <w:r>
        <w:rPr>
          <w:rFonts w:ascii="Times New Roman" w:hAnsi="Times New Roman" w:cs="Times New Roman"/>
          <w:b/>
          <w:i w:val="0"/>
          <w:sz w:val="24"/>
        </w:rPr>
        <w:t>APB Opinion No. 25</w:t>
      </w:r>
      <w:r>
        <w:rPr>
          <w:rFonts w:ascii="Times New Roman" w:hAnsi="Times New Roman" w:cs="Times New Roman"/>
          <w:b w:val="0"/>
          <w:i w:val="0"/>
          <w:sz w:val="24"/>
        </w:rPr>
        <w:t xml:space="preserve"> memperlakukan </w:t>
      </w:r>
      <w:r>
        <w:rPr>
          <w:rFonts w:ascii="Times New Roman" w:hAnsi="Times New Roman" w:cs="Times New Roman"/>
          <w:b/>
          <w:i w:val="0"/>
          <w:sz w:val="24"/>
        </w:rPr>
        <w:t>opsi saham nonkualifikasi</w:t>
      </w:r>
      <w:r>
        <w:rPr>
          <w:rFonts w:ascii="Times New Roman" w:hAnsi="Times New Roman" w:cs="Times New Roman"/>
          <w:b w:val="0"/>
          <w:i w:val="0"/>
          <w:sz w:val="24"/>
        </w:rPr>
        <w:t xml:space="preserve"> (</w:t>
      </w:r>
      <w:r>
        <w:rPr>
          <w:rFonts w:ascii="Times New Roman" w:hAnsi="Times New Roman" w:cs="Times New Roman"/>
          <w:b w:val="0"/>
          <w:i/>
          <w:sz w:val="24"/>
        </w:rPr>
        <w:t>nonqualified stock options</w:t>
      </w:r>
      <w:r>
        <w:rPr>
          <w:rFonts w:ascii="Times New Roman" w:hAnsi="Times New Roman" w:cs="Times New Roman"/>
          <w:b w:val="0"/>
          <w:i w:val="0"/>
          <w:sz w:val="24"/>
        </w:rPr>
        <w:t xml:space="preserve">)—yang nilai pasarnya melampaui harga pelaksanaan—sebagai beban sebesar selisih nilai pasar dan harga pelaksanaan dikalikan jumlah saham pada </w:t>
      </w:r>
      <w:r>
        <w:rPr>
          <w:rFonts w:ascii="Times New Roman" w:hAnsi="Times New Roman" w:cs="Times New Roman"/>
          <w:b/>
          <w:i w:val="0"/>
          <w:sz w:val="24"/>
        </w:rPr>
        <w:t>tanggal pengukuran</w:t>
      </w:r>
      <w:r>
        <w:rPr>
          <w:rFonts w:ascii="Times New Roman" w:hAnsi="Times New Roman" w:cs="Times New Roman"/>
          <w:b w:val="0"/>
          <w:i w:val="0"/>
          <w:sz w:val="24"/>
        </w:rPr>
        <w:t xml:space="preserve"> (</w:t>
      </w:r>
      <w:r>
        <w:rPr>
          <w:rFonts w:ascii="Times New Roman" w:hAnsi="Times New Roman" w:cs="Times New Roman"/>
          <w:b w:val="0"/>
          <w:i/>
          <w:sz w:val="24"/>
        </w:rPr>
        <w:t>measurement date</w:t>
      </w:r>
      <w:r>
        <w:rPr>
          <w:rFonts w:ascii="Times New Roman" w:hAnsi="Times New Roman" w:cs="Times New Roman"/>
          <w:b w:val="0"/>
          <w:i w:val="0"/>
          <w:sz w:val="24"/>
        </w:rPr>
        <w:t xml:space="preserve">), yaitu saat jumlah opsi dan harga pelaksanaan telah pasti; bila keduanya belum diketahui pada tanggal pemberian, perusahaan mengestimasi tahunan nilai tersebut, termasuk harga pasar pada tanggal pengukuran mendatang, dan mengakrualkan beban kompensasi secara prorata (Wolk et al., 2017, PDF hlm. 21). Pada Juni 1993 FASB menerbitkan </w:t>
      </w:r>
      <w:r>
        <w:rPr>
          <w:rFonts w:ascii="Times New Roman" w:hAnsi="Times New Roman" w:cs="Times New Roman"/>
          <w:b/>
          <w:i w:val="0"/>
          <w:sz w:val="24"/>
        </w:rPr>
        <w:t>exposure draft</w:t>
      </w:r>
      <w:r>
        <w:rPr>
          <w:rFonts w:ascii="Times New Roman" w:hAnsi="Times New Roman" w:cs="Times New Roman"/>
          <w:b w:val="0"/>
          <w:i w:val="0"/>
          <w:sz w:val="24"/>
        </w:rPr>
        <w:t xml:space="preserve"> yang menyandarkan pengukuran nilai opsi pada model </w:t>
      </w:r>
      <w:r>
        <w:rPr>
          <w:rFonts w:ascii="Times New Roman" w:hAnsi="Times New Roman" w:cs="Times New Roman"/>
          <w:b/>
          <w:i w:val="0"/>
          <w:sz w:val="24"/>
        </w:rPr>
        <w:t>Black-Scholes</w:t>
      </w:r>
      <w:r>
        <w:rPr>
          <w:rFonts w:ascii="Times New Roman" w:hAnsi="Times New Roman" w:cs="Times New Roman"/>
          <w:b w:val="0"/>
          <w:i w:val="0"/>
          <w:sz w:val="24"/>
        </w:rPr>
        <w:t xml:space="preserve">, namun kritik tajam atas kesetiaan representasional dan keterverifikasian model—dan terutama pertempuran konsekuensi ekonomi yang sengit dengan eksekutif keuangan—memaksa Board menariknya pada </w:t>
      </w:r>
      <w:r>
        <w:rPr>
          <w:rFonts w:ascii="Times New Roman" w:hAnsi="Times New Roman" w:cs="Times New Roman"/>
          <w:b/>
          <w:i w:val="0"/>
          <w:sz w:val="24"/>
        </w:rPr>
        <w:t>Desember 1994</w:t>
      </w:r>
      <w:r>
        <w:rPr>
          <w:rFonts w:ascii="Times New Roman" w:hAnsi="Times New Roman" w:cs="Times New Roman"/>
          <w:b w:val="0"/>
          <w:i w:val="0"/>
          <w:sz w:val="24"/>
        </w:rPr>
        <w:t xml:space="preserve"> lewat pemungutan suara lima lawan dua (Wolk et al., 2017, PDF hlm. 22). FASB lalu mundur ke pengungkapan catatan kaki melalui </w:t>
      </w:r>
      <w:r>
        <w:rPr>
          <w:rFonts w:ascii="Times New Roman" w:hAnsi="Times New Roman" w:cs="Times New Roman"/>
          <w:b/>
          <w:i w:val="0"/>
          <w:sz w:val="24"/>
        </w:rPr>
        <w:t>SFAS No. 123</w:t>
      </w:r>
      <w:r>
        <w:rPr>
          <w:rFonts w:ascii="Times New Roman" w:hAnsi="Times New Roman" w:cs="Times New Roman"/>
          <w:b w:val="0"/>
          <w:i w:val="0"/>
          <w:sz w:val="24"/>
        </w:rPr>
        <w:t xml:space="preserve">, sebelum akhirnya, pada 2004, </w:t>
      </w:r>
      <w:r>
        <w:rPr>
          <w:rFonts w:ascii="Times New Roman" w:hAnsi="Times New Roman" w:cs="Times New Roman"/>
          <w:b/>
          <w:i w:val="0"/>
          <w:sz w:val="24"/>
        </w:rPr>
        <w:t>SFAS No. 123R</w:t>
      </w:r>
      <w:r>
        <w:rPr>
          <w:rFonts w:ascii="Times New Roman" w:hAnsi="Times New Roman" w:cs="Times New Roman"/>
          <w:b w:val="0"/>
          <w:i w:val="0"/>
          <w:sz w:val="24"/>
        </w:rPr>
        <w:t xml:space="preserve"> mewajibkan pengakuan beban opsi insentif berdasarkan </w:t>
      </w:r>
      <w:r>
        <w:rPr>
          <w:rFonts w:ascii="Times New Roman" w:hAnsi="Times New Roman" w:cs="Times New Roman"/>
          <w:b/>
          <w:i w:val="0"/>
          <w:sz w:val="24"/>
        </w:rPr>
        <w:t>nilai wajar tanggal pemberian</w:t>
      </w:r>
      <w:r>
        <w:rPr>
          <w:rFonts w:ascii="Times New Roman" w:hAnsi="Times New Roman" w:cs="Times New Roman"/>
          <w:b w:val="0"/>
          <w:i w:val="0"/>
          <w:sz w:val="24"/>
        </w:rPr>
        <w:t xml:space="preserve"> (</w:t>
      </w:r>
      <w:r>
        <w:rPr>
          <w:rFonts w:ascii="Times New Roman" w:hAnsi="Times New Roman" w:cs="Times New Roman"/>
          <w:b w:val="0"/>
          <w:i/>
          <w:sz w:val="24"/>
        </w:rPr>
        <w:t>grant-date fair value</w:t>
      </w:r>
      <w:r>
        <w:rPr>
          <w:rFonts w:ascii="Times New Roman" w:hAnsi="Times New Roman" w:cs="Times New Roman"/>
          <w:b w:val="0"/>
          <w:i w:val="0"/>
          <w:sz w:val="24"/>
        </w:rPr>
        <w:t xml:space="preserve">) dengan input model Black-Scholes atau model </w:t>
      </w:r>
      <w:r>
        <w:rPr>
          <w:rFonts w:ascii="Times New Roman" w:hAnsi="Times New Roman" w:cs="Times New Roman"/>
          <w:b w:val="0"/>
          <w:i/>
          <w:sz w:val="24"/>
        </w:rPr>
        <w:t>lattice</w:t>
      </w:r>
      <w:r>
        <w:rPr>
          <w:rFonts w:ascii="Times New Roman" w:hAnsi="Times New Roman" w:cs="Times New Roman"/>
          <w:b w:val="0"/>
          <w:i w:val="0"/>
          <w:sz w:val="24"/>
        </w:rPr>
        <w:t xml:space="preserve">—meski estimasi </w:t>
      </w:r>
      <w:r>
        <w:rPr>
          <w:rFonts w:ascii="Times New Roman" w:hAnsi="Times New Roman" w:cs="Times New Roman"/>
          <w:b/>
          <w:i w:val="0"/>
          <w:sz w:val="24"/>
        </w:rPr>
        <w:t>volatilitas</w:t>
      </w:r>
      <w:r>
        <w:rPr>
          <w:rFonts w:ascii="Times New Roman" w:hAnsi="Times New Roman" w:cs="Times New Roman"/>
          <w:b w:val="0"/>
          <w:i w:val="0"/>
          <w:sz w:val="24"/>
        </w:rPr>
        <w:t xml:space="preserve"> memunculkan kekhawatiran reliabilitas pengukuran (Wolk et al., 2017, PDF hlm. 23). SFAS No. 123R sekaligus bagian dari proyek konvergensi dengan IASB sehingga sangat dekat dengan </w:t>
      </w:r>
      <w:r>
        <w:rPr>
          <w:rFonts w:ascii="Times New Roman" w:hAnsi="Times New Roman" w:cs="Times New Roman"/>
          <w:b/>
          <w:i w:val="0"/>
          <w:sz w:val="24"/>
        </w:rPr>
        <w:t>IFRS 2</w:t>
      </w:r>
      <w:r>
        <w:rPr>
          <w:rFonts w:ascii="Times New Roman" w:hAnsi="Times New Roman" w:cs="Times New Roman"/>
          <w:b w:val="0"/>
          <w:i w:val="0"/>
          <w:sz w:val="24"/>
        </w:rPr>
        <w:t xml:space="preserve"> (Wolk et al., 2017, PDF hlm. 23). Praktik </w:t>
      </w:r>
      <w:r>
        <w:rPr>
          <w:rFonts w:ascii="Times New Roman" w:hAnsi="Times New Roman" w:cs="Times New Roman"/>
          <w:b/>
          <w:i w:val="0"/>
          <w:sz w:val="24"/>
        </w:rPr>
        <w:t>backdating</w:t>
      </w:r>
      <w:r>
        <w:rPr>
          <w:rFonts w:ascii="Times New Roman" w:hAnsi="Times New Roman" w:cs="Times New Roman"/>
          <w:b w:val="0"/>
          <w:i w:val="0"/>
          <w:sz w:val="24"/>
        </w:rPr>
        <w:t xml:space="preserve">—mengubah tanggal pemberian ke titik harga terendah tahun itu—menambah problem; Efendi et al. (2012) menemukan </w:t>
      </w:r>
      <w:r>
        <w:rPr>
          <w:rFonts w:ascii="Times New Roman" w:hAnsi="Times New Roman" w:cs="Times New Roman"/>
          <w:b/>
          <w:i w:val="0"/>
          <w:sz w:val="24"/>
        </w:rPr>
        <w:t>pergantian paksa CEO dan CFO</w:t>
      </w:r>
      <w:r>
        <w:rPr>
          <w:rFonts w:ascii="Times New Roman" w:hAnsi="Times New Roman" w:cs="Times New Roman"/>
          <w:b w:val="0"/>
          <w:i w:val="0"/>
          <w:sz w:val="24"/>
        </w:rPr>
        <w:t xml:space="preserve"> secara signifikan lebih tinggi setelah pengungkapan backdating, sehingga keadilan tetap mungkin terjadi walau backdating sendiri belum tentu ilegal (Wolk et al., 2017, PDF hlm. 23).</w:t>
      </w:r>
    </w:p>
    <w:p>
      <w:pPr>
        <w:spacing w:before="120" w:after="120"/>
        <w:jc w:val="center"/>
      </w:pPr>
      <w:r>
        <w:drawing>
          <wp:inline xmlns:a="http://schemas.openxmlformats.org/drawingml/2006/main" xmlns:pic="http://schemas.openxmlformats.org/drawingml/2006/picture">
            <wp:extent cx="5220000" cy="1585514"/>
            <wp:docPr id="5" name="Picture 5"/>
            <wp:cNvGraphicFramePr>
              <a:graphicFrameLocks noChangeAspect="1"/>
            </wp:cNvGraphicFramePr>
            <a:graphic>
              <a:graphicData uri="http://schemas.openxmlformats.org/drawingml/2006/picture">
                <pic:pic>
                  <pic:nvPicPr>
                    <pic:cNvPr id="0" name="gambar5_stock_options.png"/>
                    <pic:cNvPicPr/>
                  </pic:nvPicPr>
                  <pic:blipFill>
                    <a:blip r:embed="rId14"/>
                    <a:stretch>
                      <a:fillRect/>
                    </a:stretch>
                  </pic:blipFill>
                  <pic:spPr>
                    <a:xfrm>
                      <a:off x="0" y="0"/>
                      <a:ext cx="5220000" cy="1585514"/>
                    </a:xfrm>
                    <a:prstGeom prst="rect"/>
                  </pic:spPr>
                </pic:pic>
              </a:graphicData>
            </a:graphic>
          </wp:inline>
        </w:drawing>
      </w:r>
    </w:p>
    <w:p>
      <w:pPr>
        <w:spacing w:lineRule="exact" w:line="360" w:before="0" w:after="0"/>
        <w:jc w:val="center"/>
      </w:pPr>
      <w:r>
        <w:rPr>
          <w:rFonts w:ascii="Times New Roman" w:hAnsi="Times New Roman" w:cs="Times New Roman"/>
          <w:b/>
          <w:i w:val="0"/>
          <w:sz w:val="22"/>
        </w:rPr>
        <w:t xml:space="preserve">Gambar 5. </w:t>
      </w:r>
      <w:r>
        <w:rPr>
          <w:rFonts w:ascii="Times New Roman" w:hAnsi="Times New Roman" w:cs="Times New Roman"/>
          <w:b w:val="0"/>
          <w:i w:val="0"/>
          <w:sz w:val="22"/>
        </w:rPr>
        <w:t>Lini masa standar kompensasi opsi saham</w:t>
      </w:r>
    </w:p>
    <w:p>
      <w:pPr>
        <w:spacing w:lineRule="exact" w:line="360" w:before="0" w:after="240"/>
        <w:jc w:val="center"/>
      </w:pPr>
      <w:r>
        <w:rPr>
          <w:rFonts w:ascii="Times New Roman" w:hAnsi="Times New Roman" w:cs="Times New Roman"/>
          <w:b w:val="0"/>
          <w:i/>
          <w:sz w:val="22"/>
        </w:rPr>
        <w:t>Sumber: diolah dari Wolk et al. (2017), PDF hlm. 20–24</w:t>
      </w:r>
    </w:p>
    <w:p>
      <w:pPr>
        <w:spacing w:lineRule="exact" w:line="360" w:before="0" w:after="120"/>
        <w:jc w:val="both"/>
      </w:pPr>
      <w:r>
        <w:rPr>
          <w:rFonts w:ascii="Times New Roman" w:hAnsi="Times New Roman" w:cs="Times New Roman"/>
          <w:b w:val="0"/>
          <w:i w:val="0"/>
          <w:sz w:val="24"/>
        </w:rPr>
        <w:t xml:space="preserve">Secara teoretis, jawaban atas apakah opsi merupakan beban bergantung pada lensa teori ekuitas. Di bawah </w:t>
      </w:r>
      <w:r>
        <w:rPr>
          <w:rFonts w:ascii="Times New Roman" w:hAnsi="Times New Roman" w:cs="Times New Roman"/>
          <w:b/>
          <w:i w:val="0"/>
          <w:sz w:val="24"/>
        </w:rPr>
        <w:t>teori entitas</w:t>
      </w:r>
      <w:r>
        <w:rPr>
          <w:rFonts w:ascii="Times New Roman" w:hAnsi="Times New Roman" w:cs="Times New Roman"/>
          <w:b w:val="0"/>
          <w:i w:val="0"/>
          <w:sz w:val="24"/>
        </w:rPr>
        <w:t xml:space="preserve"> (</w:t>
      </w:r>
      <w:r>
        <w:rPr>
          <w:rFonts w:ascii="Times New Roman" w:hAnsi="Times New Roman" w:cs="Times New Roman"/>
          <w:b w:val="0"/>
          <w:i/>
          <w:sz w:val="24"/>
        </w:rPr>
        <w:t>entity theory</w:t>
      </w:r>
      <w:r>
        <w:rPr>
          <w:rFonts w:ascii="Times New Roman" w:hAnsi="Times New Roman" w:cs="Times New Roman"/>
          <w:b w:val="0"/>
          <w:i w:val="0"/>
          <w:sz w:val="24"/>
        </w:rPr>
        <w:t xml:space="preserve">), dividen dan bunga adalah distribusi kepada penyedia modal, dan karena penerima opsi pada hakikatnya termasuk pemilik, biaya bagi perusahaan hanyalah biaya peluang yang—dalam kerangka biaya historis—tidak dipandang sebagai beban. Sebaliknya, di bawah </w:t>
      </w:r>
      <w:r>
        <w:rPr>
          <w:rFonts w:ascii="Times New Roman" w:hAnsi="Times New Roman" w:cs="Times New Roman"/>
          <w:b/>
          <w:i w:val="0"/>
          <w:sz w:val="24"/>
        </w:rPr>
        <w:t>teori proprietari</w:t>
      </w:r>
      <w:r>
        <w:rPr>
          <w:rFonts w:ascii="Times New Roman" w:hAnsi="Times New Roman" w:cs="Times New Roman"/>
          <w:b w:val="0"/>
          <w:i w:val="0"/>
          <w:sz w:val="24"/>
        </w:rPr>
        <w:t xml:space="preserve"> (</w:t>
      </w:r>
      <w:r>
        <w:rPr>
          <w:rFonts w:ascii="Times New Roman" w:hAnsi="Times New Roman" w:cs="Times New Roman"/>
          <w:b w:val="0"/>
          <w:i/>
          <w:sz w:val="24"/>
        </w:rPr>
        <w:t>proprietary theory</w:t>
      </w:r>
      <w:r>
        <w:rPr>
          <w:rFonts w:ascii="Times New Roman" w:hAnsi="Times New Roman" w:cs="Times New Roman"/>
          <w:b w:val="0"/>
          <w:i w:val="0"/>
          <w:sz w:val="24"/>
        </w:rPr>
        <w:t xml:space="preserve">), opsi adalah biaya riil bagi pemegang saham luar karena nilai saham mereka terdilusi. Wolk mengusulkan </w:t>
      </w:r>
      <w:r>
        <w:rPr>
          <w:rFonts w:ascii="Times New Roman" w:hAnsi="Times New Roman" w:cs="Times New Roman"/>
          <w:b/>
          <w:i w:val="0"/>
          <w:sz w:val="24"/>
        </w:rPr>
        <w:t>reformat laporan laba rugi</w:t>
      </w:r>
      <w:r>
        <w:rPr>
          <w:rFonts w:ascii="Times New Roman" w:hAnsi="Times New Roman" w:cs="Times New Roman"/>
          <w:b w:val="0"/>
          <w:i w:val="0"/>
          <w:sz w:val="24"/>
        </w:rPr>
        <w:t xml:space="preserve">: laba bersih dihitung tanpa mengurangkan beban bunga sehingga menghasilkan </w:t>
      </w:r>
      <w:r>
        <w:rPr>
          <w:rFonts w:ascii="Times New Roman" w:hAnsi="Times New Roman" w:cs="Times New Roman"/>
          <w:b/>
          <w:i w:val="0"/>
          <w:sz w:val="24"/>
        </w:rPr>
        <w:t>laba entitas</w:t>
      </w:r>
      <w:r>
        <w:rPr>
          <w:rFonts w:ascii="Times New Roman" w:hAnsi="Times New Roman" w:cs="Times New Roman"/>
          <w:b w:val="0"/>
          <w:i w:val="0"/>
          <w:sz w:val="24"/>
        </w:rPr>
        <w:t xml:space="preserve"> (</w:t>
      </w:r>
      <w:r>
        <w:rPr>
          <w:rFonts w:ascii="Times New Roman" w:hAnsi="Times New Roman" w:cs="Times New Roman"/>
          <w:b w:val="0"/>
          <w:i/>
          <w:sz w:val="24"/>
        </w:rPr>
        <w:t>entity income</w:t>
      </w:r>
      <w:r>
        <w:rPr>
          <w:rFonts w:ascii="Times New Roman" w:hAnsi="Times New Roman" w:cs="Times New Roman"/>
          <w:b w:val="0"/>
          <w:i w:val="0"/>
          <w:sz w:val="24"/>
        </w:rPr>
        <w:t xml:space="preserve">), lalu dari situ dikurangkan biaya bunga dan biaya opsi untuk memperoleh </w:t>
      </w:r>
      <w:r>
        <w:rPr>
          <w:rFonts w:ascii="Times New Roman" w:hAnsi="Times New Roman" w:cs="Times New Roman"/>
          <w:b/>
          <w:i w:val="0"/>
          <w:sz w:val="24"/>
        </w:rPr>
        <w:t>laba proprietari</w:t>
      </w:r>
      <w:r>
        <w:rPr>
          <w:rFonts w:ascii="Times New Roman" w:hAnsi="Times New Roman" w:cs="Times New Roman"/>
          <w:b w:val="0"/>
          <w:i w:val="0"/>
          <w:sz w:val="24"/>
        </w:rPr>
        <w:t xml:space="preserve"> (</w:t>
      </w:r>
      <w:r>
        <w:rPr>
          <w:rFonts w:ascii="Times New Roman" w:hAnsi="Times New Roman" w:cs="Times New Roman"/>
          <w:b w:val="0"/>
          <w:i/>
          <w:sz w:val="24"/>
        </w:rPr>
        <w:t>proprietary income</w:t>
      </w:r>
      <w:r>
        <w:rPr>
          <w:rFonts w:ascii="Times New Roman" w:hAnsi="Times New Roman" w:cs="Times New Roman"/>
          <w:b w:val="0"/>
          <w:i w:val="0"/>
          <w:sz w:val="24"/>
        </w:rPr>
        <w:t xml:space="preserve">) (Wolk et al., 2017, PDF hlm. 23). Reformat ini memperjelas perbedaan laba bagi perusahaan dan laba bagi pemegang saham, serta memberi manfaat </w:t>
      </w:r>
      <w:r>
        <w:rPr>
          <w:rFonts w:ascii="Times New Roman" w:hAnsi="Times New Roman" w:cs="Times New Roman"/>
          <w:b/>
          <w:i w:val="0"/>
          <w:sz w:val="24"/>
        </w:rPr>
        <w:t>artikulasi</w:t>
      </w:r>
      <w:r>
        <w:rPr>
          <w:rFonts w:ascii="Times New Roman" w:hAnsi="Times New Roman" w:cs="Times New Roman"/>
          <w:b w:val="0"/>
          <w:i w:val="0"/>
          <w:sz w:val="24"/>
        </w:rPr>
        <w:t xml:space="preserve"> dengan laporan arus kas—sebab beban bunga akan ditempatkan sebagaimana mestinya sebagai aktivitas pendanaan, bukan komponen arus kas operasi seperti dalam pendekatan proprietari murni saat ini (Wolk et al., 2017, PDF hlm. 24). Keempat topik ini menegaskan bahwa pengukuran laba tidak pernah sepenuhnya netral; ketika diskresi dibiarkan terbuka, ia menjelma menjadi alat </w:t>
      </w:r>
      <w:r>
        <w:rPr>
          <w:rFonts w:ascii="Times New Roman" w:hAnsi="Times New Roman" w:cs="Times New Roman"/>
          <w:b/>
          <w:i w:val="0"/>
          <w:sz w:val="24"/>
        </w:rPr>
        <w:t>manajemen laba</w:t>
      </w:r>
      <w:r>
        <w:rPr>
          <w:rFonts w:ascii="Times New Roman" w:hAnsi="Times New Roman" w:cs="Times New Roman"/>
          <w:b w:val="0"/>
          <w:i w:val="0"/>
          <w:sz w:val="24"/>
        </w:rPr>
        <w:t>—tema yang menjadi pokok Bagian XI.</w:t>
      </w:r>
    </w:p>
    <w:p>
      <w:pPr>
        <w:spacing w:lineRule="exact" w:line="360" w:before="240" w:after="120"/>
        <w:jc w:val="left"/>
      </w:pPr>
      <w:r>
        <w:rPr>
          <w:rFonts w:ascii="Times New Roman" w:hAnsi="Times New Roman" w:cs="Times New Roman"/>
          <w:b/>
          <w:i w:val="0"/>
          <w:sz w:val="26"/>
        </w:rPr>
        <w:t>XI. Earnings Management dan Income Smoothing</w:t>
      </w:r>
    </w:p>
    <w:p>
      <w:pPr>
        <w:spacing w:lineRule="exact" w:line="360" w:before="0" w:after="120"/>
        <w:jc w:val="both"/>
      </w:pPr>
      <w:r>
        <w:rPr>
          <w:rFonts w:ascii="Times New Roman" w:hAnsi="Times New Roman" w:cs="Times New Roman"/>
          <w:b/>
          <w:i w:val="0"/>
          <w:sz w:val="24"/>
        </w:rPr>
        <w:t>Manajemen laba</w:t>
      </w:r>
      <w:r>
        <w:rPr>
          <w:rFonts w:ascii="Times New Roman" w:hAnsi="Times New Roman" w:cs="Times New Roman"/>
          <w:b w:val="0"/>
          <w:i w:val="0"/>
          <w:sz w:val="24"/>
        </w:rPr>
        <w:t xml:space="preserve"> (</w:t>
      </w:r>
      <w:r>
        <w:rPr>
          <w:rFonts w:ascii="Times New Roman" w:hAnsi="Times New Roman" w:cs="Times New Roman"/>
          <w:b w:val="0"/>
          <w:i/>
          <w:sz w:val="24"/>
        </w:rPr>
        <w:t>earnings management</w:t>
      </w:r>
      <w:r>
        <w:rPr>
          <w:rFonts w:ascii="Times New Roman" w:hAnsi="Times New Roman" w:cs="Times New Roman"/>
          <w:b w:val="0"/>
          <w:i w:val="0"/>
          <w:sz w:val="24"/>
        </w:rPr>
        <w:t xml:space="preserve">) didefinisikan Schipper sebagai "intervensi yang disengaja dalam proses pelaporan keuangan eksternal dengan maksud memperoleh keuntungan privat" (sebagai lawan dari sekadar memfasilitasi jalannya proses secara netral) (Wolk et al., 2017, PDF hlm. 24). Definisi ini menautkan manajemen laba langsung ke </w:t>
      </w:r>
      <w:r>
        <w:rPr>
          <w:rFonts w:ascii="Times New Roman" w:hAnsi="Times New Roman" w:cs="Times New Roman"/>
          <w:b/>
          <w:i w:val="0"/>
          <w:sz w:val="24"/>
        </w:rPr>
        <w:t>teori keagenan</w:t>
      </w:r>
      <w:r>
        <w:rPr>
          <w:rFonts w:ascii="Times New Roman" w:hAnsi="Times New Roman" w:cs="Times New Roman"/>
          <w:b w:val="0"/>
          <w:i w:val="0"/>
          <w:sz w:val="24"/>
        </w:rPr>
        <w:t xml:space="preserve"> (</w:t>
      </w:r>
      <w:r>
        <w:rPr>
          <w:rFonts w:ascii="Times New Roman" w:hAnsi="Times New Roman" w:cs="Times New Roman"/>
          <w:b w:val="0"/>
          <w:i/>
          <w:sz w:val="24"/>
        </w:rPr>
        <w:t>agency theory</w:t>
      </w:r>
      <w:r>
        <w:rPr>
          <w:rFonts w:ascii="Times New Roman" w:hAnsi="Times New Roman" w:cs="Times New Roman"/>
          <w:b w:val="0"/>
          <w:i w:val="0"/>
          <w:sz w:val="24"/>
        </w:rPr>
        <w:t xml:space="preserve">): manajemen dapat berupaya memengaruhi laba untuk (a) </w:t>
      </w:r>
      <w:r>
        <w:rPr>
          <w:rFonts w:ascii="Times New Roman" w:hAnsi="Times New Roman" w:cs="Times New Roman"/>
          <w:b/>
          <w:i w:val="0"/>
          <w:sz w:val="24"/>
        </w:rPr>
        <w:t>memaksimalkan kompensasinya</w:t>
      </w:r>
      <w:r>
        <w:rPr>
          <w:rFonts w:ascii="Times New Roman" w:hAnsi="Times New Roman" w:cs="Times New Roman"/>
          <w:b w:val="0"/>
          <w:i w:val="0"/>
          <w:sz w:val="24"/>
        </w:rPr>
        <w:t xml:space="preserve">, (b) </w:t>
      </w:r>
      <w:r>
        <w:rPr>
          <w:rFonts w:ascii="Times New Roman" w:hAnsi="Times New Roman" w:cs="Times New Roman"/>
          <w:b/>
          <w:i w:val="0"/>
          <w:sz w:val="24"/>
        </w:rPr>
        <w:t>menghindari pelanggaran perjanjian utang</w:t>
      </w:r>
      <w:r>
        <w:rPr>
          <w:rFonts w:ascii="Times New Roman" w:hAnsi="Times New Roman" w:cs="Times New Roman"/>
          <w:b w:val="0"/>
          <w:i w:val="0"/>
          <w:sz w:val="24"/>
        </w:rPr>
        <w:t xml:space="preserve"> (</w:t>
      </w:r>
      <w:r>
        <w:rPr>
          <w:rFonts w:ascii="Times New Roman" w:hAnsi="Times New Roman" w:cs="Times New Roman"/>
          <w:b w:val="0"/>
          <w:i/>
          <w:sz w:val="24"/>
        </w:rPr>
        <w:t>debt covenants</w:t>
      </w:r>
      <w:r>
        <w:rPr>
          <w:rFonts w:ascii="Times New Roman" w:hAnsi="Times New Roman" w:cs="Times New Roman"/>
          <w:b w:val="0"/>
          <w:i w:val="0"/>
          <w:sz w:val="24"/>
        </w:rPr>
        <w:t xml:space="preserve">) yang dapat menghalangi pembayaran dividen, dan (c) </w:t>
      </w:r>
      <w:r>
        <w:rPr>
          <w:rFonts w:ascii="Times New Roman" w:hAnsi="Times New Roman" w:cs="Times New Roman"/>
          <w:b/>
          <w:i w:val="0"/>
          <w:sz w:val="24"/>
        </w:rPr>
        <w:t>meminimalkan laba yang dilaporkan</w:t>
      </w:r>
      <w:r>
        <w:rPr>
          <w:rFonts w:ascii="Times New Roman" w:hAnsi="Times New Roman" w:cs="Times New Roman"/>
          <w:b w:val="0"/>
          <w:i w:val="0"/>
          <w:sz w:val="24"/>
        </w:rPr>
        <w:t xml:space="preserve"> guna mengurangi kemungkinan campur tangan pemerintah bila entitas memiliki visibilitas politik tinggi (Wolk et al., 2017, PDF hlm. 24). Terdapat pula asimetri mencolok di sekitar pencapaian atau pelampauan </w:t>
      </w:r>
      <w:r>
        <w:rPr>
          <w:rFonts w:ascii="Times New Roman" w:hAnsi="Times New Roman" w:cs="Times New Roman"/>
          <w:b/>
          <w:i w:val="0"/>
          <w:sz w:val="24"/>
        </w:rPr>
        <w:t>prediksi laba analis</w:t>
      </w:r>
      <w:r>
        <w:rPr>
          <w:rFonts w:ascii="Times New Roman" w:hAnsi="Times New Roman" w:cs="Times New Roman"/>
          <w:b w:val="0"/>
          <w:i w:val="0"/>
          <w:sz w:val="24"/>
        </w:rPr>
        <w:t xml:space="preserve">: jauh lebih banyak pengumuman laba kuartalan yang tepat melampaui ekspektasi analis ketimbang yang sedikit meleset di bawahnya (Wolk et al., 2017, PDF hlm. 24). Pola ini melemahkan asumsi pasar efisien dan menegaskan dimensi </w:t>
      </w:r>
      <w:r>
        <w:rPr>
          <w:rFonts w:ascii="Times New Roman" w:hAnsi="Times New Roman" w:cs="Times New Roman"/>
          <w:b/>
          <w:i w:val="0"/>
          <w:sz w:val="24"/>
        </w:rPr>
        <w:t>informasi asimetris</w:t>
      </w:r>
      <w:r>
        <w:rPr>
          <w:rFonts w:ascii="Times New Roman" w:hAnsi="Times New Roman" w:cs="Times New Roman"/>
          <w:b w:val="0"/>
          <w:i w:val="0"/>
          <w:sz w:val="24"/>
        </w:rPr>
        <w:t>: laba yang dikelola pada hakikatnya adalah informasi orang dalam karena pasar tidak menyadari manipulasinya.</w:t>
      </w:r>
    </w:p>
    <w:p>
      <w:pPr>
        <w:spacing w:before="120" w:after="120"/>
        <w:jc w:val="center"/>
      </w:pPr>
      <w:r>
        <w:drawing>
          <wp:inline xmlns:a="http://schemas.openxmlformats.org/drawingml/2006/main" xmlns:pic="http://schemas.openxmlformats.org/drawingml/2006/picture">
            <wp:extent cx="5220000" cy="1951402"/>
            <wp:docPr id="6" name="Picture 6"/>
            <wp:cNvGraphicFramePr>
              <a:graphicFrameLocks noChangeAspect="1"/>
            </wp:cNvGraphicFramePr>
            <a:graphic>
              <a:graphicData uri="http://schemas.openxmlformats.org/drawingml/2006/picture">
                <pic:pic>
                  <pic:nvPicPr>
                    <pic:cNvPr id="0" name="gambar6_taksonomi_em.png"/>
                    <pic:cNvPicPr/>
                  </pic:nvPicPr>
                  <pic:blipFill>
                    <a:blip r:embed="rId15"/>
                    <a:stretch>
                      <a:fillRect/>
                    </a:stretch>
                  </pic:blipFill>
                  <pic:spPr>
                    <a:xfrm>
                      <a:off x="0" y="0"/>
                      <a:ext cx="5220000" cy="1951402"/>
                    </a:xfrm>
                    <a:prstGeom prst="rect"/>
                  </pic:spPr>
                </pic:pic>
              </a:graphicData>
            </a:graphic>
          </wp:inline>
        </w:drawing>
      </w:r>
    </w:p>
    <w:p>
      <w:pPr>
        <w:spacing w:lineRule="exact" w:line="360" w:before="0" w:after="0"/>
        <w:jc w:val="center"/>
      </w:pPr>
      <w:r>
        <w:rPr>
          <w:rFonts w:ascii="Times New Roman" w:hAnsi="Times New Roman" w:cs="Times New Roman"/>
          <w:b/>
          <w:i w:val="0"/>
          <w:sz w:val="22"/>
        </w:rPr>
        <w:t xml:space="preserve">Gambar 6. </w:t>
      </w:r>
      <w:r>
        <w:rPr>
          <w:rFonts w:ascii="Times New Roman" w:hAnsi="Times New Roman" w:cs="Times New Roman"/>
          <w:b w:val="0"/>
          <w:i w:val="0"/>
          <w:sz w:val="22"/>
        </w:rPr>
        <w:t>Taksonomi earnings management dan tiga mekanisme income smoothing</w:t>
      </w:r>
    </w:p>
    <w:p>
      <w:pPr>
        <w:spacing w:lineRule="exact" w:line="360" w:before="0" w:after="240"/>
        <w:jc w:val="center"/>
      </w:pPr>
      <w:r>
        <w:rPr>
          <w:rFonts w:ascii="Times New Roman" w:hAnsi="Times New Roman" w:cs="Times New Roman"/>
          <w:b w:val="0"/>
          <w:i/>
          <w:sz w:val="22"/>
        </w:rPr>
        <w:t>Sumber: diolah dari Wolk et al. (2017), PDF hlm. 24–28</w:t>
      </w:r>
    </w:p>
    <w:p>
      <w:pPr>
        <w:spacing w:lineRule="exact" w:line="360" w:before="0" w:after="120"/>
        <w:jc w:val="both"/>
      </w:pPr>
      <w:r>
        <w:rPr>
          <w:rFonts w:ascii="Times New Roman" w:hAnsi="Times New Roman" w:cs="Times New Roman"/>
          <w:b w:val="0"/>
          <w:i w:val="0"/>
          <w:sz w:val="24"/>
        </w:rPr>
        <w:t xml:space="preserve">Sebuah bentuk halus diidentifikasi McVay sebagai </w:t>
      </w:r>
      <w:r>
        <w:rPr>
          <w:rFonts w:ascii="Times New Roman" w:hAnsi="Times New Roman" w:cs="Times New Roman"/>
          <w:b/>
          <w:i w:val="0"/>
          <w:sz w:val="24"/>
        </w:rPr>
        <w:t>pergeseran klasifikasi</w:t>
      </w:r>
      <w:r>
        <w:rPr>
          <w:rFonts w:ascii="Times New Roman" w:hAnsi="Times New Roman" w:cs="Times New Roman"/>
          <w:b w:val="0"/>
          <w:i w:val="0"/>
          <w:sz w:val="24"/>
        </w:rPr>
        <w:t xml:space="preserve"> (</w:t>
      </w:r>
      <w:r>
        <w:rPr>
          <w:rFonts w:ascii="Times New Roman" w:hAnsi="Times New Roman" w:cs="Times New Roman"/>
          <w:b w:val="0"/>
          <w:i/>
          <w:sz w:val="24"/>
        </w:rPr>
        <w:t>classification shifting</w:t>
      </w:r>
      <w:r>
        <w:rPr>
          <w:rFonts w:ascii="Times New Roman" w:hAnsi="Times New Roman" w:cs="Times New Roman"/>
          <w:b w:val="0"/>
          <w:i w:val="0"/>
          <w:sz w:val="24"/>
        </w:rPr>
        <w:t xml:space="preserve">): komponen biaya inti (harga pokok penjualan serta beban umum, penjualan, dan administrasi) digeser ke segmen bawah laporan laba rugi sehingga marjin laba kotor membaik sementara total laba tidak berubah—menghindari problem sulit memindahkan rupiah antartahun (Wolk et al., 2017, PDF hlm. 24–25). Model statistiknya menggunakan </w:t>
      </w:r>
      <w:r>
        <w:rPr>
          <w:rFonts w:ascii="Times New Roman" w:hAnsi="Times New Roman" w:cs="Times New Roman"/>
          <w:b/>
          <w:i w:val="0"/>
          <w:sz w:val="24"/>
        </w:rPr>
        <w:t>76.901 observasi firm-year</w:t>
      </w:r>
      <w:r>
        <w:rPr>
          <w:rFonts w:ascii="Times New Roman" w:hAnsi="Times New Roman" w:cs="Times New Roman"/>
          <w:b w:val="0"/>
          <w:i w:val="0"/>
          <w:sz w:val="24"/>
        </w:rPr>
        <w:t xml:space="preserve"> sepanjang 1989–2003 dan menaksir bahwa sekitar </w:t>
      </w:r>
      <w:r>
        <w:rPr>
          <w:rFonts w:ascii="Times New Roman" w:hAnsi="Times New Roman" w:cs="Times New Roman"/>
          <w:b/>
          <w:i w:val="0"/>
          <w:sz w:val="24"/>
        </w:rPr>
        <w:t>2,2%</w:t>
      </w:r>
      <w:r>
        <w:rPr>
          <w:rFonts w:ascii="Times New Roman" w:hAnsi="Times New Roman" w:cs="Times New Roman"/>
          <w:b w:val="0"/>
          <w:i w:val="0"/>
          <w:sz w:val="24"/>
        </w:rPr>
        <w:t xml:space="preserve"> dari pos khusus yang dilaporkan sesungguhnya merupakan beban operasi periode berjalan; contoh anekdotalnya adalah pengajuan SEC Borden Incorporated 1992, ketika SEC menetapkan </w:t>
      </w:r>
      <w:r>
        <w:rPr>
          <w:rFonts w:ascii="Times New Roman" w:hAnsi="Times New Roman" w:cs="Times New Roman"/>
          <w:b/>
          <w:i w:val="0"/>
          <w:sz w:val="24"/>
        </w:rPr>
        <w:t>US$192 juta</w:t>
      </w:r>
      <w:r>
        <w:rPr>
          <w:rFonts w:ascii="Times New Roman" w:hAnsi="Times New Roman" w:cs="Times New Roman"/>
          <w:b w:val="0"/>
          <w:i w:val="0"/>
          <w:sz w:val="24"/>
        </w:rPr>
        <w:t xml:space="preserve"> beban pemasaran muncul sebagai </w:t>
      </w:r>
      <w:r>
        <w:rPr>
          <w:rFonts w:ascii="Times New Roman" w:hAnsi="Times New Roman" w:cs="Times New Roman"/>
          <w:b w:val="0"/>
          <w:i/>
          <w:sz w:val="24"/>
        </w:rPr>
        <w:t>restructuring charge</w:t>
      </w:r>
      <w:r>
        <w:rPr>
          <w:rFonts w:ascii="Times New Roman" w:hAnsi="Times New Roman" w:cs="Times New Roman"/>
          <w:b w:val="0"/>
          <w:i w:val="0"/>
          <w:sz w:val="24"/>
        </w:rPr>
        <w:t xml:space="preserve"> (Wolk et al., 2017, PDF hlm. 25). Beragam motif lain terdokumentasi: Erickson dan Wang menemukan perusahaan pengakuisisi menaikkan laba sebelum akuisisi saham agar harga sahamnya naik dan jumlah saham yang ditukar berkurang, sementara Wu menemukan laba justru dimanipulasi turun menjelang </w:t>
      </w:r>
      <w:r>
        <w:rPr>
          <w:rFonts w:ascii="Times New Roman" w:hAnsi="Times New Roman" w:cs="Times New Roman"/>
          <w:b/>
          <w:i w:val="0"/>
          <w:sz w:val="24"/>
        </w:rPr>
        <w:t>management buyout</w:t>
      </w:r>
      <w:r>
        <w:rPr>
          <w:rFonts w:ascii="Times New Roman" w:hAnsi="Times New Roman" w:cs="Times New Roman"/>
          <w:b w:val="0"/>
          <w:i w:val="0"/>
          <w:sz w:val="24"/>
        </w:rPr>
        <w:t xml:space="preserve">—berlawanan dengan DeAngelo yang tidak menemukan understatement, mungkin karena pengawasan ketat dan sanksi berat menjelang buyout (Wolk et al., 2017, PDF hlm. 25). Ada pula bukti perusahaan menurunkan laba saat mencari proteksi impor lewat tarif atau kuota, dan Kasznik menemukan perusahaan yang memberi prakiraan laba sukarela cenderung menaikkan laba dengan menurunkan </w:t>
      </w:r>
      <w:r>
        <w:rPr>
          <w:rFonts w:ascii="Times New Roman" w:hAnsi="Times New Roman" w:cs="Times New Roman"/>
          <w:b/>
          <w:i w:val="0"/>
          <w:sz w:val="24"/>
        </w:rPr>
        <w:t>akrual diskresioner</w:t>
      </w:r>
      <w:r>
        <w:rPr>
          <w:rFonts w:ascii="Times New Roman" w:hAnsi="Times New Roman" w:cs="Times New Roman"/>
          <w:b w:val="0"/>
          <w:i w:val="0"/>
          <w:sz w:val="24"/>
        </w:rPr>
        <w:t xml:space="preserve"> bila prakiraan terlalu tinggi (Wolk et al., 2017, PDF hlm. 25). Deteksinya sukar, namun SEC memandang manajemen laba sebagai masalah serius. Studi Nelson, Elliott, dan Tarpley—yang menanyai auditor sebuah firma Big Five—menunjukkan tegangan regulatoris yang menarik: </w:t>
      </w:r>
      <w:r>
        <w:rPr>
          <w:rFonts w:ascii="Times New Roman" w:hAnsi="Times New Roman" w:cs="Times New Roman"/>
          <w:b/>
          <w:i w:val="0"/>
          <w:sz w:val="24"/>
        </w:rPr>
        <w:t>standar yang tidak presisi</w:t>
      </w:r>
      <w:r>
        <w:rPr>
          <w:rFonts w:ascii="Times New Roman" w:hAnsi="Times New Roman" w:cs="Times New Roman"/>
          <w:b w:val="0"/>
          <w:i w:val="0"/>
          <w:sz w:val="24"/>
        </w:rPr>
        <w:t xml:space="preserve"> mengundang manipulasi cadangan (piutang tak tertagih, garansi, restrukturisasi), sedangkan </w:t>
      </w:r>
      <w:r>
        <w:rPr>
          <w:rFonts w:ascii="Times New Roman" w:hAnsi="Times New Roman" w:cs="Times New Roman"/>
          <w:b/>
          <w:i w:val="0"/>
          <w:sz w:val="24"/>
        </w:rPr>
        <w:t>standar yang presisi</w:t>
      </w:r>
      <w:r>
        <w:rPr>
          <w:rFonts w:ascii="Times New Roman" w:hAnsi="Times New Roman" w:cs="Times New Roman"/>
          <w:b w:val="0"/>
          <w:i w:val="0"/>
          <w:sz w:val="24"/>
        </w:rPr>
        <w:t xml:space="preserve"> justru mengundang penstrukturan transaksi, misalnya sewa yang sengaja dirancang menutup tepat di bawah </w:t>
      </w:r>
      <w:r>
        <w:rPr>
          <w:rFonts w:ascii="Times New Roman" w:hAnsi="Times New Roman" w:cs="Times New Roman"/>
          <w:b/>
          <w:i w:val="0"/>
          <w:sz w:val="24"/>
        </w:rPr>
        <w:t>75%</w:t>
      </w:r>
      <w:r>
        <w:rPr>
          <w:rFonts w:ascii="Times New Roman" w:hAnsi="Times New Roman" w:cs="Times New Roman"/>
          <w:b w:val="0"/>
          <w:i w:val="0"/>
          <w:sz w:val="24"/>
        </w:rPr>
        <w:t xml:space="preserve"> umur ekonomis aset agar lolos kapitalisasi (Wolk et al., 2017, PDF hlm. 25).</w:t>
      </w:r>
    </w:p>
    <w:p>
      <w:pPr>
        <w:spacing w:lineRule="exact" w:line="360" w:before="0" w:after="120"/>
        <w:jc w:val="both"/>
      </w:pPr>
      <w:r>
        <w:rPr>
          <w:rFonts w:ascii="Times New Roman" w:hAnsi="Times New Roman" w:cs="Times New Roman"/>
          <w:b w:val="0"/>
          <w:i w:val="0"/>
          <w:sz w:val="24"/>
        </w:rPr>
        <w:t xml:space="preserve">Wilayah yang paling sering muncul adalah kompensasi manajemen dan perataan laba. Kontrak kompensasi berusaha menyelaraskan perilaku manajemen dengan kepentingan pemegang saham; bonus berbasis laba lazimnya memiliki </w:t>
      </w:r>
      <w:r>
        <w:rPr>
          <w:rFonts w:ascii="Times New Roman" w:hAnsi="Times New Roman" w:cs="Times New Roman"/>
          <w:b/>
          <w:i w:val="0"/>
          <w:sz w:val="24"/>
        </w:rPr>
        <w:t>batas atas</w:t>
      </w:r>
      <w:r>
        <w:rPr>
          <w:rFonts w:ascii="Times New Roman" w:hAnsi="Times New Roman" w:cs="Times New Roman"/>
          <w:b w:val="0"/>
          <w:i w:val="0"/>
          <w:sz w:val="24"/>
        </w:rPr>
        <w:t xml:space="preserve"> (</w:t>
      </w:r>
      <w:r>
        <w:rPr>
          <w:rFonts w:ascii="Times New Roman" w:hAnsi="Times New Roman" w:cs="Times New Roman"/>
          <w:b w:val="0"/>
          <w:i/>
          <w:sz w:val="24"/>
        </w:rPr>
        <w:t>ceiling</w:t>
      </w:r>
      <w:r>
        <w:rPr>
          <w:rFonts w:ascii="Times New Roman" w:hAnsi="Times New Roman" w:cs="Times New Roman"/>
          <w:b w:val="0"/>
          <w:i w:val="0"/>
          <w:sz w:val="24"/>
        </w:rPr>
        <w:t xml:space="preserve">) dan </w:t>
      </w:r>
      <w:r>
        <w:rPr>
          <w:rFonts w:ascii="Times New Roman" w:hAnsi="Times New Roman" w:cs="Times New Roman"/>
          <w:b/>
          <w:i w:val="0"/>
          <w:sz w:val="24"/>
        </w:rPr>
        <w:t>batas bawah</w:t>
      </w:r>
      <w:r>
        <w:rPr>
          <w:rFonts w:ascii="Times New Roman" w:hAnsi="Times New Roman" w:cs="Times New Roman"/>
          <w:b w:val="0"/>
          <w:i w:val="0"/>
          <w:sz w:val="24"/>
        </w:rPr>
        <w:t xml:space="preserve"> (</w:t>
      </w:r>
      <w:r>
        <w:rPr>
          <w:rFonts w:ascii="Times New Roman" w:hAnsi="Times New Roman" w:cs="Times New Roman"/>
          <w:b w:val="0"/>
          <w:i/>
          <w:sz w:val="24"/>
        </w:rPr>
        <w:t>floor</w:t>
      </w:r>
      <w:r>
        <w:rPr>
          <w:rFonts w:ascii="Times New Roman" w:hAnsi="Times New Roman" w:cs="Times New Roman"/>
          <w:b w:val="0"/>
          <w:i w:val="0"/>
          <w:sz w:val="24"/>
        </w:rPr>
        <w:t xml:space="preserve">)—di antara keduanya bonus adalah persentase laba, di atas plafon bonus maksimal, dan di bawah lantai tak ada bonus (Wolk et al., 2017, PDF hlm. 26). Healy, dalam studi yang kerap dikutip, menemukan bahwa di atas plafon dan di bawah lantai, laba </w:t>
      </w:r>
      <w:r>
        <w:rPr>
          <w:rFonts w:ascii="Times New Roman" w:hAnsi="Times New Roman" w:cs="Times New Roman"/>
          <w:b/>
          <w:i w:val="0"/>
          <w:sz w:val="24"/>
        </w:rPr>
        <w:t>ditangguhkan</w:t>
      </w:r>
      <w:r>
        <w:rPr>
          <w:rFonts w:ascii="Times New Roman" w:hAnsi="Times New Roman" w:cs="Times New Roman"/>
          <w:b w:val="0"/>
          <w:i w:val="0"/>
          <w:sz w:val="24"/>
        </w:rPr>
        <w:t xml:space="preserve"> ke periode berikut melalui pengaturan waktu akrual akhir tahun; Holthausen, Larcker, dan Sloan sebagian besar sependapat namun tidak menemukan taktik penurunan laba ketika laba berada di bawah lantai, sedangkan Gaver, Gaver, dan Austin justru menemukan </w:t>
      </w:r>
      <w:r>
        <w:rPr>
          <w:rFonts w:ascii="Times New Roman" w:hAnsi="Times New Roman" w:cs="Times New Roman"/>
          <w:b/>
          <w:i w:val="0"/>
          <w:sz w:val="24"/>
        </w:rPr>
        <w:t>akrual diskresioner penambah laba</w:t>
      </w:r>
      <w:r>
        <w:rPr>
          <w:rFonts w:ascii="Times New Roman" w:hAnsi="Times New Roman" w:cs="Times New Roman"/>
          <w:b w:val="0"/>
          <w:i w:val="0"/>
          <w:sz w:val="24"/>
        </w:rPr>
        <w:t xml:space="preserve"> saat di bawah lantai (Wolk et al., 2017, PDF hlm. 26). </w:t>
      </w:r>
      <w:r>
        <w:rPr>
          <w:rFonts w:ascii="Times New Roman" w:hAnsi="Times New Roman" w:cs="Times New Roman"/>
          <w:b/>
          <w:i w:val="0"/>
          <w:sz w:val="24"/>
        </w:rPr>
        <w:t>Akrual diskresioner</w:t>
      </w:r>
      <w:r>
        <w:rPr>
          <w:rFonts w:ascii="Times New Roman" w:hAnsi="Times New Roman" w:cs="Times New Roman"/>
          <w:b w:val="0"/>
          <w:i w:val="0"/>
          <w:sz w:val="24"/>
        </w:rPr>
        <w:t xml:space="preserve"> (</w:t>
      </w:r>
      <w:r>
        <w:rPr>
          <w:rFonts w:ascii="Times New Roman" w:hAnsi="Times New Roman" w:cs="Times New Roman"/>
          <w:b w:val="0"/>
          <w:i/>
          <w:sz w:val="24"/>
        </w:rPr>
        <w:t>discretionary accruals</w:t>
      </w:r>
      <w:r>
        <w:rPr>
          <w:rFonts w:ascii="Times New Roman" w:hAnsi="Times New Roman" w:cs="Times New Roman"/>
          <w:b w:val="0"/>
          <w:i w:val="0"/>
          <w:sz w:val="24"/>
        </w:rPr>
        <w:t xml:space="preserve">)—seperti persentase beban piutang tak tertagih, penambahan produksi untuk menyerap overhead manufaktur tetap, dan estimasi beban garansi—dapat dikendalikan jangka pendek, tetapi terbatas dan sulit dibedakan dari </w:t>
      </w:r>
      <w:r>
        <w:rPr>
          <w:rFonts w:ascii="Times New Roman" w:hAnsi="Times New Roman" w:cs="Times New Roman"/>
          <w:b/>
          <w:i w:val="0"/>
          <w:sz w:val="24"/>
        </w:rPr>
        <w:t>akrual nondiskresioner</w:t>
      </w:r>
      <w:r>
        <w:rPr>
          <w:rFonts w:ascii="Times New Roman" w:hAnsi="Times New Roman" w:cs="Times New Roman"/>
          <w:b w:val="0"/>
          <w:i w:val="0"/>
          <w:sz w:val="24"/>
        </w:rPr>
        <w:t>; di luar itu ada pengendalian biaya riil seperti iklan serta riset dan pengembangan yang berorientasi kinerja, bukan sekadar alokasi antarperiode (Wolk et al., 2017, PDF hlm. 26).</w:t>
      </w:r>
    </w:p>
    <w:p>
      <w:pPr>
        <w:spacing w:lineRule="exact" w:line="360" w:before="0" w:after="120"/>
        <w:jc w:val="both"/>
      </w:pPr>
      <w:r>
        <w:rPr>
          <w:rFonts w:ascii="Times New Roman" w:hAnsi="Times New Roman" w:cs="Times New Roman"/>
          <w:b/>
          <w:i w:val="0"/>
          <w:sz w:val="24"/>
        </w:rPr>
        <w:t>Perataan laba</w:t>
      </w:r>
      <w:r>
        <w:rPr>
          <w:rFonts w:ascii="Times New Roman" w:hAnsi="Times New Roman" w:cs="Times New Roman"/>
          <w:b w:val="0"/>
          <w:i w:val="0"/>
          <w:sz w:val="24"/>
        </w:rPr>
        <w:t xml:space="preserve"> (</w:t>
      </w:r>
      <w:r>
        <w:rPr>
          <w:rFonts w:ascii="Times New Roman" w:hAnsi="Times New Roman" w:cs="Times New Roman"/>
          <w:b w:val="0"/>
          <w:i/>
          <w:sz w:val="24"/>
        </w:rPr>
        <w:t>income smoothing</w:t>
      </w:r>
      <w:r>
        <w:rPr>
          <w:rFonts w:ascii="Times New Roman" w:hAnsi="Times New Roman" w:cs="Times New Roman"/>
          <w:b w:val="0"/>
          <w:i w:val="0"/>
          <w:sz w:val="24"/>
        </w:rPr>
        <w:t xml:space="preserve">) bertumpu pada hipotesis bahwa aliran laba yang lebih stabil dengan varian antartahun yang kecil menghasilkan </w:t>
      </w:r>
      <w:r>
        <w:rPr>
          <w:rFonts w:ascii="Times New Roman" w:hAnsi="Times New Roman" w:cs="Times New Roman"/>
          <w:b/>
          <w:i w:val="0"/>
          <w:sz w:val="24"/>
        </w:rPr>
        <w:t>penilaian perusahaan</w:t>
      </w:r>
      <w:r>
        <w:rPr>
          <w:rFonts w:ascii="Times New Roman" w:hAnsi="Times New Roman" w:cs="Times New Roman"/>
          <w:b w:val="0"/>
          <w:i w:val="0"/>
          <w:sz w:val="24"/>
        </w:rPr>
        <w:t xml:space="preserve"> (</w:t>
      </w:r>
      <w:r>
        <w:rPr>
          <w:rFonts w:ascii="Times New Roman" w:hAnsi="Times New Roman" w:cs="Times New Roman"/>
          <w:b w:val="0"/>
          <w:i/>
          <w:sz w:val="24"/>
        </w:rPr>
        <w:t>firm valuation</w:t>
      </w:r>
      <w:r>
        <w:rPr>
          <w:rFonts w:ascii="Times New Roman" w:hAnsi="Times New Roman" w:cs="Times New Roman"/>
          <w:b w:val="0"/>
          <w:i w:val="0"/>
          <w:sz w:val="24"/>
        </w:rPr>
        <w:t xml:space="preserve">) yang lebih tinggi—argumen yang dalam beberapa hal mengandaikan pasar saham naif yang tak mampu mengurai data akuntansi; sebagai alternatif, Ronen dan Sadan menafsirkan perataan sebagai upaya </w:t>
      </w:r>
      <w:r>
        <w:rPr>
          <w:rFonts w:ascii="Times New Roman" w:hAnsi="Times New Roman" w:cs="Times New Roman"/>
          <w:b/>
          <w:i w:val="0"/>
          <w:sz w:val="24"/>
        </w:rPr>
        <w:t>memfasilitasi prediksi</w:t>
      </w:r>
      <w:r>
        <w:rPr>
          <w:rFonts w:ascii="Times New Roman" w:hAnsi="Times New Roman" w:cs="Times New Roman"/>
          <w:b w:val="0"/>
          <w:i w:val="0"/>
          <w:sz w:val="24"/>
        </w:rPr>
        <w:t xml:space="preserve"> arus kas masa depan oleh pihak luar (Wolk et al., 2017, PDF hlm. 26). Perataan dicapai melalui tiga mekanisme: </w:t>
      </w:r>
      <w:r>
        <w:rPr>
          <w:rFonts w:ascii="Times New Roman" w:hAnsi="Times New Roman" w:cs="Times New Roman"/>
          <w:b/>
          <w:i w:val="0"/>
          <w:sz w:val="24"/>
        </w:rPr>
        <w:t>pengaturan waktu transaksi</w:t>
      </w:r>
      <w:r>
        <w:rPr>
          <w:rFonts w:ascii="Times New Roman" w:hAnsi="Times New Roman" w:cs="Times New Roman"/>
          <w:b w:val="0"/>
          <w:i w:val="0"/>
          <w:sz w:val="24"/>
        </w:rPr>
        <w:t xml:space="preserve"> (pilihan manajerial, bukan akuntansi, dan terbilang paling langsung), </w:t>
      </w:r>
      <w:r>
        <w:rPr>
          <w:rFonts w:ascii="Times New Roman" w:hAnsi="Times New Roman" w:cs="Times New Roman"/>
          <w:b/>
          <w:i w:val="0"/>
          <w:sz w:val="24"/>
        </w:rPr>
        <w:t>pemilihan metode atau prosedur alokasi</w:t>
      </w:r>
      <w:r>
        <w:rPr>
          <w:rFonts w:ascii="Times New Roman" w:hAnsi="Times New Roman" w:cs="Times New Roman"/>
          <w:b w:val="0"/>
          <w:i w:val="0"/>
          <w:sz w:val="24"/>
        </w:rPr>
        <w:t xml:space="preserve">, dan </w:t>
      </w:r>
      <w:r>
        <w:rPr>
          <w:rFonts w:ascii="Times New Roman" w:hAnsi="Times New Roman" w:cs="Times New Roman"/>
          <w:b/>
          <w:i w:val="0"/>
          <w:sz w:val="24"/>
        </w:rPr>
        <w:t>perataan klasifikatori</w:t>
      </w:r>
      <w:r>
        <w:rPr>
          <w:rFonts w:ascii="Times New Roman" w:hAnsi="Times New Roman" w:cs="Times New Roman"/>
          <w:b w:val="0"/>
          <w:i w:val="0"/>
          <w:sz w:val="24"/>
        </w:rPr>
        <w:t xml:space="preserve"> antara laba operasi dan nonoperasi—yang setelah APB Opinion No. 30 nyaris tak menyisakan diskresi, sehingga membantu menjelaskan mengapa APB memilih keseragaman kaku ketimbang keseragaman terhingga untuk pos nonoperasi (Wolk et al., 2017, PDF hlm. 27). Chaney dan Jeter menemukan perusahaan perata cenderung lebih besar, dengan </w:t>
      </w:r>
      <w:r>
        <w:rPr>
          <w:rFonts w:ascii="Times New Roman" w:hAnsi="Times New Roman" w:cs="Times New Roman"/>
          <w:b w:val="0"/>
          <w:i/>
          <w:sz w:val="24"/>
        </w:rPr>
        <w:t>return</w:t>
      </w:r>
      <w:r>
        <w:rPr>
          <w:rFonts w:ascii="Times New Roman" w:hAnsi="Times New Roman" w:cs="Times New Roman"/>
          <w:b w:val="0"/>
          <w:i w:val="0"/>
          <w:sz w:val="24"/>
        </w:rPr>
        <w:t xml:space="preserve"> pasar lebih tinggi dan akrual diskresioner absolut lebih besar, sementara DeFond dan Park menemukan pola "</w:t>
      </w:r>
      <w:r>
        <w:rPr>
          <w:rFonts w:ascii="Times New Roman" w:hAnsi="Times New Roman" w:cs="Times New Roman"/>
          <w:b/>
          <w:i w:val="0"/>
          <w:sz w:val="24"/>
        </w:rPr>
        <w:t>meminjam</w:t>
      </w:r>
      <w:r>
        <w:rPr>
          <w:rFonts w:ascii="Times New Roman" w:hAnsi="Times New Roman" w:cs="Times New Roman"/>
          <w:b w:val="0"/>
          <w:i w:val="0"/>
          <w:sz w:val="24"/>
        </w:rPr>
        <w:t>" laba dari masa depan saat laba kini buruk dan "</w:t>
      </w:r>
      <w:r>
        <w:rPr>
          <w:rFonts w:ascii="Times New Roman" w:hAnsi="Times New Roman" w:cs="Times New Roman"/>
          <w:b/>
          <w:i w:val="0"/>
          <w:sz w:val="24"/>
        </w:rPr>
        <w:t>menyimpan</w:t>
      </w:r>
      <w:r>
        <w:rPr>
          <w:rFonts w:ascii="Times New Roman" w:hAnsi="Times New Roman" w:cs="Times New Roman"/>
          <w:b w:val="0"/>
          <w:i w:val="0"/>
          <w:sz w:val="24"/>
        </w:rPr>
        <w:t xml:space="preserve">" laba kini saat prospek mendatang suram (Wolk et al., 2017, PDF hlm. 27). Namun literatur ini menyimpan tiga masalah: motivasi perataan tidak cukup tegas untuk menghasilkan prediksi kuat tentang rupa laba teratakan, laba </w:t>
      </w:r>
      <w:r>
        <w:rPr>
          <w:rFonts w:ascii="Times New Roman" w:hAnsi="Times New Roman" w:cs="Times New Roman"/>
          <w:b/>
          <w:i w:val="0"/>
          <w:sz w:val="24"/>
        </w:rPr>
        <w:t>tak teratakan</w:t>
      </w:r>
      <w:r>
        <w:rPr>
          <w:rFonts w:ascii="Times New Roman" w:hAnsi="Times New Roman" w:cs="Times New Roman"/>
          <w:b w:val="0"/>
          <w:i w:val="0"/>
          <w:sz w:val="24"/>
        </w:rPr>
        <w:t xml:space="preserve"> tidak dapat dihitung sehingga sulit menentukan bagaimana perataan terjadi, dan inflasi menimbulkan drift naik yang berpotensi melebih-lebihkan perataan (Wolk et al., 2017, PDF hlm. 27). Studi </w:t>
      </w:r>
      <w:r>
        <w:rPr>
          <w:rFonts w:ascii="Times New Roman" w:hAnsi="Times New Roman" w:cs="Times New Roman"/>
          <w:b w:val="0"/>
          <w:i/>
          <w:sz w:val="24"/>
        </w:rPr>
        <w:t>time-series</w:t>
      </w:r>
      <w:r>
        <w:rPr>
          <w:rFonts w:ascii="Times New Roman" w:hAnsi="Times New Roman" w:cs="Times New Roman"/>
          <w:b w:val="0"/>
          <w:i w:val="0"/>
          <w:sz w:val="24"/>
        </w:rPr>
        <w:t xml:space="preserve"> yang lebih umum mendeskripsikan laba sebagai </w:t>
      </w:r>
      <w:r>
        <w:rPr>
          <w:rFonts w:ascii="Times New Roman" w:hAnsi="Times New Roman" w:cs="Times New Roman"/>
          <w:b/>
          <w:i w:val="0"/>
          <w:sz w:val="24"/>
        </w:rPr>
        <w:t>random walk</w:t>
      </w:r>
      <w:r>
        <w:rPr>
          <w:rFonts w:ascii="Times New Roman" w:hAnsi="Times New Roman" w:cs="Times New Roman"/>
          <w:b w:val="0"/>
          <w:i w:val="0"/>
          <w:sz w:val="24"/>
        </w:rPr>
        <w:t xml:space="preserve"> dengan sedikit drift naik—prediksi terbaik laba kini adalah laba periode lalu—dan temuan ini </w:t>
      </w:r>
      <w:r>
        <w:rPr>
          <w:rFonts w:ascii="Times New Roman" w:hAnsi="Times New Roman" w:cs="Times New Roman"/>
          <w:b/>
          <w:i w:val="0"/>
          <w:sz w:val="24"/>
        </w:rPr>
        <w:t>tidak mendukung</w:t>
      </w:r>
      <w:r>
        <w:rPr>
          <w:rFonts w:ascii="Times New Roman" w:hAnsi="Times New Roman" w:cs="Times New Roman"/>
          <w:b w:val="0"/>
          <w:i w:val="0"/>
          <w:sz w:val="24"/>
        </w:rPr>
        <w:t xml:space="preserve"> hipotesis perataan secara luas, sebab jika perataan benar-benar masif, model rata-rata bergerak semestinya mengungguli model random walk (Wolk et al., 2017, PDF hlm. 27). Dengan demikian, manajemen laba dan perataan menutup pembahasan kualitas pengukuran laba sekaligus menyiapkan Bagian XII, yang beranjak ke isu pengakuan dan penyajian laba dalam konteks yang lebih luas.</w:t>
      </w:r>
    </w:p>
    <w:p>
      <w:pPr>
        <w:spacing w:lineRule="exact" w:line="360" w:before="240" w:after="120"/>
        <w:jc w:val="left"/>
      </w:pPr>
      <w:r>
        <w:rPr>
          <w:rFonts w:ascii="Times New Roman" w:hAnsi="Times New Roman" w:cs="Times New Roman"/>
          <w:b/>
          <w:i w:val="0"/>
          <w:sz w:val="26"/>
        </w:rPr>
        <w:t>XII. Perkembangan dalam Income Statement</w:t>
      </w:r>
    </w:p>
    <w:p>
      <w:pPr>
        <w:spacing w:lineRule="exact" w:line="360" w:before="0" w:after="120"/>
        <w:jc w:val="both"/>
      </w:pPr>
      <w:r>
        <w:rPr>
          <w:rFonts w:ascii="Times New Roman" w:hAnsi="Times New Roman" w:cs="Times New Roman"/>
          <w:b w:val="0"/>
          <w:i w:val="0"/>
          <w:sz w:val="24"/>
        </w:rPr>
        <w:t>Sekalipun tidak terjadi gejolak besar dalam pengukuran laba, terdapat sejumlah perkembangan menarik yang patut dicermati karena masing-masing mengangkat kembali ketegangan klasik antara tujuan prediktif dan keandalan pengukuran (Wolk et al., 2017, PDF hlm. 28).</w:t>
      </w:r>
    </w:p>
    <w:p>
      <w:pPr>
        <w:spacing w:lineRule="exact" w:line="360" w:before="160" w:after="80"/>
        <w:jc w:val="left"/>
      </w:pPr>
      <w:r>
        <w:rPr>
          <w:rFonts w:ascii="Times New Roman" w:hAnsi="Times New Roman" w:cs="Times New Roman"/>
          <w:b/>
          <w:i/>
          <w:sz w:val="24"/>
        </w:rPr>
        <w:t>Cash Earnings</w:t>
      </w:r>
    </w:p>
    <w:p>
      <w:pPr>
        <w:spacing w:lineRule="exact" w:line="360" w:before="0" w:after="120"/>
        <w:jc w:val="both"/>
      </w:pPr>
      <w:r>
        <w:rPr>
          <w:rFonts w:ascii="Times New Roman" w:hAnsi="Times New Roman" w:cs="Times New Roman"/>
          <w:b w:val="0"/>
          <w:i w:val="0"/>
          <w:sz w:val="24"/>
        </w:rPr>
        <w:t xml:space="preserve">Howell mengusulkan agar laporan laba rugi digantikan oleh suatu laporan operasi berbasis </w:t>
      </w:r>
      <w:r>
        <w:rPr>
          <w:rFonts w:ascii="Times New Roman" w:hAnsi="Times New Roman" w:cs="Times New Roman"/>
          <w:b/>
          <w:i w:val="0"/>
          <w:sz w:val="24"/>
        </w:rPr>
        <w:t>cash earnings</w:t>
      </w:r>
      <w:r>
        <w:rPr>
          <w:rFonts w:ascii="Times New Roman" w:hAnsi="Times New Roman" w:cs="Times New Roman"/>
          <w:b w:val="0"/>
          <w:i w:val="0"/>
          <w:sz w:val="24"/>
        </w:rPr>
        <w:t xml:space="preserve">. Dalam usulan ini, </w:t>
      </w:r>
      <w:r>
        <w:rPr>
          <w:rFonts w:ascii="Times New Roman" w:hAnsi="Times New Roman" w:cs="Times New Roman"/>
          <w:b w:val="0"/>
          <w:i/>
          <w:sz w:val="24"/>
        </w:rPr>
        <w:t>operating income</w:t>
      </w:r>
      <w:r>
        <w:rPr>
          <w:rFonts w:ascii="Times New Roman" w:hAnsi="Times New Roman" w:cs="Times New Roman"/>
          <w:b w:val="0"/>
          <w:i w:val="0"/>
          <w:sz w:val="24"/>
        </w:rPr>
        <w:t xml:space="preserve"> terdiri atas pendapatan tunai dikurangi arus kas keluar operasi—seperti biaya melayani pelanggan, biaya konversi (yang diasumsikan sebagai biaya manufaktur), serta biaya pengembangan dan administrasi. Beban dan akrual nonkas, misalnya </w:t>
      </w:r>
      <w:r>
        <w:rPr>
          <w:rFonts w:ascii="Times New Roman" w:hAnsi="Times New Roman" w:cs="Times New Roman"/>
          <w:b/>
          <w:i w:val="0"/>
          <w:sz w:val="24"/>
        </w:rPr>
        <w:t>depresiasi</w:t>
      </w:r>
      <w:r>
        <w:rPr>
          <w:rFonts w:ascii="Times New Roman" w:hAnsi="Times New Roman" w:cs="Times New Roman"/>
          <w:b w:val="0"/>
          <w:i w:val="0"/>
          <w:sz w:val="24"/>
        </w:rPr>
        <w:t xml:space="preserve"> dan amortisasi serta keuntungan dan kerugian, kemudian dikurangkan dari </w:t>
      </w:r>
      <w:r>
        <w:rPr>
          <w:rFonts w:ascii="Times New Roman" w:hAnsi="Times New Roman" w:cs="Times New Roman"/>
          <w:b w:val="0"/>
          <w:i/>
          <w:sz w:val="24"/>
        </w:rPr>
        <w:t>operating income</w:t>
      </w:r>
      <w:r>
        <w:rPr>
          <w:rFonts w:ascii="Times New Roman" w:hAnsi="Times New Roman" w:cs="Times New Roman"/>
          <w:b w:val="0"/>
          <w:i w:val="0"/>
          <w:sz w:val="24"/>
        </w:rPr>
        <w:t xml:space="preserve"> untuk sampai pada "cash earnings"—sebuah penamaan yang justru kurang tepat, mengingat unsur nonkas tetap dikurangkan. Beban bunga sengaja tidak dibebankan pada laporan operasi karena diperlakukan sebagai </w:t>
      </w:r>
      <w:r>
        <w:rPr>
          <w:rFonts w:ascii="Times New Roman" w:hAnsi="Times New Roman" w:cs="Times New Roman"/>
          <w:b w:val="0"/>
          <w:i/>
          <w:sz w:val="24"/>
        </w:rPr>
        <w:t>financing cost</w:t>
      </w:r>
      <w:r>
        <w:rPr>
          <w:rFonts w:ascii="Times New Roman" w:hAnsi="Times New Roman" w:cs="Times New Roman"/>
          <w:b w:val="0"/>
          <w:i w:val="0"/>
          <w:sz w:val="24"/>
        </w:rPr>
        <w:t xml:space="preserve">, sehingga </w:t>
      </w:r>
      <w:r>
        <w:rPr>
          <w:rFonts w:ascii="Times New Roman" w:hAnsi="Times New Roman" w:cs="Times New Roman"/>
          <w:b w:val="0"/>
          <w:i/>
          <w:sz w:val="24"/>
        </w:rPr>
        <w:t>operating income</w:t>
      </w:r>
      <w:r>
        <w:rPr>
          <w:rFonts w:ascii="Times New Roman" w:hAnsi="Times New Roman" w:cs="Times New Roman"/>
          <w:b w:val="0"/>
          <w:i w:val="0"/>
          <w:sz w:val="24"/>
        </w:rPr>
        <w:t xml:space="preserve"> di sini sejalan dengan bagian pertama pada </w:t>
      </w:r>
      <w:r>
        <w:rPr>
          <w:rFonts w:ascii="Times New Roman" w:hAnsi="Times New Roman" w:cs="Times New Roman"/>
          <w:b w:val="0"/>
          <w:i/>
          <w:sz w:val="24"/>
        </w:rPr>
        <w:t>statement of cash flows</w:t>
      </w:r>
      <w:r>
        <w:rPr>
          <w:rFonts w:ascii="Times New Roman" w:hAnsi="Times New Roman" w:cs="Times New Roman"/>
          <w:b w:val="0"/>
          <w:i w:val="0"/>
          <w:sz w:val="24"/>
        </w:rPr>
        <w:t xml:space="preserve"> dan beban bunga berpindah menjadi bagian dari biaya pendanaan utang (Wolk et al., 2017, PDF hlm. 28). Para penulis menyepakati penekanan Howell pada arus kas, tetapi memberi catatan penting: akrual—berdampingan dengan arus kas—tetap relevan untuk memprediksi laba masa depan. Karena itu, jalan yang lebih baik bukanlah membuang pengukuran berbasis akrual, melainkan menyempurnakan metode penghapusan aset jangka panjang yang selama ini terlampau fleksibel. Usulan Howell, pada intinya, memiliki daya tarik tersendiri karena mengembalikan perhatian pada realisasi kas; namun ia merendahkan peran pengukuran laba berbasis akrual yang sesungguhnya masih dapat diperbaiki—suatu pertukaran yang, menurut para penulis, terlalu mahal untuk diterima begitu saja (Wolk et al., 2017, PDF hlm. 28).</w:t>
      </w:r>
    </w:p>
    <w:p>
      <w:pPr>
        <w:spacing w:lineRule="exact" w:line="360" w:before="160" w:after="80"/>
        <w:jc w:val="left"/>
      </w:pPr>
      <w:r>
        <w:rPr>
          <w:rFonts w:ascii="Times New Roman" w:hAnsi="Times New Roman" w:cs="Times New Roman"/>
          <w:b/>
          <w:i/>
          <w:sz w:val="24"/>
        </w:rPr>
        <w:t>Pro Forma Earnings</w:t>
      </w:r>
    </w:p>
    <w:p>
      <w:pPr>
        <w:spacing w:lineRule="exact" w:line="360" w:before="0" w:after="120"/>
        <w:jc w:val="both"/>
      </w:pPr>
      <w:r>
        <w:rPr>
          <w:rFonts w:ascii="Times New Roman" w:hAnsi="Times New Roman" w:cs="Times New Roman"/>
          <w:b/>
          <w:i w:val="0"/>
          <w:sz w:val="24"/>
        </w:rPr>
        <w:t>Pro forma earnings</w:t>
      </w:r>
      <w:r>
        <w:rPr>
          <w:rFonts w:ascii="Times New Roman" w:hAnsi="Times New Roman" w:cs="Times New Roman"/>
          <w:b w:val="0"/>
          <w:i w:val="0"/>
          <w:sz w:val="24"/>
        </w:rPr>
        <w:t xml:space="preserve"> adalah ukuran pelengkap atas laba GAAP yang disampaikan kepada analis keuangan. Rasionalnya bersifat prediktif: pengeluaran peristiwa unik yang bersifat sekali waktu dipandang berguna bagi investor. Sayangnya, manajemen kerap menyalahgunakannya untuk menyingkirkan </w:t>
      </w:r>
      <w:r>
        <w:rPr>
          <w:rFonts w:ascii="Times New Roman" w:hAnsi="Times New Roman" w:cs="Times New Roman"/>
          <w:b w:val="0"/>
          <w:i/>
          <w:sz w:val="24"/>
        </w:rPr>
        <w:t>bad news</w:t>
      </w:r>
      <w:r>
        <w:rPr>
          <w:rFonts w:ascii="Times New Roman" w:hAnsi="Times New Roman" w:cs="Times New Roman"/>
          <w:b w:val="0"/>
          <w:i w:val="0"/>
          <w:sz w:val="24"/>
        </w:rPr>
        <w:t xml:space="preserve"> sekaligus mempertahankan unsur yang menguntungkan, sehingga laporan menjadi bias dan menyesatkan. Studi atas tahun 1998–2000 menunjukkan profil khas pengguna pro forma: perusahaan "muda" dari industri teknologi dan jasa bisnis, marginal dari sisi laba, berutang tinggi, dan kerap berupaya melampaui ekspektasi analis (Wolk et al., 2017, PDF hlm. 28–29). Keadaan ini berubah ketika SEC memberi saran kehati-hatian pada 2001 dan menerbitkan </w:t>
      </w:r>
      <w:r>
        <w:rPr>
          <w:rFonts w:ascii="Times New Roman" w:hAnsi="Times New Roman" w:cs="Times New Roman"/>
          <w:b/>
          <w:i w:val="0"/>
          <w:sz w:val="24"/>
        </w:rPr>
        <w:t>Regulation G</w:t>
      </w:r>
      <w:r>
        <w:rPr>
          <w:rFonts w:ascii="Times New Roman" w:hAnsi="Times New Roman" w:cs="Times New Roman"/>
          <w:b w:val="0"/>
          <w:i w:val="0"/>
          <w:sz w:val="24"/>
        </w:rPr>
        <w:t xml:space="preserve"> pada 2002, yang mensyaratkan informasi GAAP disajikan dengan keutamaan yang setara dengan informasi non-GAAP serta menuntut rekonsiliasi pro forma terhadap laba berbasis GAAP disertai diskusi memadai pada MD&amp;A. Dua studi lanjutan sebagian besar mengonfirmasi perbaikan pelaporan pro forma sejak 2002, sehingga "irrational exuberance" dalam pelaporan pro forma sebagian besar terjinakkan dan rilisnya menurun signifikan (Wolk et al., 2017, PDF hlm. 29). Episode ini mengingatkan bahwa ukuran yang secara konseptual sah untuk tujuan prediktif tetap rawan disalahgunakan apabila tidak dibingkai oleh disiplin pengungkapan dan rekonsiliasi yang setara.</w:t>
      </w:r>
    </w:p>
    <w:p>
      <w:pPr>
        <w:spacing w:lineRule="exact" w:line="360" w:before="160" w:after="80"/>
        <w:jc w:val="left"/>
      </w:pPr>
      <w:r>
        <w:rPr>
          <w:rFonts w:ascii="Times New Roman" w:hAnsi="Times New Roman" w:cs="Times New Roman"/>
          <w:b/>
          <w:i/>
          <w:sz w:val="24"/>
        </w:rPr>
        <w:t>Laporan G4+1 dan Pendekatan Matrix</w:t>
      </w:r>
    </w:p>
    <w:p>
      <w:pPr>
        <w:spacing w:lineRule="exact" w:line="360" w:before="0" w:after="120"/>
        <w:jc w:val="both"/>
      </w:pPr>
      <w:r>
        <w:rPr>
          <w:rFonts w:ascii="Times New Roman" w:hAnsi="Times New Roman" w:cs="Times New Roman"/>
          <w:b w:val="0"/>
          <w:i w:val="0"/>
          <w:sz w:val="24"/>
        </w:rPr>
        <w:t xml:space="preserve">Laporan </w:t>
      </w:r>
      <w:r>
        <w:rPr>
          <w:rFonts w:ascii="Times New Roman" w:hAnsi="Times New Roman" w:cs="Times New Roman"/>
          <w:b/>
          <w:i w:val="0"/>
          <w:sz w:val="24"/>
        </w:rPr>
        <w:t>G4+1</w:t>
      </w:r>
      <w:r>
        <w:rPr>
          <w:rFonts w:ascii="Times New Roman" w:hAnsi="Times New Roman" w:cs="Times New Roman"/>
          <w:b w:val="0"/>
          <w:i w:val="0"/>
          <w:sz w:val="24"/>
        </w:rPr>
        <w:t xml:space="preserve"> mengambil arah yang berseberangan namun bertujuan sama, yaitu memperkuat kemampuan prediktif. Ia mengusulkan satu laporan laba rugi tunggal dengan tiga komponen: hasil aktivitas operasi atau perdagangan; hasil aktivitas pendanaan dan </w:t>
      </w:r>
      <w:r>
        <w:rPr>
          <w:rFonts w:ascii="Times New Roman" w:hAnsi="Times New Roman" w:cs="Times New Roman"/>
          <w:b w:val="0"/>
          <w:i/>
          <w:sz w:val="24"/>
        </w:rPr>
        <w:t>treasury</w:t>
      </w:r>
      <w:r>
        <w:rPr>
          <w:rFonts w:ascii="Times New Roman" w:hAnsi="Times New Roman" w:cs="Times New Roman"/>
          <w:b w:val="0"/>
          <w:i w:val="0"/>
          <w:sz w:val="24"/>
        </w:rPr>
        <w:t xml:space="preserve">; serta keuntungan dan kerugian lain-lain. Sasarannya adalah </w:t>
      </w:r>
      <w:r>
        <w:rPr>
          <w:rFonts w:ascii="Times New Roman" w:hAnsi="Times New Roman" w:cs="Times New Roman"/>
          <w:b/>
          <w:i w:val="0"/>
          <w:sz w:val="24"/>
        </w:rPr>
        <w:t>*earnings sustainability</w:t>
      </w:r>
      <w:r>
        <w:rPr>
          <w:rFonts w:ascii="Times New Roman" w:hAnsi="Times New Roman" w:cs="Times New Roman"/>
          <w:b w:val="0"/>
          <w:i/>
          <w:sz w:val="24"/>
        </w:rPr>
        <w:t xml:space="preserve">—pemisahan unsur permanen dari unsur transitori. Kesulitannya nyata: restrukturisasi operasi yang diperlukan tergolong satu kali, namun secara substansi tetap menyangkut operasi sehingga sulit diklasifikasikan (Wolk et al., 2017, PDF hlm. 29). Barker menempuh orientasi keberlanjutan serupa melalui format </w:t>
      </w:r>
      <w:r>
        <w:rPr>
          <w:rFonts w:ascii="Times New Roman" w:hAnsi="Times New Roman" w:cs="Times New Roman"/>
          <w:b w:val="0"/>
          <w:i/>
          <w:sz w:val="24"/>
        </w:rPr>
        <w:t>matrix</w:t>
      </w:r>
      <w:r>
        <w:rPr>
          <w:rFonts w:ascii="Times New Roman" w:hAnsi="Times New Roman" w:cs="Times New Roman"/>
          <w:b w:val="0"/>
          <w:i/>
          <w:sz w:val="24"/>
        </w:rPr>
        <w:t xml:space="preserve">, memisahkan kolom keberlanjutan dari kolom </w:t>
      </w:r>
      <w:r>
        <w:rPr>
          <w:rFonts w:ascii="Times New Roman" w:hAnsi="Times New Roman" w:cs="Times New Roman"/>
          <w:b/>
          <w:i w:val="0"/>
          <w:sz w:val="24"/>
        </w:rPr>
        <w:t>remeasurement</w:t>
      </w:r>
      <w:r>
        <w:rPr>
          <w:rFonts w:ascii="Times New Roman" w:hAnsi="Times New Roman" w:cs="Times New Roman"/>
          <w:b w:val="0"/>
          <w:i/>
          <w:sz w:val="24"/>
        </w:rPr>
        <w:t xml:space="preserve"> (pos tidak berulang seperti perubahan nilai wajar), sehingga kerugian aktuaria pensiun yang persisten dapat menjadi sinyal kemungkinan understatement biaya jasa pensiun. Hasil pemilahan Barker berupa tiga kolom—kolom total dengan susunan pos operasi mendahului pos nonoperasi, kolom "before remeasurement" berisi pos berkelanjutan, dan kolom "remeasurement" berisi pos tidak berulang—membantu prediksi arus kas masa depan dari kolom </w:t>
      </w:r>
      <w:r>
        <w:rPr>
          <w:rFonts w:ascii="Times New Roman" w:hAnsi="Times New Roman" w:cs="Times New Roman"/>
          <w:b w:val="0"/>
          <w:i w:val="0"/>
          <w:sz w:val="24"/>
        </w:rPr>
        <w:t>before remeasurement</w:t>
      </w:r>
      <w:r>
        <w:rPr>
          <w:rFonts w:ascii="Times New Roman" w:hAnsi="Times New Roman" w:cs="Times New Roman"/>
          <w:b w:val="0"/>
          <w:i/>
          <w:sz w:val="24"/>
        </w:rPr>
        <w:t xml:space="preserve">. Glover et al. menawarkan matrix lain berbasis distingsi </w:t>
      </w:r>
      <w:r>
        <w:rPr>
          <w:rFonts w:ascii="Times New Roman" w:hAnsi="Times New Roman" w:cs="Times New Roman"/>
          <w:b/>
          <w:i w:val="0"/>
          <w:sz w:val="24"/>
        </w:rPr>
        <w:t>fact versus forecast</w:t>
      </w:r>
      <w:r>
        <w:rPr>
          <w:rFonts w:ascii="Times New Roman" w:hAnsi="Times New Roman" w:cs="Times New Roman"/>
          <w:b w:val="0"/>
          <w:i/>
          <w:sz w:val="24"/>
        </w:rPr>
        <w:t xml:space="preserve">, dengan beberapa varian seperti kas saja, kas ditambah penangguhan, hingga penangguhan tanpa "ketidakpastian" yang memuat pengukuran depresiasi berbasis kebijakan namun mengecualikan nilai sisa yang berbasis estimasi; mereka sendiri mengakui kesulitan menerapkannya pada pengukuran nilai wajar. Dari kedua pendekatan, distingsi </w:t>
      </w:r>
      <w:r>
        <w:rPr>
          <w:rFonts w:ascii="Times New Roman" w:hAnsi="Times New Roman" w:cs="Times New Roman"/>
          <w:b w:val="0"/>
          <w:i w:val="0"/>
          <w:sz w:val="24"/>
        </w:rPr>
        <w:t>recurring–nonrecurring* dinilai paling menjanjikan—sebuah penanda bahwa para peneliti masih menelaah dengan cermat format dan penyajian laporan laba rugi (Wolk et al., 2017, PDF hlm. 29–30).</w:t>
      </w:r>
    </w:p>
    <w:p>
      <w:pPr>
        <w:spacing w:lineRule="exact" w:line="360" w:before="160" w:after="80"/>
        <w:jc w:val="left"/>
      </w:pPr>
      <w:r>
        <w:rPr>
          <w:rFonts w:ascii="Times New Roman" w:hAnsi="Times New Roman" w:cs="Times New Roman"/>
          <w:b/>
          <w:i/>
          <w:sz w:val="24"/>
        </w:rPr>
        <w:t>Retrospective Reports, Quality of Earnings, dan Restatements</w:t>
      </w:r>
    </w:p>
    <w:p>
      <w:pPr>
        <w:spacing w:lineRule="exact" w:line="360" w:before="0" w:after="120"/>
        <w:jc w:val="both"/>
      </w:pPr>
      <w:r>
        <w:rPr>
          <w:rFonts w:ascii="Times New Roman" w:hAnsi="Times New Roman" w:cs="Times New Roman"/>
          <w:b w:val="0"/>
          <w:i w:val="0"/>
          <w:sz w:val="24"/>
        </w:rPr>
        <w:t xml:space="preserve">Lundholm mengusulkan </w:t>
      </w:r>
      <w:r>
        <w:rPr>
          <w:rFonts w:ascii="Times New Roman" w:hAnsi="Times New Roman" w:cs="Times New Roman"/>
          <w:b/>
          <w:i w:val="0"/>
          <w:sz w:val="24"/>
        </w:rPr>
        <w:t>retrospective reports</w:t>
      </w:r>
      <w:r>
        <w:rPr>
          <w:rFonts w:ascii="Times New Roman" w:hAnsi="Times New Roman" w:cs="Times New Roman"/>
          <w:b w:val="0"/>
          <w:i w:val="0"/>
          <w:sz w:val="24"/>
        </w:rPr>
        <w:t xml:space="preserve">, yakni pelaporan akurasi </w:t>
      </w:r>
      <w:r>
        <w:rPr>
          <w:rFonts w:ascii="Times New Roman" w:hAnsi="Times New Roman" w:cs="Times New Roman"/>
          <w:b w:val="0"/>
          <w:i/>
          <w:sz w:val="24"/>
        </w:rPr>
        <w:t>ex post</w:t>
      </w:r>
      <w:r>
        <w:rPr>
          <w:rFonts w:ascii="Times New Roman" w:hAnsi="Times New Roman" w:cs="Times New Roman"/>
          <w:b w:val="0"/>
          <w:i w:val="0"/>
          <w:sz w:val="24"/>
        </w:rPr>
        <w:t xml:space="preserve"> berbagai estimasi—beban piutang tak tertagih, beban garansi, dan kewajiban manfaat pensiun terproyeksi—demi meningkatkan akuntabilitas manajemen, meski terkendala fakta bahwa sejumlah akrual baru tuntas lebih dari satu tahun (Wolk et al., 2017, PDF hlm. 30). Istilah </w:t>
      </w:r>
      <w:r>
        <w:rPr>
          <w:rFonts w:ascii="Times New Roman" w:hAnsi="Times New Roman" w:cs="Times New Roman"/>
          <w:b/>
          <w:i w:val="0"/>
          <w:sz w:val="24"/>
        </w:rPr>
        <w:t>*quality of earnings</w:t>
      </w:r>
      <w:r>
        <w:rPr>
          <w:rFonts w:ascii="Times New Roman" w:hAnsi="Times New Roman" w:cs="Times New Roman"/>
          <w:b w:val="0"/>
          <w:i/>
          <w:sz w:val="24"/>
        </w:rPr>
        <w:t xml:space="preserve"> memiliki dua makna: laba yang berkelanjutan, dan kebalikan dari </w:t>
      </w:r>
      <w:r>
        <w:rPr>
          <w:rFonts w:ascii="Times New Roman" w:hAnsi="Times New Roman" w:cs="Times New Roman"/>
          <w:b w:val="0"/>
          <w:i w:val="0"/>
          <w:sz w:val="24"/>
        </w:rPr>
        <w:t>earnings management</w:t>
      </w:r>
      <w:r>
        <w:rPr>
          <w:rFonts w:ascii="Times New Roman" w:hAnsi="Times New Roman" w:cs="Times New Roman"/>
          <w:b w:val="0"/>
          <w:i/>
          <w:sz w:val="24"/>
        </w:rPr>
        <w:t xml:space="preserve">. Keduanya kembali bermuara pada persoalan uniformitas dan pada kemustahilan—untuk saat ini—merepresentasikan "true income". Akhirnya, pertumbuhan </w:t>
      </w:r>
      <w:r>
        <w:rPr>
          <w:rFonts w:ascii="Times New Roman" w:hAnsi="Times New Roman" w:cs="Times New Roman"/>
          <w:b/>
          <w:i w:val="0"/>
          <w:sz w:val="24"/>
        </w:rPr>
        <w:t>financial statement restatements</w:t>
      </w:r>
      <w:r>
        <w:rPr>
          <w:rFonts w:ascii="Times New Roman" w:hAnsi="Times New Roman" w:cs="Times New Roman"/>
          <w:b w:val="0"/>
          <w:i/>
          <w:sz w:val="24"/>
        </w:rPr>
        <w:t xml:space="preserve"> mengkhawatirkan, mencapai 1.420 pada 2006, dipicu kelemahan pengendalian internal yang terungkap lewat Section 404 </w:t>
      </w:r>
      <w:r>
        <w:rPr>
          <w:rFonts w:ascii="Times New Roman" w:hAnsi="Times New Roman" w:cs="Times New Roman"/>
          <w:b w:val="0"/>
          <w:i w:val="0"/>
          <w:sz w:val="24"/>
        </w:rPr>
        <w:t>Sarbanes-Oxley</w:t>
      </w:r>
      <w:r>
        <w:rPr>
          <w:rFonts w:ascii="Times New Roman" w:hAnsi="Times New Roman" w:cs="Times New Roman"/>
          <w:b w:val="0"/>
          <w:i/>
          <w:sz w:val="24"/>
        </w:rPr>
        <w:t xml:space="preserve">, kerumitan standar (terutama sewa), persyaratan </w:t>
      </w:r>
      <w:r>
        <w:rPr>
          <w:rFonts w:ascii="Times New Roman" w:hAnsi="Times New Roman" w:cs="Times New Roman"/>
          <w:b w:val="0"/>
          <w:i w:val="0"/>
          <w:sz w:val="24"/>
        </w:rPr>
        <w:t>accelerated filings*, serta SAB 99 yang menghapus ambang materialitas 5% dari laba bersih (Wolk et al., 2017, PDF hlm. 30–31). Beragam perkembangan ini menyiapkan landasan bagi sintesis pada Bagian XIII.</w:t>
      </w:r>
    </w:p>
    <w:p>
      <w:pPr>
        <w:spacing w:lineRule="exact" w:line="360" w:before="240" w:after="120"/>
        <w:jc w:val="left"/>
      </w:pPr>
      <w:r>
        <w:rPr>
          <w:rFonts w:ascii="Times New Roman" w:hAnsi="Times New Roman" w:cs="Times New Roman"/>
          <w:b/>
          <w:i w:val="0"/>
          <w:sz w:val="26"/>
        </w:rPr>
        <w:t>XIII. Sintesis</w:t>
      </w:r>
    </w:p>
    <w:p>
      <w:pPr>
        <w:spacing w:lineRule="exact" w:line="360" w:before="0" w:after="120"/>
        <w:jc w:val="both"/>
      </w:pPr>
      <w:r>
        <w:rPr>
          <w:rFonts w:ascii="Times New Roman" w:hAnsi="Times New Roman" w:cs="Times New Roman"/>
          <w:b w:val="0"/>
          <w:i w:val="0"/>
          <w:sz w:val="24"/>
        </w:rPr>
        <w:t>Ringkasan bab ini bertumpu pada satu fondasi: laporan laba rugi berakar pada model biaya historis berupa pengakuan pendapatan dan penandingan beban (</w:t>
      </w:r>
      <w:r>
        <w:rPr>
          <w:rFonts w:ascii="Times New Roman" w:hAnsi="Times New Roman" w:cs="Times New Roman"/>
          <w:b w:val="0"/>
          <w:i/>
          <w:sz w:val="24"/>
        </w:rPr>
        <w:t>matching</w:t>
      </w:r>
      <w:r>
        <w:rPr>
          <w:rFonts w:ascii="Times New Roman" w:hAnsi="Times New Roman" w:cs="Times New Roman"/>
          <w:b w:val="0"/>
          <w:i w:val="0"/>
          <w:sz w:val="24"/>
        </w:rPr>
        <w:t xml:space="preserve">). Dari fondasi itu Wolk et al. membaca arah perkembangan FASB sebagai kecenderungan menuju </w:t>
      </w:r>
      <w:r>
        <w:rPr>
          <w:rFonts w:ascii="Times New Roman" w:hAnsi="Times New Roman" w:cs="Times New Roman"/>
          <w:b w:val="0"/>
          <w:i/>
          <w:sz w:val="24"/>
        </w:rPr>
        <w:t>rigid uniformity</w:t>
      </w:r>
      <w:r>
        <w:rPr>
          <w:rFonts w:ascii="Times New Roman" w:hAnsi="Times New Roman" w:cs="Times New Roman"/>
          <w:b w:val="0"/>
          <w:i w:val="0"/>
          <w:sz w:val="24"/>
        </w:rPr>
        <w:t xml:space="preserve">, baik dalam pengakuan pendapatan maupun dalam pengakuan beban yang sebagian besar berbasis alokasi arbitrer (Wolk et al., 2017, PDF hlm. 31). Pada saat yang sama, persyaratan </w:t>
      </w:r>
      <w:r>
        <w:rPr>
          <w:rFonts w:ascii="Times New Roman" w:hAnsi="Times New Roman" w:cs="Times New Roman"/>
          <w:b w:val="0"/>
          <w:i/>
          <w:sz w:val="24"/>
        </w:rPr>
        <w:t>comprehensive income</w:t>
      </w:r>
      <w:r>
        <w:rPr>
          <w:rFonts w:ascii="Times New Roman" w:hAnsi="Times New Roman" w:cs="Times New Roman"/>
          <w:b w:val="0"/>
          <w:i w:val="0"/>
          <w:sz w:val="24"/>
        </w:rPr>
        <w:t xml:space="preserve">—meski longgar dalam penyajian—mendorong kita lebih jauh menapaki jalur </w:t>
      </w:r>
      <w:r>
        <w:rPr>
          <w:rFonts w:ascii="Times New Roman" w:hAnsi="Times New Roman" w:cs="Times New Roman"/>
          <w:b w:val="0"/>
          <w:i/>
          <w:sz w:val="24"/>
        </w:rPr>
        <w:t>all-inclusive</w:t>
      </w:r>
      <w:r>
        <w:rPr>
          <w:rFonts w:ascii="Times New Roman" w:hAnsi="Times New Roman" w:cs="Times New Roman"/>
          <w:b w:val="0"/>
          <w:i w:val="0"/>
          <w:sz w:val="24"/>
        </w:rPr>
        <w:t xml:space="preserve">, sementara pro forma, salah satu pandangan </w:t>
      </w:r>
      <w:r>
        <w:rPr>
          <w:rFonts w:ascii="Times New Roman" w:hAnsi="Times New Roman" w:cs="Times New Roman"/>
          <w:b w:val="0"/>
          <w:i/>
          <w:sz w:val="24"/>
        </w:rPr>
        <w:t>quality of earnings</w:t>
      </w:r>
      <w:r>
        <w:rPr>
          <w:rFonts w:ascii="Times New Roman" w:hAnsi="Times New Roman" w:cs="Times New Roman"/>
          <w:b w:val="0"/>
          <w:i w:val="0"/>
          <w:sz w:val="24"/>
        </w:rPr>
        <w:t xml:space="preserve">, dan laporan G4+1 justru mengarah ke pandangan </w:t>
      </w:r>
      <w:r>
        <w:rPr>
          <w:rFonts w:ascii="Times New Roman" w:hAnsi="Times New Roman" w:cs="Times New Roman"/>
          <w:b w:val="0"/>
          <w:i/>
          <w:sz w:val="24"/>
        </w:rPr>
        <w:t>current operating</w:t>
      </w:r>
      <w:r>
        <w:rPr>
          <w:rFonts w:ascii="Times New Roman" w:hAnsi="Times New Roman" w:cs="Times New Roman"/>
          <w:b w:val="0"/>
          <w:i w:val="0"/>
          <w:sz w:val="24"/>
        </w:rPr>
        <w:t xml:space="preserve"> demi tujuan prediktif (Wolk et al., 2017, PDF hlm. 31). Dialektika antara kedua aliran ini, dengan demikian, tetap belum terselesaikan dan terus hidup dalam praktik pelaporan kontemporer.</w:t>
      </w:r>
    </w:p>
    <w:p>
      <w:pPr>
        <w:spacing w:lineRule="exact" w:line="360" w:before="0" w:after="120"/>
        <w:jc w:val="both"/>
      </w:pPr>
      <w:r>
        <w:rPr>
          <w:rFonts w:ascii="Times New Roman" w:hAnsi="Times New Roman" w:cs="Times New Roman"/>
          <w:b w:val="0"/>
          <w:i w:val="0"/>
          <w:sz w:val="24"/>
        </w:rPr>
        <w:t xml:space="preserve">Pergeseran historis turut menegaskan arah tersebut. Selama kurang lebih lima dekade laporan laba rugi diperlakukan sebagai laporan dominan, terbukti dari telaah atas ARB dan APB terdahulu yang menempatkan jauh lebih banyak waktu dan upaya pada penyempurnaan laba rugi ketimbang neraca. Namun sejak FASB berdiri, tampak gerak "membersihkan" neraca dan beralih ke pendekatan </w:t>
      </w:r>
      <w:r>
        <w:rPr>
          <w:rFonts w:ascii="Times New Roman" w:hAnsi="Times New Roman" w:cs="Times New Roman"/>
          <w:b w:val="0"/>
          <w:i/>
          <w:sz w:val="24"/>
        </w:rPr>
        <w:t>asset–liability</w:t>
      </w:r>
      <w:r>
        <w:rPr>
          <w:rFonts w:ascii="Times New Roman" w:hAnsi="Times New Roman" w:cs="Times New Roman"/>
          <w:b w:val="0"/>
          <w:i w:val="0"/>
          <w:sz w:val="24"/>
        </w:rPr>
        <w:t xml:space="preserve"> yang konsisten dengan proyek kerangka konseptual (Wolk et al., 2017, PDF hlm. 31)—suatu benang merah yang berartikulasi balik dengan pembahasan kerangka konseptual pada Pertemuan VIII.</w:t>
      </w:r>
    </w:p>
    <w:p>
      <w:pPr>
        <w:spacing w:lineRule="exact" w:line="360" w:before="0" w:after="120"/>
        <w:jc w:val="both"/>
      </w:pPr>
      <w:r>
        <w:rPr>
          <w:rFonts w:ascii="Times New Roman" w:hAnsi="Times New Roman" w:cs="Times New Roman"/>
          <w:b w:val="0"/>
          <w:i w:val="0"/>
          <w:sz w:val="24"/>
        </w:rPr>
        <w:t xml:space="preserve">Perkembangan ini berbicara langsung kepada tema-tema kuliah. Dari sisi </w:t>
      </w:r>
      <w:r>
        <w:rPr>
          <w:rFonts w:ascii="Times New Roman" w:hAnsi="Times New Roman" w:cs="Times New Roman"/>
          <w:b w:val="0"/>
          <w:i/>
          <w:sz w:val="24"/>
        </w:rPr>
        <w:t>decision usefulness</w:t>
      </w:r>
      <w:r>
        <w:rPr>
          <w:rFonts w:ascii="Times New Roman" w:hAnsi="Times New Roman" w:cs="Times New Roman"/>
          <w:b w:val="0"/>
          <w:i w:val="0"/>
          <w:sz w:val="24"/>
        </w:rPr>
        <w:t xml:space="preserve">, angka laba mempertahankan kandungan informasinya kendati sarat alokasi arbitrer; inilah alasan laporan laba rugi tetap menjadi rujukan utama pengguna meski secara teoretis tidak pernah sepenuhnya bebas dari pertimbangan. Dari sisi </w:t>
      </w:r>
      <w:r>
        <w:rPr>
          <w:rFonts w:ascii="Times New Roman" w:hAnsi="Times New Roman" w:cs="Times New Roman"/>
          <w:b w:val="0"/>
          <w:i/>
          <w:sz w:val="24"/>
        </w:rPr>
        <w:t>information asymmetry</w:t>
      </w:r>
      <w:r>
        <w:rPr>
          <w:rFonts w:ascii="Times New Roman" w:hAnsi="Times New Roman" w:cs="Times New Roman"/>
          <w:b w:val="0"/>
          <w:i w:val="0"/>
          <w:sz w:val="24"/>
        </w:rPr>
        <w:t xml:space="preserve"> dan teori keagenan, </w:t>
      </w:r>
      <w:r>
        <w:rPr>
          <w:rFonts w:ascii="Times New Roman" w:hAnsi="Times New Roman" w:cs="Times New Roman"/>
          <w:b w:val="0"/>
          <w:i/>
          <w:sz w:val="24"/>
        </w:rPr>
        <w:t>earnings management</w:t>
      </w:r>
      <w:r>
        <w:rPr>
          <w:rFonts w:ascii="Times New Roman" w:hAnsi="Times New Roman" w:cs="Times New Roman"/>
          <w:b w:val="0"/>
          <w:i w:val="0"/>
          <w:sz w:val="24"/>
        </w:rPr>
        <w:t>—termasuk perataan laba (</w:t>
      </w:r>
      <w:r>
        <w:rPr>
          <w:rFonts w:ascii="Times New Roman" w:hAnsi="Times New Roman" w:cs="Times New Roman"/>
          <w:b w:val="0"/>
          <w:i/>
          <w:sz w:val="24"/>
        </w:rPr>
        <w:t>income smoothing</w:t>
      </w:r>
      <w:r>
        <w:rPr>
          <w:rFonts w:ascii="Times New Roman" w:hAnsi="Times New Roman" w:cs="Times New Roman"/>
          <w:b w:val="0"/>
          <w:i w:val="0"/>
          <w:sz w:val="24"/>
        </w:rPr>
        <w:t xml:space="preserve">) dan manipulasi demi memaksimalkan kompensasi—mencerminkan informasi orang dalam dan kontrak kompensasi yang melekat pada angka laba; di sinilah keleluasaan penyusun bersinggungan dengan kepentingan pemegang saham. Dari sudut </w:t>
      </w:r>
      <w:r>
        <w:rPr>
          <w:rFonts w:ascii="Times New Roman" w:hAnsi="Times New Roman" w:cs="Times New Roman"/>
          <w:b w:val="0"/>
          <w:i/>
          <w:sz w:val="24"/>
        </w:rPr>
        <w:t>efficient markets</w:t>
      </w:r>
      <w:r>
        <w:rPr>
          <w:rFonts w:ascii="Times New Roman" w:hAnsi="Times New Roman" w:cs="Times New Roman"/>
          <w:b w:val="0"/>
          <w:i w:val="0"/>
          <w:sz w:val="24"/>
        </w:rPr>
        <w:t xml:space="preserve">, reaksi pasar atas </w:t>
      </w:r>
      <w:r>
        <w:rPr>
          <w:rFonts w:ascii="Times New Roman" w:hAnsi="Times New Roman" w:cs="Times New Roman"/>
          <w:b w:val="0"/>
          <w:i/>
          <w:sz w:val="24"/>
        </w:rPr>
        <w:t>big bath</w:t>
      </w:r>
      <w:r>
        <w:rPr>
          <w:rFonts w:ascii="Times New Roman" w:hAnsi="Times New Roman" w:cs="Times New Roman"/>
          <w:b w:val="0"/>
          <w:i w:val="0"/>
          <w:sz w:val="24"/>
        </w:rPr>
        <w:t xml:space="preserve"> dan relevansi nilai (</w:t>
      </w:r>
      <w:r>
        <w:rPr>
          <w:rFonts w:ascii="Times New Roman" w:hAnsi="Times New Roman" w:cs="Times New Roman"/>
          <w:b w:val="0"/>
          <w:i/>
          <w:sz w:val="24"/>
        </w:rPr>
        <w:t>value relevance</w:t>
      </w:r>
      <w:r>
        <w:rPr>
          <w:rFonts w:ascii="Times New Roman" w:hAnsi="Times New Roman" w:cs="Times New Roman"/>
          <w:b w:val="0"/>
          <w:i w:val="0"/>
          <w:sz w:val="24"/>
        </w:rPr>
        <w:t xml:space="preserve">) laba menunjukkan bahwa laba tetap dihargai meski tidak sempurna, sehingga kualitas pengukuran berkonsekuensi langsung pada harga sekuritas. Adapun ketegangan </w:t>
      </w:r>
      <w:r>
        <w:rPr>
          <w:rFonts w:ascii="Times New Roman" w:hAnsi="Times New Roman" w:cs="Times New Roman"/>
          <w:b w:val="0"/>
          <w:i/>
          <w:sz w:val="24"/>
        </w:rPr>
        <w:t>historical cost versus fair value</w:t>
      </w:r>
      <w:r>
        <w:rPr>
          <w:rFonts w:ascii="Times New Roman" w:hAnsi="Times New Roman" w:cs="Times New Roman"/>
          <w:b w:val="0"/>
          <w:i w:val="0"/>
          <w:sz w:val="24"/>
        </w:rPr>
        <w:t xml:space="preserve"> mengemuka pada arbitrasi alokasi beban dan pada perbatasan </w:t>
      </w:r>
      <w:r>
        <w:rPr>
          <w:rFonts w:ascii="Times New Roman" w:hAnsi="Times New Roman" w:cs="Times New Roman"/>
          <w:b w:val="0"/>
          <w:i/>
          <w:sz w:val="24"/>
        </w:rPr>
        <w:t>fact versus forecast</w:t>
      </w:r>
      <w:r>
        <w:rPr>
          <w:rFonts w:ascii="Times New Roman" w:hAnsi="Times New Roman" w:cs="Times New Roman"/>
          <w:b w:val="0"/>
          <w:i w:val="0"/>
          <w:sz w:val="24"/>
        </w:rPr>
        <w:t xml:space="preserve"> yang dieksplorasi pendekatan matrix—garis pemisah antara apa yang telah terjadi dan apa yang masih diperkirakan.</w:t>
      </w:r>
    </w:p>
    <w:p>
      <w:pPr>
        <w:spacing w:lineRule="exact" w:line="360" w:before="0" w:after="120"/>
        <w:jc w:val="both"/>
      </w:pPr>
      <w:r>
        <w:rPr>
          <w:rFonts w:ascii="Times New Roman" w:hAnsi="Times New Roman" w:cs="Times New Roman"/>
          <w:b w:val="0"/>
          <w:i w:val="0"/>
          <w:sz w:val="24"/>
        </w:rPr>
        <w:t xml:space="preserve">Pada akhirnya, laporan laba rugi paling tepat dipahami sebagai medan ketegangan yang lestari: antara </w:t>
      </w:r>
      <w:r>
        <w:rPr>
          <w:rFonts w:ascii="Times New Roman" w:hAnsi="Times New Roman" w:cs="Times New Roman"/>
          <w:b w:val="0"/>
          <w:i/>
          <w:sz w:val="24"/>
        </w:rPr>
        <w:t>relevance</w:t>
      </w:r>
      <w:r>
        <w:rPr>
          <w:rFonts w:ascii="Times New Roman" w:hAnsi="Times New Roman" w:cs="Times New Roman"/>
          <w:b w:val="0"/>
          <w:i w:val="0"/>
          <w:sz w:val="24"/>
        </w:rPr>
        <w:t xml:space="preserve"> dan </w:t>
      </w:r>
      <w:r>
        <w:rPr>
          <w:rFonts w:ascii="Times New Roman" w:hAnsi="Times New Roman" w:cs="Times New Roman"/>
          <w:b w:val="0"/>
          <w:i/>
          <w:sz w:val="24"/>
        </w:rPr>
        <w:t>reliability</w:t>
      </w:r>
      <w:r>
        <w:rPr>
          <w:rFonts w:ascii="Times New Roman" w:hAnsi="Times New Roman" w:cs="Times New Roman"/>
          <w:b w:val="0"/>
          <w:i w:val="0"/>
          <w:sz w:val="24"/>
        </w:rPr>
        <w:t>, antara cita-cita ekonomik tentang laba "sejati" dan keterbatasan praktis pengukuran, serta antara kebutuhan informasi pengguna dan keleluasaan (</w:t>
      </w:r>
      <w:r>
        <w:rPr>
          <w:rFonts w:ascii="Times New Roman" w:hAnsi="Times New Roman" w:cs="Times New Roman"/>
          <w:b w:val="0"/>
          <w:i/>
          <w:sz w:val="24"/>
        </w:rPr>
        <w:t>discretion</w:t>
      </w:r>
      <w:r>
        <w:rPr>
          <w:rFonts w:ascii="Times New Roman" w:hAnsi="Times New Roman" w:cs="Times New Roman"/>
          <w:b w:val="0"/>
          <w:i w:val="0"/>
          <w:sz w:val="24"/>
        </w:rPr>
        <w:t xml:space="preserve">) yang diberikan kepada penyusun. Tidak ada satu format pun—baik </w:t>
      </w:r>
      <w:r>
        <w:rPr>
          <w:rFonts w:ascii="Times New Roman" w:hAnsi="Times New Roman" w:cs="Times New Roman"/>
          <w:b w:val="0"/>
          <w:i/>
          <w:sz w:val="24"/>
        </w:rPr>
        <w:t>current operating</w:t>
      </w:r>
      <w:r>
        <w:rPr>
          <w:rFonts w:ascii="Times New Roman" w:hAnsi="Times New Roman" w:cs="Times New Roman"/>
          <w:b w:val="0"/>
          <w:i w:val="0"/>
          <w:sz w:val="24"/>
        </w:rPr>
        <w:t xml:space="preserve"> maupun </w:t>
      </w:r>
      <w:r>
        <w:rPr>
          <w:rFonts w:ascii="Times New Roman" w:hAnsi="Times New Roman" w:cs="Times New Roman"/>
          <w:b w:val="0"/>
          <w:i/>
          <w:sz w:val="24"/>
        </w:rPr>
        <w:t>all-inclusive</w:t>
      </w:r>
      <w:r>
        <w:rPr>
          <w:rFonts w:ascii="Times New Roman" w:hAnsi="Times New Roman" w:cs="Times New Roman"/>
          <w:b w:val="0"/>
          <w:i w:val="0"/>
          <w:sz w:val="24"/>
        </w:rPr>
        <w:t>, baik berbasis kas maupun berbasis akrual—yang sanggup meniadakan ketegangan tersebut sekaligus; masing-masing hanya memindahkan titik kompromi. Justru di dalam ketegangan inilah teori akuntansi bekerja—bukan untuk menghapusnya, melainkan untuk mengelolanya dengan langkah perbaikan yang lambat namun ajek, sebagaimana ditegaskan keseluruhan bab ini.</w:t>
      </w:r>
    </w:p>
    <w:p>
      <w:pPr>
        <w:spacing w:lineRule="exact" w:line="360" w:before="240" w:after="120"/>
        <w:jc w:val="left"/>
      </w:pPr>
      <w:r>
        <w:rPr>
          <w:rFonts w:ascii="Times New Roman" w:hAnsi="Times New Roman" w:cs="Times New Roman"/>
          <w:b/>
          <w:i w:val="0"/>
          <w:sz w:val="26"/>
        </w:rPr>
        <w:t>XIV. Referensi</w:t>
      </w:r>
    </w:p>
    <w:p>
      <w:pPr>
        <w:spacing w:lineRule="exact" w:line="360" w:before="0" w:after="120"/>
        <w:ind w:left="425" w:hanging="425"/>
        <w:jc w:val="both"/>
      </w:pPr>
      <w:r>
        <w:rPr>
          <w:rFonts w:ascii="Times New Roman" w:hAnsi="Times New Roman" w:cs="Times New Roman"/>
          <w:b w:val="0"/>
          <w:i w:val="0"/>
          <w:sz w:val="24"/>
        </w:rPr>
        <w:t xml:space="preserve">Wolk, H. I., Dodd, J. L., &amp; Rozycki, J. J. (2017). </w:t>
      </w:r>
      <w:r>
        <w:rPr>
          <w:rFonts w:ascii="Times New Roman" w:hAnsi="Times New Roman" w:cs="Times New Roman"/>
          <w:b w:val="0"/>
          <w:i/>
          <w:sz w:val="24"/>
        </w:rPr>
        <w:t>Accounting Theory: Conceptual Issues in a Political and Economic Environment</w:t>
      </w:r>
      <w:r>
        <w:rPr>
          <w:rFonts w:ascii="Times New Roman" w:hAnsi="Times New Roman" w:cs="Times New Roman"/>
          <w:b w:val="0"/>
          <w:i w:val="0"/>
          <w:sz w:val="24"/>
        </w:rPr>
        <w:t xml:space="preserve"> (9th ed.). Thousand Oaks, CA: Sage Publications. Bab 12, "The Income Statement" (print pp. 337–373; edisi SAGE Knowledge, 34 hlm.).</w:t>
      </w:r>
    </w:p>
    <w:p>
      <w:pPr>
        <w:spacing w:lineRule="exact" w:line="360" w:before="0" w:after="120"/>
        <w:ind w:left="425" w:hanging="425"/>
        <w:jc w:val="both"/>
      </w:pPr>
      <w:r>
        <w:rPr>
          <w:rFonts w:ascii="Times New Roman" w:hAnsi="Times New Roman" w:cs="Times New Roman"/>
          <w:b w:val="0"/>
          <w:i w:val="0"/>
          <w:sz w:val="24"/>
        </w:rPr>
        <w:t>Silabus Pelaporan Keuangan Korporat (MNK202), Pascasarjana STIE YKPN Yogyakarta, Tahun Ajaran 2025/2026.</w:t>
      </w:r>
    </w:p>
    <w:sectPr w:rsidR="00FC693F" w:rsidRPr="0006063C" w:rsidSect="00034616">
      <w:footerReference w:type="default" r:id="rId9"/>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b w:val="0"/>
        <w:i w:val="0"/>
        <w:sz w:val="22"/>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