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pPr>
      <w:r>
        <w:rPr>
          <w:rFonts w:ascii="Calibri" w:hAnsi="Calibri" w:cs="Calibri"/>
          <w:b/>
          <w:i w:val="0"/>
          <w:sz w:val="28"/>
        </w:rPr>
        <w:t>RINGKASAN MATERI KULIAH (RMK) — PERTEMUAN 10</w:t>
      </w:r>
    </w:p>
    <w:p>
      <w:pPr>
        <w:spacing w:line="360" w:lineRule="auto" w:before="0" w:after="40"/>
        <w:jc w:val="center"/>
      </w:pPr>
      <w:r>
        <w:rPr>
          <w:rFonts w:ascii="Calibri" w:hAnsi="Calibri" w:cs="Calibri"/>
          <w:b w:val="0"/>
          <w:i w:val="0"/>
          <w:sz w:val="24"/>
        </w:rPr>
        <w:t>Mata Kuliah: Pelaporan Keuangan Korporat (MNK202)</w:t>
      </w:r>
    </w:p>
    <w:p>
      <w:pPr>
        <w:spacing w:line="360" w:lineRule="auto" w:before="0" w:after="40"/>
        <w:jc w:val="center"/>
      </w:pPr>
      <w:r>
        <w:rPr>
          <w:rFonts w:ascii="Calibri" w:hAnsi="Calibri" w:cs="Calibri"/>
          <w:b w:val="0"/>
          <w:i w:val="0"/>
          <w:sz w:val="24"/>
        </w:rPr>
        <w:t>Topik: Statement of Cash Flows</w:t>
      </w:r>
    </w:p>
    <w:p>
      <w:pPr>
        <w:spacing w:line="360" w:lineRule="auto" w:before="0" w:after="40"/>
        <w:jc w:val="center"/>
      </w:pPr>
      <w:r>
        <w:rPr>
          <w:rFonts w:ascii="Calibri" w:hAnsi="Calibri" w:cs="Calibri"/>
          <w:b w:val="0"/>
          <w:i w:val="0"/>
          <w:sz w:val="24"/>
        </w:rPr>
        <w:t>Dosen Pengampu: [—]</w:t>
      </w:r>
    </w:p>
    <w:p>
      <w:pPr>
        <w:spacing w:line="360" w:lineRule="auto" w:before="0" w:after="40"/>
        <w:jc w:val="center"/>
      </w:pPr>
      <w:r>
        <w:rPr>
          <w:rFonts w:ascii="Calibri" w:hAnsi="Calibri" w:cs="Calibri"/>
          <w:b w:val="0"/>
          <w:i w:val="0"/>
          <w:sz w:val="24"/>
        </w:rPr>
        <w:t>Nama Mahasiswa: Dzaki Muhammad Yusfian — NIM 1225 01079</w:t>
      </w:r>
    </w:p>
    <w:p>
      <w:pPr>
        <w:spacing w:line="360" w:lineRule="auto" w:before="0" w:after="40"/>
        <w:jc w:val="center"/>
      </w:pPr>
      <w:r>
        <w:rPr>
          <w:rFonts w:ascii="Calibri" w:hAnsi="Calibri" w:cs="Calibri"/>
          <w:b w:val="0"/>
          <w:i w:val="0"/>
          <w:sz w:val="24"/>
        </w:rPr>
        <w:t>Program Studi: Pascasarjana — Magister Akuntansi / Magister Manajemen, STIE YKPN</w:t>
      </w:r>
    </w:p>
    <w:p>
      <w:pPr>
        <w:spacing w:line="360" w:lineRule="auto" w:before="0" w:after="40"/>
        <w:jc w:val="center"/>
      </w:pPr>
      <w:r>
        <w:rPr>
          <w:rFonts w:ascii="Calibri" w:hAnsi="Calibri" w:cs="Calibri"/>
          <w:b w:val="0"/>
          <w:i w:val="0"/>
          <w:sz w:val="24"/>
        </w:rPr>
        <w:t>Tanggal: [—] (Pertemuan X — Selasa, sesuai jadwal silabus)</w:t>
      </w:r>
    </w:p>
    <w:p>
      <w:pPr>
        <w:spacing w:line="360" w:lineRule="auto" w:before="0" w:after="40"/>
        <w:jc w:val="center"/>
      </w:pPr>
      <w:r>
        <w:rPr>
          <w:rFonts w:ascii="Calibri" w:hAnsi="Calibri" w:cs="Calibri"/>
          <w:b w:val="0"/>
          <w:i w:val="0"/>
          <w:sz w:val="24"/>
        </w:rPr>
        <w:t>Sumber: Wolk, Dodd &amp; Rozycki (2017), Accounting Theory (9th ed.), Bab 13 — Statement of Cash Flows</w:t>
      </w:r>
    </w:p>
    <w:p>
      <w:pPr>
        <w:spacing w:line="360" w:lineRule="auto" w:before="0" w:after="200"/>
        <w:jc w:val="both"/>
        <w:pBdr>
          <w:bottom w:val="single" w:sz="8" w:color="000000"/>
        </w:pBdr>
      </w:pPr>
      <w:r>
        <w:rPr>
          <w:rFonts w:ascii="Calibri" w:hAnsi="Calibri" w:cs="Calibri"/>
          <w:b w:val="0"/>
          <w:i w:val="0"/>
          <w:sz w:val="24"/>
        </w:rPr>
      </w:r>
    </w:p>
    <w:p>
      <w:pPr>
        <w:spacing w:line="360" w:lineRule="auto" w:before="80" w:after="40"/>
        <w:jc w:val="left"/>
      </w:pPr>
      <w:r>
        <w:rPr>
          <w:rFonts w:ascii="Calibri" w:hAnsi="Calibri" w:cs="Calibri"/>
          <w:b/>
          <w:i w:val="0"/>
          <w:sz w:val="26"/>
        </w:rPr>
        <w:t>Bagian A — Cornell Notes</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Mengapa bab ini dibuka dengan "cash is cash is cash"?</w:t>
            </w:r>
          </w:p>
        </w:tc>
        <w:tc>
          <w:tcPr>
            <w:tcW w:type="dxa" w:w="5669"/>
          </w:tcPr>
          <w:p>
            <w:pPr>
              <w:spacing w:line="360" w:lineRule="auto"/>
              <w:jc w:val="both"/>
            </w:pPr>
            <w:r/>
            <w:r>
              <w:rPr>
                <w:rFonts w:ascii="Calibri" w:hAnsi="Calibri" w:cs="Calibri"/>
                <w:b w:val="0"/>
                <w:i w:val="0"/>
                <w:sz w:val="22"/>
              </w:rPr>
              <w:t xml:space="preserve">Wolk membuka pembahasan dengan anekdot dari musikal </w:t>
            </w:r>
            <w:r>
              <w:rPr>
                <w:rFonts w:ascii="Calibri" w:hAnsi="Calibri" w:cs="Calibri"/>
                <w:b w:val="0"/>
                <w:i/>
                <w:sz w:val="22"/>
              </w:rPr>
              <w:t>The Music Man</w:t>
            </w:r>
            <w:r>
              <w:rPr>
                <w:rFonts w:ascii="Calibri" w:hAnsi="Calibri" w:cs="Calibri"/>
                <w:b w:val="0"/>
                <w:i w:val="0"/>
                <w:sz w:val="22"/>
              </w:rPr>
              <w:t xml:space="preserve">, ketika para penjaja barang berseru menuntut pembayaran tunai atas dagangan mereka. Maksudnya satu: tagihan, investasi, utang, dan dividen pada akhirnya dilunasi dengan kas, bukan dengan laba. Perusahaan yang tidak mampu menghasilkan kas yang memadai dari operasinya cepat atau lambat akan punah, dan justru di situlah letak daya tarik pelaporan berbasis kas — angkanya lugas dan tidak menyisakan ruang tafsir sebanyak laba akrual. Premis normatif inilah yang menjadikan </w:t>
            </w:r>
            <w:r>
              <w:rPr>
                <w:rFonts w:ascii="Calibri" w:hAnsi="Calibri" w:cs="Calibri"/>
                <w:b w:val="0"/>
                <w:i/>
                <w:sz w:val="22"/>
              </w:rPr>
              <w:t>Statement of Cash Flows</w:t>
            </w:r>
            <w:r>
              <w:rPr>
                <w:rFonts w:ascii="Calibri" w:hAnsi="Calibri" w:cs="Calibri"/>
                <w:b w:val="0"/>
                <w:i w:val="0"/>
                <w:sz w:val="22"/>
              </w:rPr>
              <w:t xml:space="preserve"> (SCF, laporan arus kas) sebagai pelengkap wajib bagi laporan keuangan berbasis akrual (Wolk et al., 2017).</w:t>
            </w:r>
          </w:p>
        </w:tc>
      </w:tr>
      <w:tr>
        <w:tc>
          <w:tcPr>
            <w:tcW w:type="dxa" w:w="2835"/>
          </w:tcPr>
          <w:p>
            <w:pPr>
              <w:spacing w:line="360" w:lineRule="auto"/>
              <w:jc w:val="left"/>
            </w:pPr>
            <w:r/>
            <w:r>
              <w:rPr>
                <w:rFonts w:ascii="Calibri" w:hAnsi="Calibri" w:cs="Calibri"/>
                <w:b/>
                <w:i w:val="0"/>
                <w:sz w:val="22"/>
              </w:rPr>
              <w:t>Bagaimana alur bab dan dua masalah strukturalnya?</w:t>
            </w:r>
          </w:p>
        </w:tc>
        <w:tc>
          <w:tcPr>
            <w:tcW w:type="dxa" w:w="5669"/>
          </w:tcPr>
          <w:p>
            <w:pPr>
              <w:spacing w:line="360" w:lineRule="auto"/>
              <w:jc w:val="both"/>
            </w:pPr>
            <w:r/>
            <w:r>
              <w:rPr>
                <w:rFonts w:ascii="Calibri" w:hAnsi="Calibri" w:cs="Calibri"/>
                <w:b w:val="0"/>
                <w:i w:val="0"/>
                <w:sz w:val="22"/>
              </w:rPr>
              <w:t xml:space="preserve">Bab ini menelusuri pendahulu SCF, yaitu </w:t>
            </w:r>
            <w:r>
              <w:rPr>
                <w:rFonts w:ascii="Calibri" w:hAnsi="Calibri" w:cs="Calibri"/>
                <w:b w:val="0"/>
                <w:i/>
                <w:sz w:val="22"/>
              </w:rPr>
              <w:t>Statement of Changes in Financial Position</w:t>
            </w:r>
            <w:r>
              <w:rPr>
                <w:rFonts w:ascii="Calibri" w:hAnsi="Calibri" w:cs="Calibri"/>
                <w:b w:val="0"/>
                <w:i w:val="0"/>
                <w:sz w:val="22"/>
              </w:rPr>
              <w:t xml:space="preserve"> (SCFP, laporan perubahan posisi keuangan), sebelum masuk ke motivasi dan struktur SCF itu sendiri. Sepanjang jalan Wolk tidak menyembunyikan dua kelemahan bawaan SCF: ketakterartikulasian (</w:t>
            </w:r>
            <w:r>
              <w:rPr>
                <w:rFonts w:ascii="Calibri" w:hAnsi="Calibri" w:cs="Calibri"/>
                <w:b w:val="0"/>
                <w:i/>
                <w:sz w:val="22"/>
              </w:rPr>
              <w:t>nonarticulation</w:t>
            </w:r>
            <w:r>
              <w:rPr>
                <w:rFonts w:ascii="Calibri" w:hAnsi="Calibri" w:cs="Calibri"/>
                <w:b w:val="0"/>
                <w:i w:val="0"/>
                <w:sz w:val="22"/>
              </w:rPr>
              <w:t xml:space="preserve">) yang lahir dari metode tidak langsung pada bagian operasi, dan inkonsistensi klasifikasi dalam trikotomi tiga arah FASB. Keduanya bermuara pada satu nasihat praktis, bahwa SCF harus dibaca secara utuh dan bukan sepotong demi sepotong. Bagian akhir bab memperkenalkan </w:t>
            </w:r>
            <w:r>
              <w:rPr>
                <w:rFonts w:ascii="Calibri" w:hAnsi="Calibri" w:cs="Calibri"/>
                <w:b w:val="0"/>
                <w:i/>
                <w:sz w:val="22"/>
              </w:rPr>
              <w:t>free cash flow</w:t>
            </w:r>
            <w:r>
              <w:rPr>
                <w:rFonts w:ascii="Calibri" w:hAnsi="Calibri" w:cs="Calibri"/>
                <w:b w:val="0"/>
                <w:i w:val="0"/>
                <w:sz w:val="22"/>
              </w:rPr>
              <w:t xml:space="preserve"> (FCF, arus kas bebas), sebuah ukuran non-GAAP yang justru berkembang karena kelemahan SCF, lalu ditutup dengan tinjauan riset dan usulan perbaikan (Wolk et al., 2017).</w:t>
            </w:r>
          </w:p>
        </w:tc>
      </w:tr>
      <w:tr>
        <w:tc>
          <w:tcPr>
            <w:tcW w:type="dxa" w:w="2835"/>
          </w:tcPr>
          <w:p>
            <w:pPr>
              <w:spacing w:line="360" w:lineRule="auto"/>
              <w:jc w:val="left"/>
            </w:pPr>
            <w:r/>
            <w:r>
              <w:rPr>
                <w:rFonts w:ascii="Calibri" w:hAnsi="Calibri" w:cs="Calibri"/>
                <w:b/>
                <w:i w:val="0"/>
                <w:sz w:val="22"/>
              </w:rPr>
              <w:t>Apa warisan SCFP dan peran APB Opinion No. 19 (1971)?</w:t>
            </w:r>
          </w:p>
        </w:tc>
        <w:tc>
          <w:tcPr>
            <w:tcW w:type="dxa" w:w="5669"/>
          </w:tcPr>
          <w:p>
            <w:pPr>
              <w:spacing w:line="360" w:lineRule="auto"/>
              <w:jc w:val="both"/>
            </w:pPr>
            <w:r/>
            <w:r>
              <w:rPr>
                <w:rFonts w:ascii="Calibri" w:hAnsi="Calibri" w:cs="Calibri"/>
                <w:b w:val="0"/>
                <w:i w:val="0"/>
                <w:sz w:val="22"/>
              </w:rPr>
              <w:t>Arti penting SCF baru tampak jelas bila kita memahami pendahulunya. SCFP adalah penerus laporan arus dana (</w:t>
            </w:r>
            <w:r>
              <w:rPr>
                <w:rFonts w:ascii="Calibri" w:hAnsi="Calibri" w:cs="Calibri"/>
                <w:b w:val="0"/>
                <w:i/>
                <w:sz w:val="22"/>
              </w:rPr>
              <w:t>funds flow statement</w:t>
            </w:r>
            <w:r>
              <w:rPr>
                <w:rFonts w:ascii="Calibri" w:hAnsi="Calibri" w:cs="Calibri"/>
                <w:b w:val="0"/>
                <w:i w:val="0"/>
                <w:sz w:val="22"/>
              </w:rPr>
              <w:t>), yang mendefinisikan akun-akun modal kerja sebagai saldo dana dan bertujuan menunjukkan bagaimana saldo itu bertambah dari laba dan sumber lain serta berkurang dari rugi dan penggunaan lain. APB Opinion No. 19 menetapkan tiga tujuan pelaporannya: melengkapi pengungkapan perubahan posisi keuangan, meringkas aktivitas pendanaan dan investasi, dan melaporkan arus dana dari operasi. Karena seluruh angkanya bertumpu pada elemen yang sudah diukur di laporan laba rugi dan neraca, SCFP tergolong laporan keuangan turunan. Pengakuannya pun berlangsung bertahap: APB Opinion No. 3 (1963) baru merekomendasikan pencantumannya dalam laporan tahunan, SEC mewajibkannya untuk pengajuan statutori pada 1971, dan pada tahun yang sama APB merespons dengan menerbitkan Opinion No. 19 yang mewajibkannya secara penuh (Wolk et al., 2017).</w:t>
            </w:r>
          </w:p>
        </w:tc>
      </w:tr>
      <w:tr>
        <w:tc>
          <w:tcPr>
            <w:tcW w:type="dxa" w:w="2835"/>
          </w:tcPr>
          <w:p>
            <w:pPr>
              <w:spacing w:line="360" w:lineRule="auto"/>
              <w:jc w:val="left"/>
            </w:pPr>
            <w:r/>
            <w:r>
              <w:rPr>
                <w:rFonts w:ascii="Calibri" w:hAnsi="Calibri" w:cs="Calibri"/>
                <w:b/>
                <w:i w:val="0"/>
                <w:sz w:val="22"/>
              </w:rPr>
              <w:t>Bagaimana logika sources/uses dan empat definisi dana?</w:t>
            </w:r>
          </w:p>
        </w:tc>
        <w:tc>
          <w:tcPr>
            <w:tcW w:type="dxa" w:w="5669"/>
          </w:tcPr>
          <w:p>
            <w:pPr>
              <w:spacing w:line="360" w:lineRule="auto"/>
              <w:jc w:val="both"/>
            </w:pPr>
            <w:r/>
            <w:r>
              <w:rPr>
                <w:rFonts w:ascii="Calibri" w:hAnsi="Calibri" w:cs="Calibri"/>
                <w:b w:val="0"/>
                <w:i w:val="0"/>
                <w:sz w:val="22"/>
              </w:rPr>
              <w:t>SCFP terdiri atas dua sisi yang saling menyeimbangkan: sumber sumber daya (</w:t>
            </w:r>
            <w:r>
              <w:rPr>
                <w:rFonts w:ascii="Calibri" w:hAnsi="Calibri" w:cs="Calibri"/>
                <w:b w:val="0"/>
                <w:i/>
                <w:sz w:val="22"/>
              </w:rPr>
              <w:t>sources of resources</w:t>
            </w:r>
            <w:r>
              <w:rPr>
                <w:rFonts w:ascii="Calibri" w:hAnsi="Calibri" w:cs="Calibri"/>
                <w:b w:val="0"/>
                <w:i w:val="0"/>
                <w:sz w:val="22"/>
              </w:rPr>
              <w:t>), yang timbul dari kenaikan ekuitas dan penurunan aset, dan penggunaan sumber daya (</w:t>
            </w:r>
            <w:r>
              <w:rPr>
                <w:rFonts w:ascii="Calibri" w:hAnsi="Calibri" w:cs="Calibri"/>
                <w:b w:val="0"/>
                <w:i/>
                <w:sz w:val="22"/>
              </w:rPr>
              <w:t>uses of resources</w:t>
            </w:r>
            <w:r>
              <w:rPr>
                <w:rFonts w:ascii="Calibri" w:hAnsi="Calibri" w:cs="Calibri"/>
                <w:b w:val="0"/>
                <w:i w:val="0"/>
                <w:sz w:val="22"/>
              </w:rPr>
              <w:t>), yang timbul dari penurunan ekuitas dan kenaikan aset. Seluruhnya bermuara pada persamaan dasar 13.1, bahwa kredit transaksi sama dengan debit transaksi. Kenaikan ekuitas merepresentasikan pendanaan, baik eksternal seperti utang dan penerbitan saham maupun internal seperti laba bersih dan hasil pelepasan aset, sedangkan penurunannya mencerminkan penebusan utang, pembelian saham treasuri, pembayaran dividen, atau rugi. Ketika transaksi yang tidak menyentuh saldo dana ikut dicantumkan — misalnya konversi utang menjadi saham biasa atau penerbitan saham untuk menukar aset nonmoneter — SCFP berubah menjadi ikhtisar menyeluruh yang dikenal sebagai pendekatan mencakup-semua (</w:t>
            </w:r>
            <w:r>
              <w:rPr>
                <w:rFonts w:ascii="Calibri" w:hAnsi="Calibri" w:cs="Calibri"/>
                <w:b w:val="0"/>
                <w:i/>
                <w:sz w:val="22"/>
              </w:rPr>
              <w:t>all-inclusive</w:t>
            </w:r>
            <w:r>
              <w:rPr>
                <w:rFonts w:ascii="Calibri" w:hAnsi="Calibri" w:cs="Calibri"/>
                <w:b w:val="0"/>
                <w:i w:val="0"/>
                <w:sz w:val="22"/>
              </w:rPr>
              <w:t xml:space="preserve"> atau </w:t>
            </w:r>
            <w:r>
              <w:rPr>
                <w:rFonts w:ascii="Calibri" w:hAnsi="Calibri" w:cs="Calibri"/>
                <w:b w:val="0"/>
                <w:i/>
                <w:sz w:val="22"/>
              </w:rPr>
              <w:t>all-resources</w:t>
            </w:r>
            <w:r>
              <w:rPr>
                <w:rFonts w:ascii="Calibri" w:hAnsi="Calibri" w:cs="Calibri"/>
                <w:b w:val="0"/>
                <w:i w:val="0"/>
                <w:sz w:val="22"/>
              </w:rPr>
              <w:t>). Opinion No. 19 sebenarnya membuka empat pilihan definisi dana, mulai dari kas, kas plus near cash, quick assets, hingga modal kerja. Karena definisi modal kerja paling murah disusun dan paling membatasi transaksi nondana, mayoritas perusahaan akhirnya memilihnya (Wolk et al., 2017; lihat Exhibit 13.1).</w:t>
            </w:r>
          </w:p>
        </w:tc>
      </w:tr>
    </w:tbl>
    <w:p>
      <w:pPr>
        <w:spacing w:before="40" w:after="40"/>
        <w:jc w:val="center"/>
      </w:pPr>
      <w:r>
        <w:drawing>
          <wp:inline xmlns:a="http://schemas.openxmlformats.org/drawingml/2006/main" xmlns:pic="http://schemas.openxmlformats.org/drawingml/2006/picture">
            <wp:extent cx="5220000" cy="2437830"/>
            <wp:docPr id="1" name="Picture 1"/>
            <wp:cNvGraphicFramePr>
              <a:graphicFrameLocks noChangeAspect="1"/>
            </wp:cNvGraphicFramePr>
            <a:graphic>
              <a:graphicData uri="http://schemas.openxmlformats.org/drawingml/2006/picture">
                <pic:pic>
                  <pic:nvPicPr>
                    <pic:cNvPr id="0" name="exhibit-13-1.png"/>
                    <pic:cNvPicPr/>
                  </pic:nvPicPr>
                  <pic:blipFill>
                    <a:blip r:embed="rId10"/>
                    <a:stretch>
                      <a:fillRect/>
                    </a:stretch>
                  </pic:blipFill>
                  <pic:spPr>
                    <a:xfrm>
                      <a:off x="0" y="0"/>
                      <a:ext cx="5220000" cy="2437830"/>
                    </a:xfrm>
                    <a:prstGeom prst="rect"/>
                  </pic:spPr>
                </pic:pic>
              </a:graphicData>
            </a:graphic>
          </wp:inline>
        </w:drawing>
      </w:r>
    </w:p>
    <w:p>
      <w:pPr>
        <w:spacing w:line="360" w:lineRule="auto" w:before="0" w:after="0"/>
        <w:jc w:val="center"/>
      </w:pPr>
      <w:r>
        <w:rPr>
          <w:rFonts w:ascii="Calibri" w:hAnsi="Calibri" w:cs="Calibri"/>
          <w:b w:val="0"/>
          <w:i w:val="0"/>
          <w:sz w:val="22"/>
        </w:rPr>
        <w:t>Exhibit 13.1 — Format Standar Statement of Changes in Financial Position</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1341589"/>
            <wp:docPr id="2" name="Picture 2"/>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220000" cy="1341589"/>
                    </a:xfrm>
                    <a:prstGeom prst="rect"/>
                  </pic:spPr>
                </pic:pic>
              </a:graphicData>
            </a:graphic>
          </wp:inline>
        </w:drawing>
      </w:r>
    </w:p>
    <w:p>
      <w:pPr>
        <w:spacing w:line="360" w:lineRule="auto" w:before="0" w:after="0"/>
        <w:jc w:val="center"/>
      </w:pPr>
      <w:r>
        <w:rPr>
          <w:rFonts w:ascii="Calibri" w:hAnsi="Calibri" w:cs="Calibri"/>
          <w:b/>
          <w:i w:val="0"/>
          <w:sz w:val="22"/>
        </w:rPr>
        <w:t xml:space="preserve">Gambar 1. </w:t>
      </w:r>
      <w:r>
        <w:rPr>
          <w:rFonts w:ascii="Calibri" w:hAnsi="Calibri" w:cs="Calibri"/>
          <w:b w:val="0"/>
          <w:i w:val="0"/>
          <w:sz w:val="22"/>
        </w:rPr>
        <w:t>Lini Masa Warisan Pelaporan Arus Dana (APB No. 3 1963 → SEC 1971 → APB No. 19 1971 → SFAS No. 95 1987)</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Mengapa pada akhirnya dana didefinisikan sebagai kas?</w:t>
            </w:r>
          </w:p>
        </w:tc>
        <w:tc>
          <w:tcPr>
            <w:tcW w:type="dxa" w:w="5669"/>
          </w:tcPr>
          <w:p>
            <w:pPr>
              <w:spacing w:line="360" w:lineRule="auto"/>
              <w:jc w:val="both"/>
            </w:pPr>
            <w:r/>
            <w:r>
              <w:rPr>
                <w:rFonts w:ascii="Calibri" w:hAnsi="Calibri" w:cs="Calibri"/>
                <w:b w:val="0"/>
                <w:i w:val="0"/>
                <w:sz w:val="22"/>
              </w:rPr>
              <w:t>Selama deliberasi yang mengantar lahirnya SCF, FASB sampai pada kesimpulan bahwa dana sebaiknya berarti kas dan bukan modal kerja bersih. Alasannya, modal kerja bersih ternyata ukuran likuiditas yang lemah. Ia memuat beban dan kredit yang ditangguhkan, padahal pos-pos itu tidak berkonsekuensi kas; konversi aset lancarnya menjadi kas bisa memakan waktu setahun atau lebih bagi perusahaan dengan siklus operasi panjang; dan komponen seperti persediaan dicatat berbasis biaya sehingga tidak menggambarkan potensi kas yang sebenarnya. Di tengah keruwetan itu, pelaporan kas menawarkan kejernihan yang tidak dimiliki modal kerja (Wolk et al., 2017).</w:t>
            </w:r>
          </w:p>
        </w:tc>
      </w:tr>
      <w:tr>
        <w:tc>
          <w:tcPr>
            <w:tcW w:type="dxa" w:w="2835"/>
          </w:tcPr>
          <w:p>
            <w:pPr>
              <w:spacing w:line="360" w:lineRule="auto"/>
              <w:jc w:val="left"/>
            </w:pPr>
            <w:r/>
            <w:r>
              <w:rPr>
                <w:rFonts w:ascii="Calibri" w:hAnsi="Calibri" w:cs="Calibri"/>
                <w:b/>
                <w:i w:val="0"/>
                <w:sz w:val="22"/>
              </w:rPr>
              <w:t>Bagaimana SFAS No. 95 menggantikan SCFP, dan apa kaitannya dengan SFAC No. 1 dan No. 5?</w:t>
            </w:r>
          </w:p>
        </w:tc>
        <w:tc>
          <w:tcPr>
            <w:tcW w:type="dxa" w:w="5669"/>
          </w:tcPr>
          <w:p>
            <w:pPr>
              <w:spacing w:line="360" w:lineRule="auto"/>
              <w:jc w:val="both"/>
            </w:pPr>
            <w:r/>
            <w:r>
              <w:rPr>
                <w:rFonts w:ascii="Calibri" w:hAnsi="Calibri" w:cs="Calibri"/>
                <w:b w:val="0"/>
                <w:i w:val="0"/>
                <w:sz w:val="22"/>
              </w:rPr>
              <w:t>Pada 1987 FASB mewajibkan SCF melalui SFAS No. 95, yang sekaligus menggantikan SCFP. Landasannya sudah disiapkan kerangka konseptual. SFAC No. 1 menyebut tiga tujuan pelaporan keuangan; tujuan pertama bersifat luas, yaitu menyediakan informasi yang berguna bagi keputusan investasi dan kredit, sementara dua tujuan berikutnya — informasi tentang sumber daya neto perusahaan beserta perubahannya, dan informasi untuk menilai arus kas masa depan — adalah cara konkret memenuhi tujuan pertama. Dua tujuan terakhir itulah yang memotivasi adopsi SCF pada dekade 1980-an. SFAC No. 5 kemudian mempertegas bahwa SCF mengungkap bagaimana entitas menghasilkan kas dari operasi untuk melunasi utang, membagi dividen, atau berinvestasi kembali, di samping aktivitas pendanaan dan investasinya, sehingga berguna untuk menilai likuiditas, fleksibilitas keuangan, profitabilitas, dan risiko (Wolk et al., 2017).</w:t>
            </w:r>
          </w:p>
        </w:tc>
      </w:tr>
      <w:tr>
        <w:tc>
          <w:tcPr>
            <w:tcW w:type="dxa" w:w="2835"/>
          </w:tcPr>
          <w:p>
            <w:pPr>
              <w:spacing w:line="360" w:lineRule="auto"/>
              <w:jc w:val="left"/>
            </w:pPr>
            <w:r/>
            <w:r>
              <w:rPr>
                <w:rFonts w:ascii="Calibri" w:hAnsi="Calibri" w:cs="Calibri"/>
                <w:b/>
                <w:i w:val="0"/>
                <w:sz w:val="22"/>
              </w:rPr>
              <w:t>Apa enam manfaat data arus kas menurut FASB?</w:t>
            </w:r>
          </w:p>
        </w:tc>
        <w:tc>
          <w:tcPr>
            <w:tcW w:type="dxa" w:w="5669"/>
          </w:tcPr>
          <w:p>
            <w:pPr>
              <w:spacing w:line="360" w:lineRule="auto"/>
              <w:jc w:val="both"/>
            </w:pPr>
            <w:r/>
            <w:r>
              <w:rPr>
                <w:rFonts w:ascii="Calibri" w:hAnsi="Calibri" w:cs="Calibri"/>
                <w:b w:val="0"/>
                <w:i w:val="0"/>
                <w:sz w:val="22"/>
              </w:rPr>
              <w:t>Sebuah discussion memorandum FASB mengajukan enam alasan mengapa data arus kas merupakan pengungkapan pelengkap yang berharga: ia memberi umpan balik atas arus kas aktual, membantu mengaitkan laba akuntansi dengan arus kas, mengungkap kualitas laba, memperbaiki keterbandingan informasi, membantu menilai fleksibilitas dan likuiditas, serta membantu memprediksi arus kas masa depan. Benang merah keenamnya sama, yakni keterbatasan akuntansi akrual; karena itu data arus kas tidak menggantikan, melainkan melengkapi, data akrual di laporan laba rugi dan neraca (Wolk et al., 2017).</w:t>
            </w:r>
          </w:p>
        </w:tc>
      </w:tr>
      <w:tr>
        <w:tc>
          <w:tcPr>
            <w:tcW w:type="dxa" w:w="2835"/>
          </w:tcPr>
          <w:p>
            <w:pPr>
              <w:spacing w:line="360" w:lineRule="auto"/>
              <w:jc w:val="left"/>
            </w:pPr>
            <w:r/>
            <w:r>
              <w:rPr>
                <w:rFonts w:ascii="Calibri" w:hAnsi="Calibri" w:cs="Calibri"/>
                <w:b/>
                <w:i w:val="0"/>
                <w:sz w:val="22"/>
              </w:rPr>
              <w:t>Apa itu kualitas laba, dan bagaimana arus kas mengatasi masalah keseragaman?</w:t>
            </w:r>
          </w:p>
        </w:tc>
        <w:tc>
          <w:tcPr>
            <w:tcW w:type="dxa" w:w="5669"/>
          </w:tcPr>
          <w:p>
            <w:pPr>
              <w:spacing w:line="360" w:lineRule="auto"/>
              <w:jc w:val="both"/>
            </w:pPr>
            <w:r/>
            <w:r>
              <w:rPr>
                <w:rFonts w:ascii="Calibri" w:hAnsi="Calibri" w:cs="Calibri"/>
                <w:b w:val="0"/>
                <w:i w:val="0"/>
                <w:sz w:val="22"/>
              </w:rPr>
              <w:t>Kualitas laba (</w:t>
            </w:r>
            <w:r>
              <w:rPr>
                <w:rFonts w:ascii="Calibri" w:hAnsi="Calibri" w:cs="Calibri"/>
                <w:b w:val="0"/>
                <w:i/>
                <w:sz w:val="22"/>
              </w:rPr>
              <w:t>quality of income</w:t>
            </w:r>
            <w:r>
              <w:rPr>
                <w:rFonts w:ascii="Calibri" w:hAnsi="Calibri" w:cs="Calibri"/>
                <w:b w:val="0"/>
                <w:i w:val="0"/>
                <w:sz w:val="22"/>
              </w:rPr>
              <w:t>) adalah istilah analis untuk menggambarkan kedekatan antara arus kas dan laba akuntansi: makin tinggi korelasinya, makin tinggi kualitas labanya. Konsep ini berangkat dari kenyataan bahwa laba sarat akrual dan penangguhan nonkas, sehingga tidak selalu menjadi penanda likuiditas yang baik. Persoalan keseragaman muncul dari sisi lain. Fleksibilitas memilih kebijakan akuntansi dapat mengikis keterbandingan antarperusahaan, sedangkan arus kas dari operasi tunduk pada lebih sedikit pilihan yang sewenang-wenang sehingga lebih seragam dan lebih mudah diperbandingkan. Inilah yang membuat SCF dianjurkan sebagai penawar kesewenang-wenangan pengukuran laba; ada kelangsungan dan kejernihan pada arus kas yang kontras dengan keabstrakan laba (Wolk et al., 2017).</w:t>
            </w:r>
          </w:p>
        </w:tc>
      </w:tr>
      <w:tr>
        <w:tc>
          <w:tcPr>
            <w:tcW w:type="dxa" w:w="2835"/>
          </w:tcPr>
          <w:p>
            <w:pPr>
              <w:spacing w:line="360" w:lineRule="auto"/>
              <w:jc w:val="left"/>
            </w:pPr>
            <w:r/>
            <w:r>
              <w:rPr>
                <w:rFonts w:ascii="Calibri" w:hAnsi="Calibri" w:cs="Calibri"/>
                <w:b/>
                <w:i w:val="0"/>
                <w:sz w:val="22"/>
              </w:rPr>
              <w:t>Apa beda fleksibilitas keuangan dan likuiditas, dan mengapa neraca tak cukup?</w:t>
            </w:r>
          </w:p>
        </w:tc>
        <w:tc>
          <w:tcPr>
            <w:tcW w:type="dxa" w:w="5669"/>
          </w:tcPr>
          <w:p>
            <w:pPr>
              <w:spacing w:line="360" w:lineRule="auto"/>
              <w:jc w:val="both"/>
            </w:pPr>
            <w:r/>
            <w:r>
              <w:rPr>
                <w:rFonts w:ascii="Calibri" w:hAnsi="Calibri" w:cs="Calibri"/>
                <w:b w:val="0"/>
                <w:i w:val="0"/>
                <w:sz w:val="22"/>
              </w:rPr>
              <w:t>Fleksibilitas keuangan (</w:t>
            </w:r>
            <w:r>
              <w:rPr>
                <w:rFonts w:ascii="Calibri" w:hAnsi="Calibri" w:cs="Calibri"/>
                <w:b w:val="0"/>
                <w:i/>
                <w:sz w:val="22"/>
              </w:rPr>
              <w:t>financial flexibility</w:t>
            </w:r>
            <w:r>
              <w:rPr>
                <w:rFonts w:ascii="Calibri" w:hAnsi="Calibri" w:cs="Calibri"/>
                <w:b w:val="0"/>
                <w:i w:val="0"/>
                <w:sz w:val="22"/>
              </w:rPr>
              <w:t>) adalah kemampuan perusahaan menyesuaikan diri terhadap keadaan dan peluang baru, sementara likuiditas (</w:t>
            </w:r>
            <w:r>
              <w:rPr>
                <w:rFonts w:ascii="Calibri" w:hAnsi="Calibri" w:cs="Calibri"/>
                <w:b w:val="0"/>
                <w:i/>
                <w:sz w:val="22"/>
              </w:rPr>
              <w:t>liquidity</w:t>
            </w:r>
            <w:r>
              <w:rPr>
                <w:rFonts w:ascii="Calibri" w:hAnsi="Calibri" w:cs="Calibri"/>
                <w:b w:val="0"/>
                <w:i w:val="0"/>
                <w:sz w:val="22"/>
              </w:rPr>
              <w:t>) adalah kemampuan mengubah aset menjadi kas dengan cepat tanpa menanggung kerugian. Kas yang dihasilkan sendiri dari operasi memberi petunjuk atas keduanya karena ia menjadi sumber internal untuk melunasi utang, mendanai investasi baru, dan membagikan distribusi kepada pemegang saham — persis alasan laporan arus dana dahulu diwajibkan. Memang neraca juga memuat informasi likuiditas, tetapi klasifikasi lancar dan taklancar adalah pemandu yang kasar. Sebagian pos lancar berupa beban tangguhan tanpa dampak kas, persediaan belum tentu cepat terkonversi, dan atribut pengukuran neraca umumnya bukan nilai realisasi neto sehingga kas yang akan dihasilkan suatu aset tidak dapat dipastikan. Akuntansi harga keluar (</w:t>
            </w:r>
            <w:r>
              <w:rPr>
                <w:rFonts w:ascii="Calibri" w:hAnsi="Calibri" w:cs="Calibri"/>
                <w:b w:val="0"/>
                <w:i/>
                <w:sz w:val="22"/>
              </w:rPr>
              <w:t>exit-price accounting</w:t>
            </w:r>
            <w:r>
              <w:rPr>
                <w:rFonts w:ascii="Calibri" w:hAnsi="Calibri" w:cs="Calibri"/>
                <w:b w:val="0"/>
                <w:i w:val="0"/>
                <w:sz w:val="22"/>
              </w:rPr>
              <w:t>) mencoba menakar fleksibilitas lewat kas dari likuidasi takterpaksa, namun tetap kasar karena yang menentukan likuiditas pada akhirnya adalah kecepatan konversi. Adapun apakah arus kas, arus dana, atau laba yang paling andal memprediksi arus kas masa depan masih menjadi persoalan terbuka (Wolk et al., 2017).</w:t>
            </w:r>
          </w:p>
        </w:tc>
      </w:tr>
      <w:tr>
        <w:tc>
          <w:tcPr>
            <w:tcW w:type="dxa" w:w="2835"/>
          </w:tcPr>
          <w:p>
            <w:pPr>
              <w:spacing w:line="360" w:lineRule="auto"/>
              <w:jc w:val="left"/>
            </w:pPr>
            <w:r/>
            <w:r>
              <w:rPr>
                <w:rFonts w:ascii="Calibri" w:hAnsi="Calibri" w:cs="Calibri"/>
                <w:b/>
                <w:i w:val="0"/>
                <w:sz w:val="22"/>
              </w:rPr>
              <w:t>Seperti apa struktur SCF dengan trikotomi operasi–investasi–pendanaan?</w:t>
            </w:r>
          </w:p>
        </w:tc>
        <w:tc>
          <w:tcPr>
            <w:tcW w:type="dxa" w:w="5669"/>
          </w:tcPr>
          <w:p>
            <w:pPr>
              <w:spacing w:line="360" w:lineRule="auto"/>
              <w:jc w:val="both"/>
            </w:pPr>
            <w:r/>
            <w:r>
              <w:rPr>
                <w:rFonts w:ascii="Calibri" w:hAnsi="Calibri" w:cs="Calibri"/>
                <w:b w:val="0"/>
                <w:i w:val="0"/>
                <w:sz w:val="22"/>
              </w:rPr>
              <w:t>Jika SCFP bekerja dengan kerangka biner sumber dan penggunaan yang mekanis, SCF menata penerimaan dan pengeluaran kas ke dalam tiga kategori yang lebih bermakna: aktivitas operasi, investasi, dan pendanaan. Pemilahan tiga arah ini memberi konsistensi klasifikasi sekaligus keterbandingan yang lebih baik ketimbang pendahulunya. Meski begitu, tiga dari tujuh anggota FASB menyatakan tidak setuju. Menurut mereka bunga dan dividen yang diterima berasal dari aktivitas investasi (paragraf 22), dan bunga yang dibayar merupakan unsur pendanaan dan bukan biaya operasi (paragraf 23), sebuah posisi yang justru sejalan dengan pemikiran ilmu keuangan kontemporer (Wolk et al., 2017).</w:t>
            </w:r>
          </w:p>
        </w:tc>
      </w:tr>
    </w:tbl>
    <w:p>
      <w:pPr>
        <w:spacing w:before="40" w:after="40"/>
        <w:jc w:val="center"/>
      </w:pPr>
      <w:r>
        <w:drawing>
          <wp:inline xmlns:a="http://schemas.openxmlformats.org/drawingml/2006/main" xmlns:pic="http://schemas.openxmlformats.org/drawingml/2006/picture">
            <wp:extent cx="5220000" cy="1890421"/>
            <wp:docPr id="3" name="Picture 3"/>
            <wp:cNvGraphicFramePr>
              <a:graphicFrameLocks noChangeAspect="1"/>
            </wp:cNvGraphicFramePr>
            <a:graphic>
              <a:graphicData uri="http://schemas.openxmlformats.org/drawingml/2006/picture">
                <pic:pic>
                  <pic:nvPicPr>
                    <pic:cNvPr id="0" name="trichotomy.png"/>
                    <pic:cNvPicPr/>
                  </pic:nvPicPr>
                  <pic:blipFill>
                    <a:blip r:embed="rId12"/>
                    <a:stretch>
                      <a:fillRect/>
                    </a:stretch>
                  </pic:blipFill>
                  <pic:spPr>
                    <a:xfrm>
                      <a:off x="0" y="0"/>
                      <a:ext cx="5220000" cy="1890421"/>
                    </a:xfrm>
                    <a:prstGeom prst="rect"/>
                  </pic:spPr>
                </pic:pic>
              </a:graphicData>
            </a:graphic>
          </wp:inline>
        </w:drawing>
      </w:r>
    </w:p>
    <w:p>
      <w:pPr>
        <w:spacing w:line="360" w:lineRule="auto" w:before="0" w:after="0"/>
        <w:jc w:val="center"/>
      </w:pPr>
      <w:r>
        <w:rPr>
          <w:rFonts w:ascii="Calibri" w:hAnsi="Calibri" w:cs="Calibri"/>
          <w:b/>
          <w:i w:val="0"/>
          <w:sz w:val="22"/>
        </w:rPr>
        <w:t xml:space="preserve">Gambar 2. </w:t>
      </w:r>
      <w:r>
        <w:rPr>
          <w:rFonts w:ascii="Calibri" w:hAnsi="Calibri" w:cs="Calibri"/>
          <w:b w:val="0"/>
          <w:i w:val="0"/>
          <w:sz w:val="22"/>
        </w:rPr>
        <w:t>Trikotomi Arus Kas SFAS No. 95: Operasi, Investasi, dan Pendanaan</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Bagaimana kas, setara kas, dan transaksi nonkas diperlakukan?</w:t>
            </w:r>
          </w:p>
        </w:tc>
        <w:tc>
          <w:tcPr>
            <w:tcW w:type="dxa" w:w="5669"/>
          </w:tcPr>
          <w:p>
            <w:pPr>
              <w:spacing w:line="360" w:lineRule="auto"/>
              <w:jc w:val="both"/>
            </w:pPr>
            <w:r/>
            <w:r>
              <w:rPr>
                <w:rFonts w:ascii="Calibri" w:hAnsi="Calibri" w:cs="Calibri"/>
                <w:b w:val="0"/>
                <w:i w:val="0"/>
                <w:sz w:val="22"/>
              </w:rPr>
              <w:t>SCF mendefinisikan kas sebagai uang tunai di tangan atau simpanan yang dapat ditarik sewaktu-waktu, ditambah setara kas (</w:t>
            </w:r>
            <w:r>
              <w:rPr>
                <w:rFonts w:ascii="Calibri" w:hAnsi="Calibri" w:cs="Calibri"/>
                <w:b w:val="0"/>
                <w:i/>
                <w:sz w:val="22"/>
              </w:rPr>
              <w:t>cash equivalents</w:t>
            </w:r>
            <w:r>
              <w:rPr>
                <w:rFonts w:ascii="Calibri" w:hAnsi="Calibri" w:cs="Calibri"/>
                <w:b w:val="0"/>
                <w:i w:val="0"/>
                <w:sz w:val="22"/>
              </w:rPr>
              <w:t>), yaitu investasi jangka pendek yang sangat likuid dan dapat dikonversi menjadi sejumlah kas yang sudah diketahui. Sebagaimana APB Opinion No. 19, SFAS No. 95 mewajibkan setiap transaksi investasi dan pendanaan yang tidak melibatkan kas tetap dilaporkan sebagai pelengkap, entah dalam bentuk skedul maupun narasi. Inilah penerapan pendekatan mencakup-semua yang memastikan tidak ada debit atau kredit transaksi perusahaan yang luput dari penyajian (Wolk et al., 2017).</w:t>
            </w:r>
          </w:p>
        </w:tc>
      </w:tr>
      <w:tr>
        <w:tc>
          <w:tcPr>
            <w:tcW w:type="dxa" w:w="2835"/>
          </w:tcPr>
          <w:p>
            <w:pPr>
              <w:spacing w:line="360" w:lineRule="auto"/>
              <w:jc w:val="left"/>
            </w:pPr>
            <w:r/>
            <w:r>
              <w:rPr>
                <w:rFonts w:ascii="Calibri" w:hAnsi="Calibri" w:cs="Calibri"/>
                <w:b/>
                <w:i w:val="0"/>
                <w:sz w:val="22"/>
              </w:rPr>
              <w:t>Apa beda metode langsung dan tidak langsung?</w:t>
            </w:r>
          </w:p>
        </w:tc>
        <w:tc>
          <w:tcPr>
            <w:tcW w:type="dxa" w:w="5669"/>
          </w:tcPr>
          <w:p>
            <w:pPr>
              <w:spacing w:line="360" w:lineRule="auto"/>
              <w:jc w:val="both"/>
            </w:pPr>
            <w:r/>
            <w:r>
              <w:rPr>
                <w:rFonts w:ascii="Calibri" w:hAnsi="Calibri" w:cs="Calibri"/>
                <w:b w:val="0"/>
                <w:i w:val="0"/>
                <w:sz w:val="22"/>
              </w:rPr>
              <w:t>SFAS No. 95 mengizinkan arus kas operasi disajikan dengan metode langsung (</w:t>
            </w:r>
            <w:r>
              <w:rPr>
                <w:rFonts w:ascii="Calibri" w:hAnsi="Calibri" w:cs="Calibri"/>
                <w:b w:val="0"/>
                <w:i/>
                <w:sz w:val="22"/>
              </w:rPr>
              <w:t>direct method</w:t>
            </w:r>
            <w:r>
              <w:rPr>
                <w:rFonts w:ascii="Calibri" w:hAnsi="Calibri" w:cs="Calibri"/>
                <w:b w:val="0"/>
                <w:i w:val="0"/>
                <w:sz w:val="22"/>
              </w:rPr>
              <w:t>) atau metode tidak langsung (</w:t>
            </w:r>
            <w:r>
              <w:rPr>
                <w:rFonts w:ascii="Calibri" w:hAnsi="Calibri" w:cs="Calibri"/>
                <w:b w:val="0"/>
                <w:i/>
                <w:sz w:val="22"/>
              </w:rPr>
              <w:t>indirect method</w:t>
            </w:r>
            <w:r>
              <w:rPr>
                <w:rFonts w:ascii="Calibri" w:hAnsi="Calibri" w:cs="Calibri"/>
                <w:b w:val="0"/>
                <w:i w:val="0"/>
                <w:sz w:val="22"/>
              </w:rPr>
              <w:t>). Metode langsung melaporkan arus kas literal yang sejajar dengan pos laporan laba rugi seperti pendapatan dan harga pokok penjualan; ia menyajikan lebih banyak informasi dan menjadi pilihan FASB. Metode tidak langsung, atau metode rekonsiliasi, bertolak dari laba akrual lalu menyesuaikannya untuk pos-pos nonkas. FASB mengakui metode langsung bisa lebih mahal karena tidak semua perusahaan menata catatannya untuk menghasilkan data yang dibutuhkan, dan dalam praktik kerap diperlukan angka penyeimbang agar SCF metode tidak langsung benar-benar seimbang. Bila metode langsung dipakai, perusahaan tetap harus melampirkan skedul yang merekonsiliasi arus kas operasi neto dengan laba bersih, sehingga metode tidak langsung praktis selalu hadir. Sebagian anggota FASB bahkan menilai izin atas metode tidak langsung menghambat pemahaman pengguna dan menurunkan mutu pelaporan (Wolk et al., 2017; lihat Exhibit 13.2 dan 13.3).</w:t>
            </w:r>
          </w:p>
        </w:tc>
      </w:tr>
    </w:tbl>
    <w:p>
      <w:pPr>
        <w:spacing w:before="40" w:after="40"/>
        <w:jc w:val="center"/>
      </w:pPr>
      <w:r>
        <w:drawing>
          <wp:inline xmlns:a="http://schemas.openxmlformats.org/drawingml/2006/main" xmlns:pic="http://schemas.openxmlformats.org/drawingml/2006/picture">
            <wp:extent cx="5220000" cy="6260507"/>
            <wp:docPr id="4" name="Picture 4"/>
            <wp:cNvGraphicFramePr>
              <a:graphicFrameLocks noChangeAspect="1"/>
            </wp:cNvGraphicFramePr>
            <a:graphic>
              <a:graphicData uri="http://schemas.openxmlformats.org/drawingml/2006/picture">
                <pic:pic>
                  <pic:nvPicPr>
                    <pic:cNvPr id="0" name="exhibit-13-2.png"/>
                    <pic:cNvPicPr/>
                  </pic:nvPicPr>
                  <pic:blipFill>
                    <a:blip r:embed="rId13"/>
                    <a:stretch>
                      <a:fillRect/>
                    </a:stretch>
                  </pic:blipFill>
                  <pic:spPr>
                    <a:xfrm>
                      <a:off x="0" y="0"/>
                      <a:ext cx="5220000" cy="6260507"/>
                    </a:xfrm>
                    <a:prstGeom prst="rect"/>
                  </pic:spPr>
                </pic:pic>
              </a:graphicData>
            </a:graphic>
          </wp:inline>
        </w:drawing>
      </w:r>
    </w:p>
    <w:p>
      <w:pPr>
        <w:spacing w:line="360" w:lineRule="auto" w:before="0" w:after="0"/>
        <w:jc w:val="center"/>
      </w:pPr>
      <w:r>
        <w:rPr>
          <w:rFonts w:ascii="Calibri" w:hAnsi="Calibri" w:cs="Calibri"/>
          <w:b w:val="0"/>
          <w:i w:val="0"/>
          <w:sz w:val="22"/>
        </w:rPr>
        <w:t>Exhibit 13.2 — Penyajian SCF Metode Langsung (Company M, 2000)</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5491979"/>
            <wp:docPr id="5" name="Picture 5"/>
            <wp:cNvGraphicFramePr>
              <a:graphicFrameLocks noChangeAspect="1"/>
            </wp:cNvGraphicFramePr>
            <a:graphic>
              <a:graphicData uri="http://schemas.openxmlformats.org/drawingml/2006/picture">
                <pic:pic>
                  <pic:nvPicPr>
                    <pic:cNvPr id="0" name="exhibit-13-3.png"/>
                    <pic:cNvPicPr/>
                  </pic:nvPicPr>
                  <pic:blipFill>
                    <a:blip r:embed="rId14"/>
                    <a:stretch>
                      <a:fillRect/>
                    </a:stretch>
                  </pic:blipFill>
                  <pic:spPr>
                    <a:xfrm>
                      <a:off x="0" y="0"/>
                      <a:ext cx="5220000" cy="5491979"/>
                    </a:xfrm>
                    <a:prstGeom prst="rect"/>
                  </pic:spPr>
                </pic:pic>
              </a:graphicData>
            </a:graphic>
          </wp:inline>
        </w:drawing>
      </w:r>
    </w:p>
    <w:p>
      <w:pPr>
        <w:spacing w:line="360" w:lineRule="auto" w:before="0" w:after="0"/>
        <w:jc w:val="center"/>
      </w:pPr>
      <w:r>
        <w:rPr>
          <w:rFonts w:ascii="Calibri" w:hAnsi="Calibri" w:cs="Calibri"/>
          <w:b w:val="0"/>
          <w:i w:val="0"/>
          <w:sz w:val="22"/>
        </w:rPr>
        <w:t>Exhibit 13.3 — Metode Tidak Langsung / Rekonsiliasi Arus Kas Operasi (Company M)</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Mengapa praktik condong ke metode tidak langsung, dan apa temuan McEnroe?</w:t>
            </w:r>
          </w:p>
        </w:tc>
        <w:tc>
          <w:tcPr>
            <w:tcW w:type="dxa" w:w="5669"/>
          </w:tcPr>
          <w:p>
            <w:pPr>
              <w:spacing w:line="360" w:lineRule="auto"/>
              <w:jc w:val="both"/>
            </w:pPr>
            <w:r/>
            <w:r>
              <w:rPr>
                <w:rFonts w:ascii="Calibri" w:hAnsi="Calibri" w:cs="Calibri"/>
                <w:b w:val="0"/>
                <w:i w:val="0"/>
                <w:sz w:val="22"/>
              </w:rPr>
              <w:t>Sebagian besar perusahaan Amerika memakai metode tidak langsung, dan pertimbangan biaya tampak menjadi alasan utama penyusun. Kedua metode sebenarnya menghasilkan angka arus kas operasi neto yang sama — pada Company M sebesar $1.365 — tetapi informasi yang ditampilkannya berbeda: yang satu memperlihatkan arus kas untuk penjualan dan harga pokok, yang lain memperlihatkan rekonsiliasi laba akrual ke padanan kasnya. Persoalannya selalu biaya berhadapan dengan manfaat informasi. Riset empiris yang terbatas justru menunjukkan pengguna eksternal lebih menyukai metode langsung; studi McEnroe atas 282 responden, mulai dari analis keuangan, penasihat investasi, profesor akuntansi, hingga akuntan, menemukan 56 persen memilih metode langsung berbanding 44 persen metode tidak langsung. Singkatnya, metode langsung mudah dibaca tetapi sulit disusun, dan metode tidak langsung berlaku sebaliknya (Wolk et al., 2017).</w:t>
            </w:r>
          </w:p>
        </w:tc>
      </w:tr>
      <w:tr>
        <w:tc>
          <w:tcPr>
            <w:tcW w:type="dxa" w:w="2835"/>
          </w:tcPr>
          <w:p>
            <w:pPr>
              <w:spacing w:line="360" w:lineRule="auto"/>
              <w:jc w:val="left"/>
            </w:pPr>
            <w:r/>
            <w:r>
              <w:rPr>
                <w:rFonts w:ascii="Calibri" w:hAnsi="Calibri" w:cs="Calibri"/>
                <w:b/>
                <w:i w:val="0"/>
                <w:sz w:val="22"/>
              </w:rPr>
              <w:t>Apa masalah nonartikulasi yang ditemukan Bahnson, Miller, dan Budge?</w:t>
            </w:r>
          </w:p>
        </w:tc>
        <w:tc>
          <w:tcPr>
            <w:tcW w:type="dxa" w:w="5669"/>
          </w:tcPr>
          <w:p>
            <w:pPr>
              <w:spacing w:line="360" w:lineRule="auto"/>
              <w:jc w:val="both"/>
            </w:pPr>
            <w:r/>
            <w:r>
              <w:rPr>
                <w:rFonts w:ascii="Calibri" w:hAnsi="Calibri" w:cs="Calibri"/>
                <w:b w:val="0"/>
                <w:i w:val="0"/>
                <w:sz w:val="22"/>
              </w:rPr>
              <w:t>Persoalan penting menyertai metode tidak langsung. Studi ekstensif Bahnson, Miller, dan Budge menunjukkan terjadinya nonartikulasi, yaitu keadaan ketika arus kas yang lahir dari perubahan akun modal kerja pada perusahaan terkonsolidasi tidak sama dengan penyesuaian modal kerja yang tercantum di bagian operasi SCF. Akibatnya SCF tampak tidak konsisten dengan neraca yang mendasarinya, dan ini membingungkan pengguna. Diskrepansi itu muncul pada 75 persen situasi dalam sampel mereka dan sama sekali tidak sepele. Exhibit 13.4 membandingkan perubahan akun neraca 3M untuk piutang usaha, persediaan, dan utang usaha dengan penyesuaian modal kerja di SCF; selisih pada piutang usaha bahkan mencapai sekitar 300 persen, dan pada beberapa kasus tandanya pun berbeda (Wolk et al., 2017; lihat Exhibit 13.4).</w:t>
            </w:r>
          </w:p>
        </w:tc>
      </w:tr>
    </w:tbl>
    <w:p>
      <w:pPr>
        <w:spacing w:before="40" w:after="40"/>
        <w:jc w:val="center"/>
      </w:pPr>
      <w:r>
        <w:drawing>
          <wp:inline xmlns:a="http://schemas.openxmlformats.org/drawingml/2006/main" xmlns:pic="http://schemas.openxmlformats.org/drawingml/2006/picture">
            <wp:extent cx="5220000" cy="1404809"/>
            <wp:docPr id="6" name="Picture 6"/>
            <wp:cNvGraphicFramePr>
              <a:graphicFrameLocks noChangeAspect="1"/>
            </wp:cNvGraphicFramePr>
            <a:graphic>
              <a:graphicData uri="http://schemas.openxmlformats.org/drawingml/2006/picture">
                <pic:pic>
                  <pic:nvPicPr>
                    <pic:cNvPr id="0" name="exhibit-13-4.png"/>
                    <pic:cNvPicPr/>
                  </pic:nvPicPr>
                  <pic:blipFill>
                    <a:blip r:embed="rId15"/>
                    <a:stretch>
                      <a:fillRect/>
                    </a:stretch>
                  </pic:blipFill>
                  <pic:spPr>
                    <a:xfrm>
                      <a:off x="0" y="0"/>
                      <a:ext cx="5220000" cy="1404809"/>
                    </a:xfrm>
                    <a:prstGeom prst="rect"/>
                  </pic:spPr>
                </pic:pic>
              </a:graphicData>
            </a:graphic>
          </wp:inline>
        </w:drawing>
      </w:r>
    </w:p>
    <w:p>
      <w:pPr>
        <w:spacing w:line="360" w:lineRule="auto" w:before="0" w:after="0"/>
        <w:jc w:val="center"/>
      </w:pPr>
      <w:r>
        <w:rPr>
          <w:rFonts w:ascii="Calibri" w:hAnsi="Calibri" w:cs="Calibri"/>
          <w:b w:val="0"/>
          <w:i w:val="0"/>
          <w:sz w:val="22"/>
        </w:rPr>
        <w:t>Exhibit 13.4 — Perbandingan Perubahan Neraca dan Penyesuaian Modal Kerja 3M Company ($000.000)</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tiga penyebab nonartikulasi?</w:t>
            </w:r>
          </w:p>
        </w:tc>
        <w:tc>
          <w:tcPr>
            <w:tcW w:type="dxa" w:w="5669"/>
          </w:tcPr>
          <w:p>
            <w:pPr>
              <w:spacing w:line="360" w:lineRule="auto"/>
              <w:jc w:val="both"/>
            </w:pPr>
            <w:r/>
            <w:r>
              <w:rPr>
                <w:rFonts w:ascii="Calibri" w:hAnsi="Calibri" w:cs="Calibri"/>
                <w:b w:val="0"/>
                <w:i w:val="0"/>
                <w:sz w:val="22"/>
              </w:rPr>
              <w:t>Ada tiga sumber yang menjelaskan mengapa nonartikulasi terjadi. Yang pertama adalah akuisisi anak perusahaan di tengah tahun: saldo modal kerja awal perusahaan yang diakuisisi tidak masuk ke neraca konsolidasi awal, sehingga agar berartikulasi saldo yang hilang itu mesti ditambahkan ke saldo awal entitas terkonsolidasi. Yang kedua adalah transaksi akun modal kerja yang tidak menyentuh kas, dan ini bahkan menimpa perusahaan nonkonsolidasi — termasuk penilaian-naik atau penilaian-turun pos modal kerja saat akuisisi pembelian (biasanya persediaan), alokasi penyusutan ke persediaan yang diproduksi, serta reklasifikasi akun modal kerja antarkategori lancar dan taklancar. Yang ketiga adalah satu akun utang usaha yang dipakai bersama untuk membeli aset modal kerja sekaligus aset di luar modal kerja: pembelian persediaan secara kredit tergolong operasi, sedangkan pembelian peralatan secara kredit tergolong investasi, sehingga perubahan utang usaha di neraca tidak akan sama dengan penyesuaiannya di bagian operasi. Menariknya, pada 2008 FASB dan IASB menerbitkan discussion paper yang mengusulkan format baru; gagasan menggabungkan aktivitas operasi dan investasi ke dalam satu klasifikasi "business" dipandang berguna karena memperkecil peluang pengalihan klasifikasi di antara keduanya (Wolk et al., 2017).</w:t>
            </w:r>
          </w:p>
        </w:tc>
      </w:tr>
    </w:tbl>
    <w:p>
      <w:pPr>
        <w:spacing w:before="40" w:after="40"/>
        <w:jc w:val="center"/>
      </w:pPr>
      <w:r>
        <w:drawing>
          <wp:inline xmlns:a="http://schemas.openxmlformats.org/drawingml/2006/main" xmlns:pic="http://schemas.openxmlformats.org/drawingml/2006/picture">
            <wp:extent cx="5220000" cy="2134346"/>
            <wp:docPr id="7" name="Picture 7"/>
            <wp:cNvGraphicFramePr>
              <a:graphicFrameLocks noChangeAspect="1"/>
            </wp:cNvGraphicFramePr>
            <a:graphic>
              <a:graphicData uri="http://schemas.openxmlformats.org/drawingml/2006/picture">
                <pic:pic>
                  <pic:nvPicPr>
                    <pic:cNvPr id="0" name="nonarticulation.png"/>
                    <pic:cNvPicPr/>
                  </pic:nvPicPr>
                  <pic:blipFill>
                    <a:blip r:embed="rId16"/>
                    <a:stretch>
                      <a:fillRect/>
                    </a:stretch>
                  </pic:blipFill>
                  <pic:spPr>
                    <a:xfrm>
                      <a:off x="0" y="0"/>
                      <a:ext cx="5220000" cy="2134346"/>
                    </a:xfrm>
                    <a:prstGeom prst="rect"/>
                  </pic:spPr>
                </pic:pic>
              </a:graphicData>
            </a:graphic>
          </wp:inline>
        </w:drawing>
      </w:r>
    </w:p>
    <w:p>
      <w:pPr>
        <w:spacing w:line="360" w:lineRule="auto" w:before="0" w:after="0"/>
        <w:jc w:val="center"/>
      </w:pPr>
      <w:r>
        <w:rPr>
          <w:rFonts w:ascii="Calibri" w:hAnsi="Calibri" w:cs="Calibri"/>
          <w:b/>
          <w:i w:val="0"/>
          <w:sz w:val="22"/>
        </w:rPr>
        <w:t xml:space="preserve">Gambar 3. </w:t>
      </w:r>
      <w:r>
        <w:rPr>
          <w:rFonts w:ascii="Calibri" w:hAnsi="Calibri" w:cs="Calibri"/>
          <w:b w:val="0"/>
          <w:i w:val="0"/>
          <w:sz w:val="22"/>
        </w:rPr>
        <w:t>Anatomi Masalah Nonartikulasi: Sumber Selisih antara Penyesuaian SCF dan Perubahan Neraca</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keberatan Nurnberg atas klasifikasi SFAS No. 95?</w:t>
            </w:r>
          </w:p>
        </w:tc>
        <w:tc>
          <w:tcPr>
            <w:tcW w:type="dxa" w:w="5669"/>
          </w:tcPr>
          <w:p>
            <w:pPr>
              <w:spacing w:line="360" w:lineRule="auto"/>
              <w:jc w:val="both"/>
            </w:pPr>
            <w:r/>
            <w:r>
              <w:rPr>
                <w:rFonts w:ascii="Calibri" w:hAnsi="Calibri" w:cs="Calibri"/>
                <w:b w:val="0"/>
                <w:i w:val="0"/>
                <w:sz w:val="22"/>
              </w:rPr>
              <w:t>Di luar tiga suara dissent tadi, Nurnberg melontarkan pertanyaan mendasar tentang struktur SCF. Ia menyoroti bahwa SCF menggolongkan penerimaan bunga dan dividen sebagai arus masuk operasi dan pembayaran bunga sebagai arus keluar operasi, padahal menurut literatur keuangan yang pertama semestinya investasi dan yang kedua pendanaan. Dalam menyusun SFAS No. 95, FASB mengikuti format laporan laba rugi yang berorientasi teori kepemilikan (</w:t>
            </w:r>
            <w:r>
              <w:rPr>
                <w:rFonts w:ascii="Calibri" w:hAnsi="Calibri" w:cs="Calibri"/>
                <w:b w:val="0"/>
                <w:i/>
                <w:sz w:val="22"/>
              </w:rPr>
              <w:t>proprietary theory</w:t>
            </w:r>
            <w:r>
              <w:rPr>
                <w:rFonts w:ascii="Calibri" w:hAnsi="Calibri" w:cs="Calibri"/>
                <w:b w:val="0"/>
                <w:i w:val="0"/>
                <w:sz w:val="22"/>
              </w:rPr>
              <w:t>), yang memandang pendapatan dan beban bunga serta pendapatan dividen sebagai pos operasi. Pendekatan ini berlawanan dengan teori entitas (</w:t>
            </w:r>
            <w:r>
              <w:rPr>
                <w:rFonts w:ascii="Calibri" w:hAnsi="Calibri" w:cs="Calibri"/>
                <w:b w:val="0"/>
                <w:i/>
                <w:sz w:val="22"/>
              </w:rPr>
              <w:t>entity theory</w:t>
            </w:r>
            <w:r>
              <w:rPr>
                <w:rFonts w:ascii="Calibri" w:hAnsi="Calibri" w:cs="Calibri"/>
                <w:b w:val="0"/>
                <w:i w:val="0"/>
                <w:sz w:val="22"/>
              </w:rPr>
              <w:t>), yang menempatkan pendapatan bunga dan dividen sebagai investasi dan beban bunga sebagai pendanaan. Pertimbangan praktis ikut bermain: industri perbankan mendukung klasifikasi bunga sebagai pos operasi — yang memang masuk akal bagi bank — agar tidak melaporkan arus kas operasi negatif. Konsistensi dengan laporan laba rugi ditambah kepentingan perbankan inilah yang boleh jadi membentuk keputusan FASB (Wolk et al., 2017).</w:t>
            </w:r>
          </w:p>
        </w:tc>
      </w:tr>
      <w:tr>
        <w:tc>
          <w:tcPr>
            <w:tcW w:type="dxa" w:w="2835"/>
          </w:tcPr>
          <w:p>
            <w:pPr>
              <w:spacing w:line="360" w:lineRule="auto"/>
              <w:jc w:val="left"/>
            </w:pPr>
            <w:r/>
            <w:r>
              <w:rPr>
                <w:rFonts w:ascii="Calibri" w:hAnsi="Calibri" w:cs="Calibri"/>
                <w:b/>
                <w:i w:val="0"/>
                <w:sz w:val="22"/>
              </w:rPr>
              <w:t>Bagaimana sikap IAS 7 atas bunga dan dividen?</w:t>
            </w:r>
          </w:p>
        </w:tc>
        <w:tc>
          <w:tcPr>
            <w:tcW w:type="dxa" w:w="5669"/>
          </w:tcPr>
          <w:p>
            <w:pPr>
              <w:spacing w:line="360" w:lineRule="auto"/>
              <w:jc w:val="both"/>
            </w:pPr>
            <w:r/>
            <w:r>
              <w:rPr>
                <w:rFonts w:ascii="Calibri" w:hAnsi="Calibri" w:cs="Calibri"/>
                <w:b w:val="0"/>
                <w:i w:val="0"/>
                <w:sz w:val="22"/>
              </w:rPr>
              <w:t>IAS 7 mengambil posisi yang lebih lentur. Bunga dan dividen, baik yang diterima maupun dibayar, boleh diklasifikasikan sebagai arus kas operasi, investasi, atau pendanaan, asalkan diperlakukan secara konsisten dari periode ke periode. Sikap ini bertabrakan dengan orientasi proprietary SFAS No. 95 sekaligus dengan pendekatan entity theory yang dianjurkan bab ini dan Bab 12. Bagi bank, memandang bunga dan dividen sebagai arus kas operasi tetap wajar; seandainya IAS 7 mengizinkan klasifikasi semacam itu khusus bagi bank, IASB justru akan memperoleh keseragaman dalam industri tersebut (Wolk et al., 2017).</w:t>
            </w:r>
          </w:p>
        </w:tc>
      </w:tr>
      <w:tr>
        <w:tc>
          <w:tcPr>
            <w:tcW w:type="dxa" w:w="2835"/>
          </w:tcPr>
          <w:p>
            <w:pPr>
              <w:spacing w:line="360" w:lineRule="auto"/>
              <w:jc w:val="left"/>
            </w:pPr>
            <w:r/>
            <w:r>
              <w:rPr>
                <w:rFonts w:ascii="Calibri" w:hAnsi="Calibri" w:cs="Calibri"/>
                <w:b/>
                <w:i w:val="0"/>
                <w:sz w:val="22"/>
              </w:rPr>
              <w:t>Bagaimana premium dan diskonto obligasi diperlakukan menurut Vent, Cowling, dan Sevalstad?</w:t>
            </w:r>
          </w:p>
        </w:tc>
        <w:tc>
          <w:tcPr>
            <w:tcW w:type="dxa" w:w="5669"/>
          </w:tcPr>
          <w:p>
            <w:pPr>
              <w:spacing w:line="360" w:lineRule="auto"/>
              <w:jc w:val="both"/>
            </w:pPr>
            <w:r/>
            <w:r>
              <w:rPr>
                <w:rFonts w:ascii="Calibri" w:hAnsi="Calibri" w:cs="Calibri"/>
                <w:b w:val="0"/>
                <w:i w:val="0"/>
                <w:sz w:val="22"/>
              </w:rPr>
              <w:t>Pemisahan antara pendapatan bunga di operasi, pembelian saham perusahaan lain di investasi, dan peminjaman atau pelunasan pokok di pendanaan memunculkan persoalan turunan: ke mana premium atau diskonto obligasi digolongkan, mengingat ia penyesuaian bunga sekaligus bagian dari pokok yang dipinjam. Vent, Cowling, dan Sevalstad menemukan empat cara berbeda dalam laporan tahunan yang terbit. Ilustrasinya, sebuah perusahaan menerbitkan obligasi kupon 8 persen berjangka empat tahun dengan nilai nominal $10.000 yang laku $11.000 pada 31 Desember 2000, sehingga ada premium $1.000; dengan amortisasi garis lurus, beban bunga tahunannya $550, yaitu kupon $800 dikurangi amortisasi premium $250. Metode pertama paling mudah diikuti dan cocok dengan metode langsung, meski jumlah arus operasinya tidak sama dengan beban bunga akrual karena premium $1.000 masuk ke arus pendanaan tahun 2000. Metode kedua dan ketiga memindahkan premium dari arus investasi ke kategori operasi, masing-masing pada tahun pembayaran 2004 dan tahun penerbitan 2000, sedangkan metode keempat menyebar premium sepanjang umur obligasi. Wolk lebih memilih metode pertama meski ada ketaksamaan antara nilai akrual dan kas, dan menilai metode keempat paling tidak masuk akal karena memecah arus kas tahunan $800 menjadi dua segmen sehingga keliru menggambarkan arus kas riil. Sekali lagi, ini contoh persoalan alokasi (Wolk et al., 2017; lihat Exhibit 13.5).</w:t>
            </w:r>
          </w:p>
        </w:tc>
      </w:tr>
    </w:tbl>
    <w:p>
      <w:pPr>
        <w:spacing w:before="40" w:after="40"/>
        <w:jc w:val="center"/>
      </w:pPr>
      <w:r>
        <w:drawing>
          <wp:inline xmlns:a="http://schemas.openxmlformats.org/drawingml/2006/main" xmlns:pic="http://schemas.openxmlformats.org/drawingml/2006/picture">
            <wp:extent cx="5220000" cy="3465860"/>
            <wp:docPr id="8" name="Picture 8"/>
            <wp:cNvGraphicFramePr>
              <a:graphicFrameLocks noChangeAspect="1"/>
            </wp:cNvGraphicFramePr>
            <a:graphic>
              <a:graphicData uri="http://schemas.openxmlformats.org/drawingml/2006/picture">
                <pic:pic>
                  <pic:nvPicPr>
                    <pic:cNvPr id="0" name="exhibit-13-5.png"/>
                    <pic:cNvPicPr/>
                  </pic:nvPicPr>
                  <pic:blipFill>
                    <a:blip r:embed="rId17"/>
                    <a:stretch>
                      <a:fillRect/>
                    </a:stretch>
                  </pic:blipFill>
                  <pic:spPr>
                    <a:xfrm>
                      <a:off x="0" y="0"/>
                      <a:ext cx="5220000" cy="3465860"/>
                    </a:xfrm>
                    <a:prstGeom prst="rect"/>
                  </pic:spPr>
                </pic:pic>
              </a:graphicData>
            </a:graphic>
          </wp:inline>
        </w:drawing>
      </w:r>
    </w:p>
    <w:p>
      <w:pPr>
        <w:spacing w:line="360" w:lineRule="auto" w:before="0" w:after="0"/>
        <w:jc w:val="center"/>
      </w:pPr>
      <w:r>
        <w:rPr>
          <w:rFonts w:ascii="Calibri" w:hAnsi="Calibri" w:cs="Calibri"/>
          <w:b w:val="0"/>
          <w:i w:val="0"/>
          <w:sz w:val="22"/>
        </w:rPr>
        <w:t>Exhibit 13.5 — Alokasi Premium antara Arus Kas Operasi dan Pendanaan (Empat Metode)</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Bagaimana bunga dikapitalisasi (SFAS No. 34) dan sewa menimbulkan dilema serupa?</w:t>
            </w:r>
          </w:p>
        </w:tc>
        <w:tc>
          <w:tcPr>
            <w:tcW w:type="dxa" w:w="5669"/>
          </w:tcPr>
          <w:p>
            <w:pPr>
              <w:spacing w:line="360" w:lineRule="auto"/>
              <w:jc w:val="both"/>
            </w:pPr>
            <w:r/>
            <w:r>
              <w:rPr>
                <w:rFonts w:ascii="Calibri" w:hAnsi="Calibri" w:cs="Calibri"/>
                <w:b w:val="0"/>
                <w:i w:val="0"/>
                <w:sz w:val="22"/>
              </w:rPr>
              <w:t>Munter mengangkat persoalan yang sebangun. Ketika pembayaran bunga dikapitalisasi sesuai SFAS No. 34, bunga itu keluar dari aktivitas operasi dan masuk ke investasi sebagai bagian biaya perolehan aset tetap. Pertanyaannya kemudian, apakah suatu kejadian digolongkan menurut sifat dasar penerimaan atau pengeluarannya, ataukah menurut tujuan akhirnya. Dilema yang sama muncul pada sewa: pada sewa operasi seluruh pengeluaran kas tergolong arus keluar operasi, sedangkan pada sewa pembiayaan porsi bunga tergolong operasi dan porsi pengurangan pokok tergolong pendanaan. Mana di antara sifat dasar dan tujuan akhir yang seharusnya menentukan tetap belum terjawab (Wolk et al., 2017).</w:t>
            </w:r>
          </w:p>
        </w:tc>
      </w:tr>
      <w:tr>
        <w:tc>
          <w:tcPr>
            <w:tcW w:type="dxa" w:w="2835"/>
          </w:tcPr>
          <w:p>
            <w:pPr>
              <w:spacing w:line="360" w:lineRule="auto"/>
              <w:jc w:val="left"/>
            </w:pPr>
            <w:r/>
            <w:r>
              <w:rPr>
                <w:rFonts w:ascii="Calibri" w:hAnsi="Calibri" w:cs="Calibri"/>
                <w:b/>
                <w:i w:val="0"/>
                <w:sz w:val="22"/>
              </w:rPr>
              <w:t>Bagaimana SFAS No. 104 melonggarkan penyajian lindung nilai?</w:t>
            </w:r>
          </w:p>
        </w:tc>
        <w:tc>
          <w:tcPr>
            <w:tcW w:type="dxa" w:w="5669"/>
          </w:tcPr>
          <w:p>
            <w:pPr>
              <w:spacing w:line="360" w:lineRule="auto"/>
              <w:jc w:val="both"/>
            </w:pPr>
            <w:r/>
            <w:r>
              <w:rPr>
                <w:rFonts w:ascii="Calibri" w:hAnsi="Calibri" w:cs="Calibri"/>
                <w:b w:val="0"/>
                <w:i w:val="0"/>
                <w:sz w:val="22"/>
              </w:rPr>
              <w:t>Dalam SFAS No. 95, aktivitas lindung nilai (</w:t>
            </w:r>
            <w:r>
              <w:rPr>
                <w:rFonts w:ascii="Calibri" w:hAnsi="Calibri" w:cs="Calibri"/>
                <w:b w:val="0"/>
                <w:i/>
                <w:sz w:val="22"/>
              </w:rPr>
              <w:t>hedging</w:t>
            </w:r>
            <w:r>
              <w:rPr>
                <w:rFonts w:ascii="Calibri" w:hAnsi="Calibri" w:cs="Calibri"/>
                <w:b w:val="0"/>
                <w:i w:val="0"/>
                <w:sz w:val="22"/>
              </w:rPr>
              <w:t>) dipandang sebagai aktivitas investasi — sebuah klasifikasi kaku yang bersandar semata pada sifat transaksi. SFAS No. 104 yang mengamendemennya melonggarkan hal ini dengan membolehkan lindung nilai dikaitkan ke akun neraca yang spesifik. Bila sebuah kontrak forward, futures, opsi, atau swap teridentifikasi dengan pos tertentu seperti persediaan, misalnya untuk melindungi dari kenaikan harga persediaan, lindung nilai itu boleh diklasifikasikan bersama pos tersebut sebagai unsur operasi, atau tetap sebagai investasi. Nurnberg dan Largay menilai pelonggaran ini umumnya menurunkan keterbandingan, tetapi dapat dibenarkan sebagai peningkatan kehalusan informasi dalam situasi tertentu (Wolk et al., 2017).</w:t>
            </w:r>
          </w:p>
        </w:tc>
      </w:tr>
      <w:tr>
        <w:tc>
          <w:tcPr>
            <w:tcW w:type="dxa" w:w="2835"/>
          </w:tcPr>
          <w:p>
            <w:pPr>
              <w:spacing w:line="360" w:lineRule="auto"/>
              <w:jc w:val="left"/>
            </w:pPr>
            <w:r/>
            <w:r>
              <w:rPr>
                <w:rFonts w:ascii="Calibri" w:hAnsi="Calibri" w:cs="Calibri"/>
                <w:b/>
                <w:i w:val="0"/>
                <w:sz w:val="22"/>
              </w:rPr>
              <w:t>Seberapa berguna SCF secara analitis menurut model Ingram dan Lee?</w:t>
            </w:r>
          </w:p>
        </w:tc>
        <w:tc>
          <w:tcPr>
            <w:tcW w:type="dxa" w:w="5669"/>
          </w:tcPr>
          <w:p>
            <w:pPr>
              <w:spacing w:line="360" w:lineRule="auto"/>
              <w:jc w:val="both"/>
            </w:pPr>
            <w:r/>
            <w:r>
              <w:rPr>
                <w:rFonts w:ascii="Calibri" w:hAnsi="Calibri" w:cs="Calibri"/>
                <w:b w:val="0"/>
                <w:i w:val="0"/>
                <w:sz w:val="22"/>
              </w:rPr>
              <w:t>Sekalipun menanggung masalah klasifikasi dan nonartikulasi, SCF tetap sangat berguna, dan riset Ingram dan Lee menunjukkannya dengan memakai laporan laba rugi dan SCF secara bersama. Argumen mereka, dari waktu ke waktu perusahaan yang sedang tumbuh cenderung berlaba lebih tinggi tetapi berarus kas operasi lebih rendah, karena ekspansi menambah persediaan dan piutang usaha; meski sebagian terimbangi kenaikan utang usaha, efek neto pertumbuhan modal kerja membuat perubahan laba melampaui perubahan arus kas operasi setiap tahun. Pada fase ekspansi juga muncul arus keluar investasi neto untuk membeli aset tetap dan arus masuk pendanaan dari utang atau ekuitas baru, sementara dividen ditekan. Bagi perusahaan yang menyusut, pola itu sebagian besar berbalik. Analisis statistik mereka atas hampir 1.000 perusahaan sepanjang 1974 hingga 1992 secara umum menyokong penalaran deduktif tersebut, sekaligus menemukan bahwa perusahaan yang berekspansi cenderung memikul leverage keuangan lebih besar daripada yang menyusut (Wolk et al., 2017).</w:t>
            </w:r>
          </w:p>
        </w:tc>
      </w:tr>
      <w:tr>
        <w:tc>
          <w:tcPr>
            <w:tcW w:type="dxa" w:w="2835"/>
          </w:tcPr>
          <w:p>
            <w:pPr>
              <w:spacing w:line="360" w:lineRule="auto"/>
              <w:jc w:val="left"/>
            </w:pPr>
            <w:r/>
            <w:r>
              <w:rPr>
                <w:rFonts w:ascii="Calibri" w:hAnsi="Calibri" w:cs="Calibri"/>
                <w:b/>
                <w:i w:val="0"/>
                <w:sz w:val="22"/>
              </w:rPr>
              <w:t>Bagaimana klasifikasi dimanipulasi pada Tyco dan industri otomotif?</w:t>
            </w:r>
          </w:p>
        </w:tc>
        <w:tc>
          <w:tcPr>
            <w:tcW w:type="dxa" w:w="5669"/>
          </w:tcPr>
          <w:p>
            <w:pPr>
              <w:spacing w:line="360" w:lineRule="auto"/>
              <w:jc w:val="both"/>
            </w:pPr>
            <w:r/>
            <w:r>
              <w:rPr>
                <w:rFonts w:ascii="Calibri" w:hAnsi="Calibri" w:cs="Calibri"/>
                <w:b w:val="0"/>
                <w:i w:val="0"/>
                <w:sz w:val="22"/>
              </w:rPr>
              <w:t>SCF memang lebih sukar dimanipulasi daripada laba, tetapi tidak kebal. Karena banyak pengguna menganggap arus kas dari operasi (CFO) sebagai bagian terpenting, muncul godaan menaikkannya dengan menggeser arus keluar dari operasi ke investasi atau menarik arus masuk dari investasi ke operasi; total kasnya tak berubah, namun tanpa pencermatan pengguna terlanjur menilainya positif. Maremont mencontohkan Tyco International di bisnis sistem alarm rumah: kas untuk mengembangkan penjualan sendiri dan kas untuk membeli kontrak layanan dari dealer lain semestinya diperlakukan setara, tetapi Tyco mencatat kontrak dealer yang dibeli sebagai "akuisisi" dan mengakuinya sebagai arus keluar operasi atas dasar yang jauh lebih lambat. Mulford, dalam Wall Street Journal, mencontohkan industri otomotif. Ford, General Motors, dan Harley-Davidson meminjamkan dana ke dealer dalam bentuk piutang wesel agar dealer membeli persediaan; perusahaan mengakui pendapatan penjualan tetapi menggolongkan pinjaman itu sebagai aktivitas investasi, sehingga CFO terangkat. Pada GM, CFO terlapor $7,6 miliar, padahal seandainya piutang wesel diperlakukan sebagai aktivitas operasi angkanya hanya $3,5 miliar. Sebaliknya Navistar justru mereklasifikasi piutang wesel dealernya menjadi operasi; Mark Oberle selaku direktur hubungan investor menyebutnya bagian dari bisnis inti perusahaan manufaktur yang memiliki anak usaha pembiayaan. Bahkan tanpa pelanggaran aturan sekalipun, kekaburan penerapan ini memungkinkan perusahaan dalam satu industri menampilkan gambaran yang sangat berlainan (Wolk et al., 2017).</w:t>
            </w:r>
          </w:p>
        </w:tc>
      </w:tr>
      <w:tr>
        <w:tc>
          <w:tcPr>
            <w:tcW w:type="dxa" w:w="2835"/>
          </w:tcPr>
          <w:p>
            <w:pPr>
              <w:spacing w:line="360" w:lineRule="auto"/>
              <w:jc w:val="left"/>
            </w:pPr>
            <w:r/>
            <w:r>
              <w:rPr>
                <w:rFonts w:ascii="Calibri" w:hAnsi="Calibri" w:cs="Calibri"/>
                <w:b/>
                <w:i w:val="0"/>
                <w:sz w:val="22"/>
              </w:rPr>
              <w:t>Mengapa SCF harus dibaca utuh, dan apa pelajaran kasus WorldCom?</w:t>
            </w:r>
          </w:p>
        </w:tc>
        <w:tc>
          <w:tcPr>
            <w:tcW w:type="dxa" w:w="5669"/>
          </w:tcPr>
          <w:p>
            <w:pPr>
              <w:spacing w:line="360" w:lineRule="auto"/>
              <w:jc w:val="both"/>
            </w:pPr>
            <w:r/>
            <w:r>
              <w:rPr>
                <w:rFonts w:ascii="Calibri" w:hAnsi="Calibri" w:cs="Calibri"/>
                <w:b w:val="0"/>
                <w:i w:val="0"/>
                <w:sz w:val="22"/>
              </w:rPr>
              <w:t>Memusatkan perhatian berlebihan pada satu bagian SCF, dalam hal ini CFO, jelas berisiko, sebab laporan ini terdiri atas tiga bagian yang semuanya penting. Pada 21 Juli 2002 WorldCom mengajukan reorganisasi sukarela berdasarkan Bab 11 Undang-Undang Kepailitan Amerika Serikat. Sebelum jatuh, perusahaan ini mengapitalisasi beban yang seharusnya digolongkan sebagai aktivitas operasi; kesalahan klasifikasi tersebut menggelembungkan CFO yang dilaporkan dan meminjamkan kredibilitas semu bagi laba bersihnya. Banyak investor terkecoh, tetapi SCF yang dibaca secara utuh sebenarnya menyediakan cukup alasan untuk skeptis. Exhibit 13.6 menampilkan pos-pos terpilih SCF WorldCom: laba bersih positif sepanjang tiga tahun menjelang pailit, namun bila CFI mencerminkan investasi yang diperlukan, selisih CFO dikurangi CFI memperlihatkan berapa kas yang benar-benar tersedia bagi investor — dan WorldCom terus kehabisan kas pada tiga dari empat tahun terakhir, menggali defisit kumulatif sebesar $12 miliar hingga 31 Desember 2001. Pertanyaannya tinggal kapan defisit itu berhenti membesar. Investor yang mengabaikan satu atau lebih bagian SCF menanggung sendiri akibatnya (Wolk et al., 2017; lihat Exhibit 13.6).</w:t>
            </w:r>
          </w:p>
        </w:tc>
      </w:tr>
    </w:tbl>
    <w:p>
      <w:pPr>
        <w:spacing w:before="40" w:after="40"/>
        <w:jc w:val="center"/>
      </w:pPr>
      <w:r>
        <w:drawing>
          <wp:inline xmlns:a="http://schemas.openxmlformats.org/drawingml/2006/main" xmlns:pic="http://schemas.openxmlformats.org/drawingml/2006/picture">
            <wp:extent cx="5220000" cy="1749149"/>
            <wp:docPr id="9" name="Picture 9"/>
            <wp:cNvGraphicFramePr>
              <a:graphicFrameLocks noChangeAspect="1"/>
            </wp:cNvGraphicFramePr>
            <a:graphic>
              <a:graphicData uri="http://schemas.openxmlformats.org/drawingml/2006/picture">
                <pic:pic>
                  <pic:nvPicPr>
                    <pic:cNvPr id="0" name="exhibit-13-6.png"/>
                    <pic:cNvPicPr/>
                  </pic:nvPicPr>
                  <pic:blipFill>
                    <a:blip r:embed="rId18"/>
                    <a:stretch>
                      <a:fillRect/>
                    </a:stretch>
                  </pic:blipFill>
                  <pic:spPr>
                    <a:xfrm>
                      <a:off x="0" y="0"/>
                      <a:ext cx="5220000" cy="1749149"/>
                    </a:xfrm>
                    <a:prstGeom prst="rect"/>
                  </pic:spPr>
                </pic:pic>
              </a:graphicData>
            </a:graphic>
          </wp:inline>
        </w:drawing>
      </w:r>
    </w:p>
    <w:p>
      <w:pPr>
        <w:spacing w:line="360" w:lineRule="auto" w:before="0" w:after="0"/>
        <w:jc w:val="center"/>
      </w:pPr>
      <w:r>
        <w:rPr>
          <w:rFonts w:ascii="Calibri" w:hAnsi="Calibri" w:cs="Calibri"/>
          <w:b w:val="0"/>
          <w:i w:val="0"/>
          <w:sz w:val="22"/>
        </w:rPr>
        <w:t>Exhibit 13.6 — Pos Terpilih Statement of Cash Flows WorldCom 1998–2001 ($000.000)</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kebutuhan pengguna menurut Buffett dan logika NPV?</w:t>
            </w:r>
          </w:p>
        </w:tc>
        <w:tc>
          <w:tcPr>
            <w:tcW w:type="dxa" w:w="5669"/>
          </w:tcPr>
          <w:p>
            <w:pPr>
              <w:spacing w:line="360" w:lineRule="auto"/>
              <w:jc w:val="both"/>
            </w:pPr>
            <w:r/>
            <w:r>
              <w:rPr>
                <w:rFonts w:ascii="Calibri" w:hAnsi="Calibri" w:cs="Calibri"/>
                <w:b w:val="0"/>
                <w:i w:val="0"/>
                <w:sz w:val="22"/>
              </w:rPr>
              <w:t>Dalam surat 1988 kepada pemegang saham Berkshire Hathaway, Warren Buffett merangkum apa yang sebenarnya perlu dilaporkan, yakni data yang membantu pembaca yang melek finansial menjawab tiga hal: kira-kira berapa nilai perusahaan, seberapa besar kemungkinannya memenuhi kewajiban masa depan, dan seberapa baik kinerja manajernya. Dengan kata lain, laporan keuangan harus menjadi bahan untuk menilai perusahaan, mengambil keputusan kredit, dan mengukur kinerja manajerial. Penilaian kinerja menuntut ukuran arus kas historis yang akurat, sedangkan keputusan kredit dan valuasi menuntut prediksi arus kas masa depan yang takbias, sejalan dengan SFAC No. 1. Keputusan investasi pada hakikatnya adalah alokasi modal yang memakai kriteria penganggaran modal: sebuah investasi diterima bila nilai kini arus kas neto yang diharapkan positif, atau dengan kata lain bila NPV (</w:t>
            </w:r>
            <w:r>
              <w:rPr>
                <w:rFonts w:ascii="Calibri" w:hAnsi="Calibri" w:cs="Calibri"/>
                <w:b w:val="0"/>
                <w:i/>
                <w:sz w:val="22"/>
              </w:rPr>
              <w:t>net present value</w:t>
            </w:r>
            <w:r>
              <w:rPr>
                <w:rFonts w:ascii="Calibri" w:hAnsi="Calibri" w:cs="Calibri"/>
                <w:b w:val="0"/>
                <w:i w:val="0"/>
                <w:sz w:val="22"/>
              </w:rPr>
              <w:t>, nilai sekarang bersih) positif. Begitu pula pembelian saham, layak dilakukan bila nilai kini arus kas masa depan per saham — nilai intrinsiknya — melampaui harga pasar. Buffett sendiri mendefinisikan nilai intrinsik sebagai nilai terdiskonto dari kas yang dapat ditarik sepanjang sisa umur usaha (Wolk et al., 2017).</w:t>
            </w:r>
          </w:p>
        </w:tc>
      </w:tr>
      <w:tr>
        <w:tc>
          <w:tcPr>
            <w:tcW w:type="dxa" w:w="2835"/>
          </w:tcPr>
          <w:p>
            <w:pPr>
              <w:spacing w:line="360" w:lineRule="auto"/>
              <w:jc w:val="left"/>
            </w:pPr>
            <w:r/>
            <w:r>
              <w:rPr>
                <w:rFonts w:ascii="Calibri" w:hAnsi="Calibri" w:cs="Calibri"/>
                <w:b/>
                <w:i w:val="0"/>
                <w:sz w:val="22"/>
              </w:rPr>
              <w:t>Apa definisi free cash flow dan persamaan 13.2?</w:t>
            </w:r>
          </w:p>
        </w:tc>
        <w:tc>
          <w:tcPr>
            <w:tcW w:type="dxa" w:w="5669"/>
          </w:tcPr>
          <w:p>
            <w:pPr>
              <w:spacing w:line="360" w:lineRule="auto"/>
              <w:jc w:val="both"/>
            </w:pPr>
            <w:r/>
            <w:r>
              <w:rPr>
                <w:rFonts w:ascii="Calibri" w:hAnsi="Calibri" w:cs="Calibri"/>
                <w:b w:val="0"/>
                <w:i w:val="0"/>
                <w:sz w:val="22"/>
              </w:rPr>
              <w:t>Arus kas yang menjadi dasar penilaian nilai intrinsik suatu perusahaan disebut free cash flow (FCF, arus kas bebas). Menurut Mulford dan Comiskey, kata "bebas" menunjuk pada ketiadaan klaim yang lebih utama atasnya: kas itu tersedia untuk dipakai tanpa ikatan, dan pemakaiannya tidak mengganggu kemampuan perusahaan menghasilkan kas berikutnya. Mengikuti teori entitas, Wolk berfokus pada arus kas ke perusahaan. FCF tidak dapat dibaca langsung dari SCF, melainkan dirumuskan dalam persamaan 13.2: FCF sama dengan NOPLAT dikurangi investasi pada modal terinvestasi operasi. NOPLAT (</w:t>
            </w:r>
            <w:r>
              <w:rPr>
                <w:rFonts w:ascii="Calibri" w:hAnsi="Calibri" w:cs="Calibri"/>
                <w:b w:val="0"/>
                <w:i/>
                <w:sz w:val="22"/>
              </w:rPr>
              <w:t>net operating profit less adjusted taxes</w:t>
            </w:r>
            <w:r>
              <w:rPr>
                <w:rFonts w:ascii="Calibri" w:hAnsi="Calibri" w:cs="Calibri"/>
                <w:b w:val="0"/>
                <w:i w:val="0"/>
                <w:sz w:val="22"/>
              </w:rPr>
              <w:t>) adalah laba operasi neto setelah pajak yang disesuaikan, yang dalam kasus sederhana berarti laba operasi setelah pajak. Investasi pada modal terinvestasi operasi biasanya dipecah menjadi investasi pada modal kerja operasi neto dan pada aset taklancar. Yang perlu dicatat, FCF tidak memasukkan beban bunga karena bunga adalah beban pendanaan, dan sejalan dengan asumsi kelangsungan usaha, kas operasi diperlakukan sebagai bagian modal kerja operasi neto sebagaimana piutang dan persediaan (Wolk et al., 2017).</w:t>
            </w:r>
          </w:p>
        </w:tc>
      </w:tr>
      <w:tr>
        <w:tc>
          <w:tcPr>
            <w:tcW w:type="dxa" w:w="2835"/>
          </w:tcPr>
          <w:p>
            <w:pPr>
              <w:spacing w:line="360" w:lineRule="auto"/>
              <w:jc w:val="left"/>
            </w:pPr>
            <w:r/>
            <w:r>
              <w:rPr>
                <w:rFonts w:ascii="Calibri" w:hAnsi="Calibri" w:cs="Calibri"/>
                <w:b/>
                <w:i w:val="0"/>
                <w:sz w:val="22"/>
              </w:rPr>
              <w:t>Bagaimana ilustrasi ABC Company menjembatani CFO ke FCF?</w:t>
            </w:r>
          </w:p>
        </w:tc>
        <w:tc>
          <w:tcPr>
            <w:tcW w:type="dxa" w:w="5669"/>
          </w:tcPr>
          <w:p>
            <w:pPr>
              <w:spacing w:line="360" w:lineRule="auto"/>
              <w:jc w:val="both"/>
            </w:pPr>
            <w:r/>
            <w:r>
              <w:rPr>
                <w:rFonts w:ascii="Calibri" w:hAnsi="Calibri" w:cs="Calibri"/>
                <w:b w:val="0"/>
                <w:i w:val="0"/>
                <w:sz w:val="22"/>
              </w:rPr>
              <w:t>Wolk memakai ABC Company untuk memperagakan penyusunan FCF. Exhibit 13.7 menyajikan laporan laba rugi dan neraca ABC, yang dari keduanya lahir SCF pada Exhibit 13.8 dengan CFO $527, $466, dan $434, CFI $(277), $(309), dan $(360), serta CFF $(306), $(78), dan $(58) untuk 2005, 2006, dan 2007. Exhibit 13.9 lalu menyusun statement of free cash flows: dari laba operasi dikurangi pajak basis kas diperoleh NOPLAT $346, $333, dan $353, ditambah penyusutan menjadi gross cash flow $561, $553, dan $581, lalu dikurangi total investasi sehingga FCF dari aset operasi menjadi $332, $99, dan $80, yang juga setara dengan FCF ke ekuitas. Exhibit 13.10 menutup dengan cara menghitung FCF langsung dari SCF: bertolak dari CFO, beban bunga setelah pajak ditambahkan untuk menghapus efek pendanaan, kenaikan kas operasi dikurangkan karena ia bagian modal terinvestasi, lalu CFI ditambahkan — angka yang umumnya negatif, seperti $(277) pada 2005 yang menekan FCF — sehingga diperoleh kembali FCF $332, $99, dan $80 (Wolk et al., 2017).</w:t>
            </w:r>
          </w:p>
        </w:tc>
      </w:tr>
    </w:tbl>
    <w:p>
      <w:pPr>
        <w:spacing w:before="40" w:after="40"/>
        <w:jc w:val="center"/>
      </w:pPr>
      <w:r>
        <w:drawing>
          <wp:inline xmlns:a="http://schemas.openxmlformats.org/drawingml/2006/main" xmlns:pic="http://schemas.openxmlformats.org/drawingml/2006/picture">
            <wp:extent cx="5220000" cy="4493891"/>
            <wp:docPr id="10" name="Picture 10"/>
            <wp:cNvGraphicFramePr>
              <a:graphicFrameLocks noChangeAspect="1"/>
            </wp:cNvGraphicFramePr>
            <a:graphic>
              <a:graphicData uri="http://schemas.openxmlformats.org/drawingml/2006/picture">
                <pic:pic>
                  <pic:nvPicPr>
                    <pic:cNvPr id="0" name="exhibit-13-7.png"/>
                    <pic:cNvPicPr/>
                  </pic:nvPicPr>
                  <pic:blipFill>
                    <a:blip r:embed="rId19"/>
                    <a:stretch>
                      <a:fillRect/>
                    </a:stretch>
                  </pic:blipFill>
                  <pic:spPr>
                    <a:xfrm>
                      <a:off x="0" y="0"/>
                      <a:ext cx="5220000" cy="4493891"/>
                    </a:xfrm>
                    <a:prstGeom prst="rect"/>
                  </pic:spPr>
                </pic:pic>
              </a:graphicData>
            </a:graphic>
          </wp:inline>
        </w:drawing>
      </w:r>
    </w:p>
    <w:p>
      <w:pPr>
        <w:spacing w:line="360" w:lineRule="auto" w:before="0" w:after="0"/>
        <w:jc w:val="center"/>
      </w:pPr>
      <w:r>
        <w:rPr>
          <w:rFonts w:ascii="Calibri" w:hAnsi="Calibri" w:cs="Calibri"/>
          <w:b w:val="0"/>
          <w:i w:val="0"/>
          <w:sz w:val="22"/>
        </w:rPr>
        <w:t>Exhibit 13.7 — Laporan Laba Rugi dan Neraca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4077189"/>
            <wp:docPr id="11" name="Picture 11"/>
            <wp:cNvGraphicFramePr>
              <a:graphicFrameLocks noChangeAspect="1"/>
            </wp:cNvGraphicFramePr>
            <a:graphic>
              <a:graphicData uri="http://schemas.openxmlformats.org/drawingml/2006/picture">
                <pic:pic>
                  <pic:nvPicPr>
                    <pic:cNvPr id="0" name="exhibit-13-8.png"/>
                    <pic:cNvPicPr/>
                  </pic:nvPicPr>
                  <pic:blipFill>
                    <a:blip r:embed="rId20"/>
                    <a:stretch>
                      <a:fillRect/>
                    </a:stretch>
                  </pic:blipFill>
                  <pic:spPr>
                    <a:xfrm>
                      <a:off x="0" y="0"/>
                      <a:ext cx="5220000" cy="4077189"/>
                    </a:xfrm>
                    <a:prstGeom prst="rect"/>
                  </pic:spPr>
                </pic:pic>
              </a:graphicData>
            </a:graphic>
          </wp:inline>
        </w:drawing>
      </w:r>
    </w:p>
    <w:p>
      <w:pPr>
        <w:spacing w:line="360" w:lineRule="auto" w:before="0" w:after="0"/>
        <w:jc w:val="center"/>
      </w:pPr>
      <w:r>
        <w:rPr>
          <w:rFonts w:ascii="Calibri" w:hAnsi="Calibri" w:cs="Calibri"/>
          <w:b w:val="0"/>
          <w:i w:val="0"/>
          <w:sz w:val="22"/>
        </w:rPr>
        <w:t>Exhibit 13.8 — Statement of Cash Flows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5908680"/>
            <wp:docPr id="12" name="Picture 12"/>
            <wp:cNvGraphicFramePr>
              <a:graphicFrameLocks noChangeAspect="1"/>
            </wp:cNvGraphicFramePr>
            <a:graphic>
              <a:graphicData uri="http://schemas.openxmlformats.org/drawingml/2006/picture">
                <pic:pic>
                  <pic:nvPicPr>
                    <pic:cNvPr id="0" name="exhibit-13-9.png"/>
                    <pic:cNvPicPr/>
                  </pic:nvPicPr>
                  <pic:blipFill>
                    <a:blip r:embed="rId21"/>
                    <a:stretch>
                      <a:fillRect/>
                    </a:stretch>
                  </pic:blipFill>
                  <pic:spPr>
                    <a:xfrm>
                      <a:off x="0" y="0"/>
                      <a:ext cx="5220000" cy="5908680"/>
                    </a:xfrm>
                    <a:prstGeom prst="rect"/>
                  </pic:spPr>
                </pic:pic>
              </a:graphicData>
            </a:graphic>
          </wp:inline>
        </w:drawing>
      </w:r>
    </w:p>
    <w:p>
      <w:pPr>
        <w:spacing w:line="360" w:lineRule="auto" w:before="0" w:after="0"/>
        <w:jc w:val="center"/>
      </w:pPr>
      <w:r>
        <w:rPr>
          <w:rFonts w:ascii="Calibri" w:hAnsi="Calibri" w:cs="Calibri"/>
          <w:b w:val="0"/>
          <w:i w:val="0"/>
          <w:sz w:val="22"/>
        </w:rPr>
        <w:t>Exhibit 13.9 — Statement of Free Cash Flows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1499627"/>
            <wp:docPr id="13" name="Picture 13"/>
            <wp:cNvGraphicFramePr>
              <a:graphicFrameLocks noChangeAspect="1"/>
            </wp:cNvGraphicFramePr>
            <a:graphic>
              <a:graphicData uri="http://schemas.openxmlformats.org/drawingml/2006/picture">
                <pic:pic>
                  <pic:nvPicPr>
                    <pic:cNvPr id="0" name="exhibit-13-10.png"/>
                    <pic:cNvPicPr/>
                  </pic:nvPicPr>
                  <pic:blipFill>
                    <a:blip r:embed="rId22"/>
                    <a:stretch>
                      <a:fillRect/>
                    </a:stretch>
                  </pic:blipFill>
                  <pic:spPr>
                    <a:xfrm>
                      <a:off x="0" y="0"/>
                      <a:ext cx="5220000" cy="1499627"/>
                    </a:xfrm>
                    <a:prstGeom prst="rect"/>
                  </pic:spPr>
                </pic:pic>
              </a:graphicData>
            </a:graphic>
          </wp:inline>
        </w:drawing>
      </w:r>
    </w:p>
    <w:p>
      <w:pPr>
        <w:spacing w:line="360" w:lineRule="auto" w:before="0" w:after="0"/>
        <w:jc w:val="center"/>
      </w:pPr>
      <w:r>
        <w:rPr>
          <w:rFonts w:ascii="Calibri" w:hAnsi="Calibri" w:cs="Calibri"/>
          <w:b w:val="0"/>
          <w:i w:val="0"/>
          <w:sz w:val="22"/>
        </w:rPr>
        <w:t>Exhibit 13.10 — Menghitung Free Cash Flow dari SCF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2134346"/>
            <wp:docPr id="14" name="Picture 14"/>
            <wp:cNvGraphicFramePr>
              <a:graphicFrameLocks noChangeAspect="1"/>
            </wp:cNvGraphicFramePr>
            <a:graphic>
              <a:graphicData uri="http://schemas.openxmlformats.org/drawingml/2006/picture">
                <pic:pic>
                  <pic:nvPicPr>
                    <pic:cNvPr id="0" name="fcf_waterfall.png"/>
                    <pic:cNvPicPr/>
                  </pic:nvPicPr>
                  <pic:blipFill>
                    <a:blip r:embed="rId23"/>
                    <a:stretch>
                      <a:fillRect/>
                    </a:stretch>
                  </pic:blipFill>
                  <pic:spPr>
                    <a:xfrm>
                      <a:off x="0" y="0"/>
                      <a:ext cx="5220000" cy="2134346"/>
                    </a:xfrm>
                    <a:prstGeom prst="rect"/>
                  </pic:spPr>
                </pic:pic>
              </a:graphicData>
            </a:graphic>
          </wp:inline>
        </w:drawing>
      </w:r>
    </w:p>
    <w:p>
      <w:pPr>
        <w:spacing w:line="360" w:lineRule="auto" w:before="0" w:after="0"/>
        <w:jc w:val="center"/>
      </w:pPr>
      <w:r>
        <w:rPr>
          <w:rFonts w:ascii="Calibri" w:hAnsi="Calibri" w:cs="Calibri"/>
          <w:b/>
          <w:i w:val="0"/>
          <w:sz w:val="22"/>
        </w:rPr>
        <w:t xml:space="preserve">Gambar 4. </w:t>
      </w:r>
      <w:r>
        <w:rPr>
          <w:rFonts w:ascii="Calibri" w:hAnsi="Calibri" w:cs="Calibri"/>
          <w:b w:val="0"/>
          <w:i w:val="0"/>
          <w:sz w:val="22"/>
        </w:rPr>
        <w:t>Air Terjun (Waterfall) FCF: dari Laba Operasi ke Free Cash Flow</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empat ukuran kinerja kas dan peran diskonto WACC?</w:t>
            </w:r>
          </w:p>
        </w:tc>
        <w:tc>
          <w:tcPr>
            <w:tcW w:type="dxa" w:w="5669"/>
          </w:tcPr>
          <w:p>
            <w:pPr>
              <w:spacing w:line="360" w:lineRule="auto"/>
              <w:jc w:val="both"/>
            </w:pPr>
            <w:r/>
            <w:r>
              <w:rPr>
                <w:rFonts w:ascii="Calibri" w:hAnsi="Calibri" w:cs="Calibri"/>
                <w:b w:val="0"/>
                <w:i w:val="0"/>
                <w:sz w:val="22"/>
              </w:rPr>
              <w:t>Ukuran kinerja mana yang dipakai bergantung pada waktu, sumber daya, dan tujuan valuasi pengguna. Yang ingin cepat cukup melihat laba bersih. Yang ingin memahami operasi dan menimbang kualitas laba berfokus pada CFO. Untuk menghindari persoalan beban operasi yang digolongkan sebagai investasi dan untuk menangkap kemampuan menghasilkan kas neto, masuk akal mengurangkan CFI sehingga diperoleh selisih CFO dikurangi CFI. Dan karena CFO masih tercampur beban bunga yang sejatinya pendanaan, FCF dihitung untuk benar-benar berfokus pada operasi sekaligus mengakui kas operasi sebagai bagian modal terinvestasi. Bagi ABC, keempat ukuran untuk 2005, 2006, dan 2007 adalah laba bersih $320, $312, dan $331; CFO $527, $466, dan $434; selisih CFO dikurangi CFI $250, $157, dan $74; serta FCF $332, $99, dan $80. Investor dapat menaksir nilai intrinsik dengan mendiskontokan FCF yang diproyeksikan memakai WACC (</w:t>
            </w:r>
            <w:r>
              <w:rPr>
                <w:rFonts w:ascii="Calibri" w:hAnsi="Calibri" w:cs="Calibri"/>
                <w:b w:val="0"/>
                <w:i/>
                <w:sz w:val="22"/>
              </w:rPr>
              <w:t>weighted average cost of capital</w:t>
            </w:r>
            <w:r>
              <w:rPr>
                <w:rFonts w:ascii="Calibri" w:hAnsi="Calibri" w:cs="Calibri"/>
                <w:b w:val="0"/>
                <w:i w:val="0"/>
                <w:sz w:val="22"/>
              </w:rPr>
              <w:t>, biaya modal rata-rata tertimbang). Dengan empat ukuran yang bisa memberi gambaran berbeda-beda, memang dunia nyata tidak pernah sesederhana yang diharapkan (Wolk et al., 2017).</w:t>
            </w:r>
          </w:p>
        </w:tc>
      </w:tr>
    </w:tbl>
    <w:p>
      <w:pPr>
        <w:spacing w:before="40" w:after="40"/>
        <w:jc w:val="center"/>
      </w:pPr>
      <w:r>
        <w:drawing>
          <wp:inline xmlns:a="http://schemas.openxmlformats.org/drawingml/2006/main" xmlns:pic="http://schemas.openxmlformats.org/drawingml/2006/picture">
            <wp:extent cx="5220000" cy="2317290"/>
            <wp:docPr id="15" name="Picture 15"/>
            <wp:cNvGraphicFramePr>
              <a:graphicFrameLocks noChangeAspect="1"/>
            </wp:cNvGraphicFramePr>
            <a:graphic>
              <a:graphicData uri="http://schemas.openxmlformats.org/drawingml/2006/picture">
                <pic:pic>
                  <pic:nvPicPr>
                    <pic:cNvPr id="0" name="four_measures.png"/>
                    <pic:cNvPicPr/>
                  </pic:nvPicPr>
                  <pic:blipFill>
                    <a:blip r:embed="rId24"/>
                    <a:stretch>
                      <a:fillRect/>
                    </a:stretch>
                  </pic:blipFill>
                  <pic:spPr>
                    <a:xfrm>
                      <a:off x="0" y="0"/>
                      <a:ext cx="5220000" cy="2317290"/>
                    </a:xfrm>
                    <a:prstGeom prst="rect"/>
                  </pic:spPr>
                </pic:pic>
              </a:graphicData>
            </a:graphic>
          </wp:inline>
        </w:drawing>
      </w:r>
    </w:p>
    <w:p>
      <w:pPr>
        <w:spacing w:line="360" w:lineRule="auto" w:before="0" w:after="0"/>
        <w:jc w:val="center"/>
      </w:pPr>
      <w:r>
        <w:rPr>
          <w:rFonts w:ascii="Calibri" w:hAnsi="Calibri" w:cs="Calibri"/>
          <w:b/>
          <w:i w:val="0"/>
          <w:sz w:val="22"/>
        </w:rPr>
        <w:t xml:space="preserve">Gambar 5. </w:t>
      </w:r>
      <w:r>
        <w:rPr>
          <w:rFonts w:ascii="Calibri" w:hAnsi="Calibri" w:cs="Calibri"/>
          <w:b w:val="0"/>
          <w:i w:val="0"/>
          <w:sz w:val="22"/>
        </w:rPr>
        <w:t>Empat Ukuran Kinerja: Laba Bersih, CFO, CFO−CFI, dan Free Cash Flow</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pandangan riset kas versus akrual (Lawson dan Lee)?</w:t>
            </w:r>
          </w:p>
        </w:tc>
        <w:tc>
          <w:tcPr>
            <w:tcW w:type="dxa" w:w="5669"/>
          </w:tcPr>
          <w:p>
            <w:pPr>
              <w:spacing w:line="360" w:lineRule="auto"/>
              <w:jc w:val="both"/>
            </w:pPr>
            <w:r/>
            <w:r>
              <w:rPr>
                <w:rFonts w:ascii="Calibri" w:hAnsi="Calibri" w:cs="Calibri"/>
                <w:b w:val="0"/>
                <w:i w:val="0"/>
                <w:sz w:val="22"/>
              </w:rPr>
              <w:t>Lawson dan Lee, dua pendukung lama pelaporan arus kas, berpendirian bahwa laporan arus kas diperlukan untuk menggambarkan kinerja, sebab likuiditas adalah bagian tak terpisahkan dari kinerja itu sendiri. Lee bahkan menyatakan arus kas, bukan laba, adalah hasil akhir aktivitas entitas, karena laba sekadar abstraksi sedangkan kas adalah sumber daya yang nyata. Model valuasi dalam literatur ekonomi keuangan sependapat bahwa arus kas perusahaanlah penentu akhir nilainya, bukan laba akrual. Namun riset pasar modal yang terus berkembang memperlihatkan akrual memberi informasi melampaui arus kas literal dalam kaitannya dengan harga sekuritas. Maka penafsiran yang masuk akal adalah kas dan akrual lebih berguna bila dibaca bersama, sehingga SCF bersifat melengkapi laporan akrual. Survei terhadap investor dan analis secara konsisten menunjukkan analisis profitabilitas berbasis akrual masih dominan, meski survei yang ditugaskan Financial Accounting Foundation menemukan kepentingan data arus dana meningkat sementara data akrual menurun (Wolk et al., 2017).</w:t>
            </w:r>
          </w:p>
        </w:tc>
      </w:tr>
      <w:tr>
        <w:tc>
          <w:tcPr>
            <w:tcW w:type="dxa" w:w="2835"/>
          </w:tcPr>
          <w:p>
            <w:pPr>
              <w:spacing w:line="360" w:lineRule="auto"/>
              <w:jc w:val="left"/>
            </w:pPr>
            <w:r/>
            <w:r>
              <w:rPr>
                <w:rFonts w:ascii="Calibri" w:hAnsi="Calibri" w:cs="Calibri"/>
                <w:b/>
                <w:i w:val="0"/>
                <w:sz w:val="22"/>
              </w:rPr>
              <w:t>Apa tiga rekomendasi Broome untuk memperbaiki SCF?</w:t>
            </w:r>
          </w:p>
        </w:tc>
        <w:tc>
          <w:tcPr>
            <w:tcW w:type="dxa" w:w="5669"/>
          </w:tcPr>
          <w:p>
            <w:pPr>
              <w:spacing w:line="360" w:lineRule="auto"/>
              <w:jc w:val="both"/>
            </w:pPr>
            <w:r/>
            <w:r>
              <w:rPr>
                <w:rFonts w:ascii="Calibri" w:hAnsi="Calibri" w:cs="Calibri"/>
                <w:b w:val="0"/>
                <w:i w:val="0"/>
                <w:sz w:val="22"/>
              </w:rPr>
              <w:t>SCF adalah alat penting bagi investor, kreditor, dan manajer, tetapi masih menyisakan ruang perbaikan. Berlatar serangkaian skandal akuntansi seperti Adelphia, Dynegy, Qwest, Tyco, dan WorldCom, Broome berpendapat SCF dapat dan sepatutnya dibenahi, sebab keleluasaan SFAS No. 95 yang membolehkan metode langsung atau tidak langsung justru menimbulkan kebingungan; penyesuaian rumit pada metode tidak langsung sulit dipahami dan dalam banyak kasus tidak dapat direkonsiliasi dengan perubahan akun neraca yang teramati. Tiga usulannya, FASB sebaiknya mewajibkan metode langsung sekaligus rekonsiliasi laba bersih ke arus kas operasi, memberi panduan klasifikasi yang lebih jelas bagi ketiga bagian, dan menyusun rekonsiliasi pelengkap yang justru bermula dari arus kas operasi menuju laba bersih, kebalikan dari praktik sekarang. Wolk setuju metode langsung sebaiknya diwajibkan; namun seandainya sistem pilihan tetap dipertahankan, perusahaan semestinya diwajibkan menyajikan skedul transaksi nonkas yang memengaruhi akun modal kerja, skedul rekonsiliasi untuk akuisisi tengah tahun, dan secara umum menjelaskan asal setiap nonartikulasi pada bagian operasi SCF (Wolk et al., 2017).</w:t>
            </w:r>
          </w:p>
        </w:tc>
      </w:tr>
    </w:tbl>
    <w:p>
      <w:pPr>
        <w:spacing w:line="360" w:lineRule="auto" w:before="80" w:after="40"/>
        <w:jc w:val="left"/>
      </w:pPr>
      <w:r>
        <w:rPr>
          <w:rFonts w:ascii="Calibri" w:hAnsi="Calibri" w:cs="Calibri"/>
          <w:b/>
          <w:i w:val="0"/>
          <w:sz w:val="26"/>
        </w:rPr>
        <w:t>Bagian B — Ringkasan</w:t>
      </w:r>
    </w:p>
    <w:p>
      <w:pPr>
        <w:spacing w:line="360" w:lineRule="auto" w:before="0" w:after="80"/>
        <w:jc w:val="both"/>
      </w:pPr>
      <w:r>
        <w:rPr>
          <w:rFonts w:ascii="Calibri" w:hAnsi="Calibri" w:cs="Calibri"/>
          <w:b w:val="0"/>
          <w:i w:val="0"/>
          <w:sz w:val="24"/>
        </w:rPr>
        <w:t>Bab 13 menelusuri bagaimana pelaporan arus kas berevolusi dari Statement of Changes in Financial Position (SCFP) menuju Statement of Cash Flows (SCF) yang kita kenal sekarang. SCFP yang diwajibkan APB Opinion No. 19 pada 1971 masih berupa laporan arus dana dengan kerangka biner sumber dan penggunaan, dan membuka empat kemungkinan definisi dana, mulai dari kas hingga modal kerja, dengan kebanyakan perusahaan memilih modal kerja karena paling murah disusun. Persoalannya, modal kerja bersih ternyata ukuran likuiditas yang lemah: ia memuat pos tangguhan tanpa konsekuensi kas, mengandaikan siklus operasi yang bisa melebihi setahun, dan menilai persediaan berbasis biaya. Atas dasar itu FASB lewat SFAS No. 95 pada 1987 mendefinisikan ulang dana sebagai kas dan menggantikan SCFP. Jantung SFAS No. 95 adalah trikotomi tiga arah, yakni aktivitas operasi, investasi, dan pendanaan, yang menjanjikan konsistensi klasifikasi lebih tinggi, lengkap dengan definisi kas dan setara kas serta kewajiban mengungkapkan transaksi nonkas. Arus kas operasinya boleh disajikan dengan metode langsung, yang lebih informatif dan disukai FASB meski lebih mahal, atau dengan metode tidak langsung yang mendominasi praktik karena lebih murah walau lebih sukar dibaca.</w:t>
      </w:r>
    </w:p>
    <w:p>
      <w:pPr>
        <w:spacing w:line="360" w:lineRule="auto" w:before="0" w:after="80"/>
        <w:jc w:val="both"/>
      </w:pPr>
      <w:r>
        <w:rPr>
          <w:rFonts w:ascii="Calibri" w:hAnsi="Calibri" w:cs="Calibri"/>
          <w:b w:val="0"/>
          <w:i w:val="0"/>
          <w:sz w:val="24"/>
        </w:rPr>
        <w:t>Yang menarik, bab ini tidak menutup-nutupi dua keterbatasan SCF. Pertama, nonartikulasi yang didokumentasikan Bahnson, Miller, dan Budge: penyesuaian modal kerja di bagian operasi sering tidak sama dengan perubahan akun neraca, terjadi pada 75 persen sampel, dengan kasus 3M memperlihatkan selisih piutang hingga 300 persen, akibat akuisisi tengah tahun, transaksi nonkas, dan akun yang dipakai bersama. Kedua, persoalan klasifikasi: orientasi proprietary menempatkan bunga dan dividen di bagian operasi, padahal teori entitas dan literatur keuangan menggolongkannya sebagai investasi atau pendanaan, sementara kelonggaran penerapan pada IAS 7, premium obligasi versi Vent, Cowling, dan Sevalstad, bunga dikapitalisasi SFAS No. 34, serta lindung nilai SFAS No. 104 membuka ruang manipulasi yang tampak nyata pada kasus Tyco, industri otomotif (CFO GM $7,6 miliar yang sejatinya $3,5 miliar), dan WorldCom. Kendati demikian SCF tetap berdaya guna secara analitis, sebagaimana ditunjukkan model Ingram dan Lee maupun kebutuhan valuasi ala Buffett, dan dari sanalah free cash flow lahir sebagai ukuran non-GAAP untuk valuasi, dengan FCF sama dengan NOPLAT dikurangi investasi pada modal terinvestasi operasi. Kesimpulan Wolk, perpindahan dari SCFP ke SCF meningkatkan konsistensi dan daya prediksi karena melepaskan diri dari kesewenang-wenangan laba, sepanjang SCF dibaca secara utuh dan tidak dipersempit pada arus kas operasi saja (Wolk et al., 2017).</w:t>
      </w:r>
    </w:p>
    <w:p>
      <w:pPr>
        <w:spacing w:line="360" w:lineRule="auto" w:before="80" w:after="40"/>
        <w:jc w:val="left"/>
      </w:pPr>
      <w:r>
        <w:rPr>
          <w:rFonts w:ascii="Calibri" w:hAnsi="Calibri" w:cs="Calibri"/>
          <w:b/>
          <w:i w:val="0"/>
          <w:sz w:val="26"/>
        </w:rPr>
        <w:t>Bagian C — Refleksi dan Analisis Akademik</w:t>
      </w:r>
    </w:p>
    <w:p>
      <w:pPr>
        <w:spacing w:line="360" w:lineRule="auto" w:before="40" w:after="20"/>
        <w:jc w:val="left"/>
      </w:pPr>
      <w:r>
        <w:rPr>
          <w:rFonts w:ascii="Calibri" w:hAnsi="Calibri" w:cs="Calibri"/>
          <w:b/>
          <w:i/>
          <w:sz w:val="24"/>
        </w:rPr>
        <w:t>Apa pemahaman saya terhadap materi ini?</w:t>
      </w:r>
    </w:p>
    <w:p>
      <w:pPr>
        <w:spacing w:line="360" w:lineRule="auto" w:before="0" w:after="80"/>
        <w:jc w:val="both"/>
      </w:pPr>
      <w:r>
        <w:rPr>
          <w:rFonts w:ascii="Calibri" w:hAnsi="Calibri" w:cs="Calibri"/>
          <w:b w:val="0"/>
          <w:i w:val="0"/>
          <w:sz w:val="24"/>
        </w:rPr>
        <w:t>Bagi saya, SCF bukan sekadar laporan keuangan keempat yang berdiri sendiri, melainkan laporan turunan yang menata ulang data dari laporan laba rugi dan neraca ke dalam tiga lensa baru, yaitu operasi, investasi, dan pendanaan. Nilainya tidak terletak pada kebaruan data, sebab datanya memang sudah ada, tetapi pada cara ia memisahkan komponen kas dari komponen akrual sehingga lahir informasi baru tentang likuiditas dan kualitas laba. Yang menarik, keunggulan terbesar SCF, yakni kelugasan kas, sekaligus menjadi pangkal ketegangan teoretisnya. Begitu sebuah standar harus memutuskan di bagian mana suatu arus kas digolongkan, kelugasan itu mulai terganggu oleh pilihan teori antara proprietary dan entity, juga oleh kebebasan memilih metode langsung atau tidak langsung. SCF karena itu adalah laporan yang konsepnya sederhana tetapi penyajiannya sarat keputusan normatif.</w:t>
      </w:r>
    </w:p>
    <w:p>
      <w:pPr>
        <w:spacing w:line="360" w:lineRule="auto" w:before="40" w:after="20"/>
        <w:jc w:val="left"/>
      </w:pPr>
      <w:r>
        <w:rPr>
          <w:rFonts w:ascii="Calibri" w:hAnsi="Calibri" w:cs="Calibri"/>
          <w:b/>
          <w:i/>
          <w:sz w:val="24"/>
        </w:rPr>
        <w:t>Mengapa materi ini penting?</w:t>
      </w:r>
    </w:p>
    <w:p>
      <w:pPr>
        <w:spacing w:line="360" w:lineRule="auto" w:before="0" w:after="80"/>
        <w:jc w:val="both"/>
      </w:pPr>
      <w:r>
        <w:rPr>
          <w:rFonts w:ascii="Calibri" w:hAnsi="Calibri" w:cs="Calibri"/>
          <w:b w:val="0"/>
          <w:i w:val="0"/>
          <w:sz w:val="24"/>
        </w:rPr>
        <w:t>Materi ini menyentuh pertanyaan paling mendasar tentang kelangsungan usaha: apakah perusahaan menghasilkan kas yang cukup untuk bertahan. Laba akrual bisa saja positif sementara kas menipis, dan disjungsi semacam itu sudah berkali-kali terbukti mematikan. Menguasai SCF berarti melatih diri untuk tidak terpaku pada satu angka, entah laba bersih atau bahkan arus kas operasi, melainkan membaca interaksi ketiga bagiannya sekaligus. Ada pula nilai yang lebih dalam dari sekadar teknis. Materi ini memperlihatkan bahwa standar akuntansi adalah hasil kompromi politik dan ekonomi, sebagaimana terlihat dari tekanan industri perbankan atas klasifikasi bunga, dan bukan kebenaran yang netral. Justru itulah pelajaran inti dari kerangka mata kuliah Pelaporan Keuangan Korporat.</w:t>
      </w:r>
    </w:p>
    <w:p>
      <w:pPr>
        <w:spacing w:line="360" w:lineRule="auto" w:before="40" w:after="20"/>
        <w:jc w:val="left"/>
      </w:pPr>
      <w:r>
        <w:rPr>
          <w:rFonts w:ascii="Calibri" w:hAnsi="Calibri" w:cs="Calibri"/>
          <w:b/>
          <w:i/>
          <w:sz w:val="24"/>
        </w:rPr>
        <w:t>Bagaimana penerapannya dalam dunia nyata?</w:t>
      </w:r>
    </w:p>
    <w:p>
      <w:pPr>
        <w:spacing w:line="360" w:lineRule="auto" w:before="0" w:after="80"/>
        <w:jc w:val="both"/>
      </w:pPr>
      <w:r>
        <w:rPr>
          <w:rFonts w:ascii="Calibri" w:hAnsi="Calibri" w:cs="Calibri"/>
          <w:b w:val="0"/>
          <w:i w:val="0"/>
          <w:sz w:val="24"/>
        </w:rPr>
        <w:t>Penerapan SCF terasa paling tajam dalam analisis solvabilitas dan deteksi manipulasi. WorldCom adalah contohnya yang paling terang: selisih CFO dikurangi CFI yang terus-menerus negatif, dengan defisit kumulatif $12 miliar, sudah memberi sinyal bahaya jauh sebelum laba bersih dan CFO yang dipoles lewat kapitalisasi beban runtuh. Pola serupa terlihat pada industri otomotif, ketika GM melaporkan CFO $7,6 miliar yang sebenarnya hanya $3,5 miliar seandainya piutang dealer digolongkan operasi. Dalam praktik valuasi, FCF yang didiskontokan dengan WACC menjadi tulang punggung penilaian ekuitas, dan itu persis logika nilai intrinsik yang dianjurkan Buffett. Maka baik analis kredit maupun investor sepatutnya merekonstruksi arus kas terlebih dahulu, bukan menelan angka yang tersaji begitu saja.</w:t>
      </w:r>
    </w:p>
    <w:p>
      <w:pPr>
        <w:spacing w:line="360" w:lineRule="auto" w:before="40" w:after="20"/>
        <w:jc w:val="left"/>
      </w:pPr>
      <w:r>
        <w:rPr>
          <w:rFonts w:ascii="Calibri" w:hAnsi="Calibri" w:cs="Calibri"/>
          <w:b/>
          <w:i/>
          <w:sz w:val="24"/>
        </w:rPr>
        <w:t>Apa hubungan materi ini dengan mata kuliah lain?</w:t>
      </w:r>
    </w:p>
    <w:p>
      <w:pPr>
        <w:spacing w:line="360" w:lineRule="auto" w:before="0" w:after="80"/>
        <w:jc w:val="both"/>
      </w:pPr>
      <w:r>
        <w:rPr>
          <w:rFonts w:ascii="Calibri" w:hAnsi="Calibri" w:cs="Calibri"/>
          <w:b w:val="0"/>
          <w:i w:val="0"/>
          <w:sz w:val="24"/>
        </w:rPr>
        <w:t>Materi ini berdiri di persimpangan beberapa disiplin. Dalam analisis laporan keuangan, SCF memasok dasar rasio likuiditas dan kualitas laba yang lebih dapat diandalkan ketimbang rasio yang ditarik dari neraca. Dalam manajemen keuangan, konsep FCF, NOPLAT, NPV, dan WACC menjadi jembatan langsung menuju teori penilaian dan penganggaran modal; definisi FCF di bab ini bahkan identik dengan yang dipakai dalam corporate valuation. Dalam audit, masalah nonartikulasi dan ruang klasifikasi berubah menjadi area berisiko yang menuntut pengujian substantif, karena di titik itulah manajemen memiliki keleluasaan untuk membingkai ulang kinerjanya.</w:t>
      </w:r>
    </w:p>
    <w:p>
      <w:pPr>
        <w:spacing w:line="360" w:lineRule="auto" w:before="40" w:after="20"/>
        <w:jc w:val="left"/>
      </w:pPr>
      <w:r>
        <w:rPr>
          <w:rFonts w:ascii="Calibri" w:hAnsi="Calibri" w:cs="Calibri"/>
          <w:b/>
          <w:i/>
          <w:sz w:val="24"/>
        </w:rPr>
        <w:t>Apa kelebihan dan keterbatasan teori yang dibahas?</w:t>
      </w:r>
    </w:p>
    <w:p>
      <w:pPr>
        <w:spacing w:line="360" w:lineRule="auto" w:before="0" w:after="80"/>
        <w:jc w:val="both"/>
      </w:pPr>
      <w:r>
        <w:rPr>
          <w:rFonts w:ascii="Calibri" w:hAnsi="Calibri" w:cs="Calibri"/>
          <w:b w:val="0"/>
          <w:i w:val="0"/>
          <w:sz w:val="24"/>
        </w:rPr>
        <w:t>Kelebihan SCF cukup nyata. Ia mengurangi kesewenang-wenangan pengukuran laba, memperbaiki keterbandingan antarperusahaan, dan memberi dasar yang relatif kokoh untuk menilai likuiditas dan daya prediksi. Namun keterbatasannya tidak pantas ditutupi. Nonartikulasi membuat SCF metode tidak langsung tampak berselisih dengan neraca pada 75 persen kasus. Ruang klasifikasi yang dibiarkan SFAS No. 95, mulai dari bunga yang diperlakukan secara proprietary, kelenturan IAS 7, empat metode premium, hingga lindung nilai SFAS No. 104, memungkinkan perusahaan sejenis menampilkan gambaran yang berlawanan, sehingga keterbandingan yang dijanjikan ikut tergerus. FCF sendiri, betapapun populer untuk valuasi, tetap berstatus non-GAAP: tidak terstandar, tidak dapat ditarik langsung dari SCF, dan rentan terhadap perbedaan definisi antarperusahaan. Pada akhirnya SCF memang unggul pada hal yang lebih objektif, yaitu kas, tetapi ia tetap mewarisi masalah alokasi dan klasifikasi yang justru ingin dihindarinya.</w:t>
      </w:r>
    </w:p>
    <w:p>
      <w:pPr>
        <w:spacing w:line="360" w:lineRule="auto" w:before="80" w:after="40"/>
        <w:jc w:val="left"/>
      </w:pPr>
      <w:r>
        <w:rPr>
          <w:rFonts w:ascii="Calibri" w:hAnsi="Calibri" w:cs="Calibri"/>
          <w:b/>
          <w:i w:val="0"/>
          <w:sz w:val="26"/>
        </w:rPr>
        <w:t>Bagian D — Kesimpulan Akademik</w:t>
      </w:r>
    </w:p>
    <w:p>
      <w:pPr>
        <w:spacing w:line="360" w:lineRule="auto" w:before="0" w:after="80"/>
        <w:jc w:val="both"/>
      </w:pPr>
      <w:r>
        <w:rPr>
          <w:rFonts w:ascii="Calibri" w:hAnsi="Calibri" w:cs="Calibri"/>
          <w:b w:val="0"/>
          <w:i w:val="0"/>
          <w:sz w:val="24"/>
        </w:rPr>
        <w:t>Dari keseluruhan pembahasan, Statement of Cash Flows pada dasarnya adalah kasus khusus dari Statement of Changes in Financial Position dengan dana didefinisikan sebagai kas, dan tetap berwatak sebagai laporan turunan yang menata ulang data laba rugi dan neraca ke dalam trikotomi operasi, investasi, dan pendanaan. Pesan utamanya, kaslah yang menentukan kelangsungan dan nilai perusahaan, bukan laba akrual, sehingga SCF hadir untuk meredam kesewenang-wenangan pengukuran laba sekaligus mempertinggi keterbandingan dan daya prediksi. Manfaatnya berjalan di dua arah: bagi pengguna eksternal ia menjadi dasar menilai likuiditas, fleksibilitas keuangan, dan kualitas laba, sedangkan bagi analis valuasi ia menjadi titik tolak perhitungan free cash flow yang didiskontokan dengan biaya modal. Dalam praktik, manfaat itu terlihat pada analisis solvabilitas dan deteksi kecurangan; kasus WorldCom maupun industri otomotif menunjukkan bahwa membaca SCF secara utuh, lintas ketiga bagiannya, mampu menyingkap tekanan kas yang tersembunyi di balik laba yang tampak sehat. Namun bab ini juga mengajarkan kerendahan hati metodologis, sebab nonartikulasi, ruang klasifikasi SFAS No. 95, dan sifat non-GAAP dari FCF membatasi klaim objektivitas SCF. Sumbangannya bagi ilmu akuntansi terletak pada penegasan bahwa pelaporan berbasis kas dan berbasis akrual saling melengkapi alih-alih saling menggantikan, dan bahwa mutu sebuah standar diukur bukan dari kelengkapannya semata, melainkan dari sejauh mana ia membatasi diskresi yang berpotensi menyesatkan pengguna (Wolk et al., 2017).</w:t>
      </w:r>
    </w:p>
    <w:p>
      <w:pPr>
        <w:spacing w:line="360" w:lineRule="auto" w:before="80" w:after="40"/>
        <w:jc w:val="left"/>
      </w:pPr>
      <w:r>
        <w:rPr>
          <w:rFonts w:ascii="Calibri" w:hAnsi="Calibri" w:cs="Calibri"/>
          <w:b/>
          <w:i w:val="0"/>
          <w:sz w:val="26"/>
        </w:rPr>
        <w:t>Bagian E — Review Mandiri (Active Recall)</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Mengapa FASB melalui SFAS No. 95 (1987) memutuskan mendefinisikan dana sebagai </w:t>
      </w:r>
      <w:r>
        <w:rPr>
          <w:rFonts w:ascii="Calibri" w:hAnsi="Calibri" w:cs="Calibri"/>
          <w:b w:val="0"/>
          <w:i/>
          <w:sz w:val="24"/>
        </w:rPr>
        <w:t>kas</w:t>
      </w:r>
      <w:r>
        <w:rPr>
          <w:rFonts w:ascii="Calibri" w:hAnsi="Calibri" w:cs="Calibri"/>
          <w:b w:val="0"/>
          <w:i w:val="0"/>
          <w:sz w:val="24"/>
        </w:rPr>
        <w:t xml:space="preserve"> dan menggantikan SCFP, dan sebutkan tiga alasan modal kerja bersih dipandang sebagai ukuran likuiditas yang buruk. </w:t>
      </w:r>
      <w:r>
        <w:rPr>
          <w:rFonts w:ascii="Calibri" w:hAnsi="Calibri" w:cs="Calibri"/>
          <w:b w:val="0"/>
          <w:i/>
          <w:sz w:val="24"/>
        </w:rPr>
        <w:t>(Jawaban: karena kelugasan kas; tiga alasan — beban/kredit tangguhan tanpa konsekuensi kas, siklus operasi yang dapat melebihi setahun, dan persediaan berbasis biaya yang tak mengukur potensi kas.)</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Jelaskan trikotomi tiga arah dalam SCF dan sebutkan satu butir dissent tiga anggota FASB. </w:t>
      </w:r>
      <w:r>
        <w:rPr>
          <w:rFonts w:ascii="Calibri" w:hAnsi="Calibri" w:cs="Calibri"/>
          <w:b w:val="0"/>
          <w:i/>
          <w:sz w:val="24"/>
        </w:rPr>
        <w:t>(Jawaban: aktivitas operasi, investasi, dan pendanaan; dissent menyatakan bunga/dividen diterima adalah investasi dan bunga dibayar adalah pendanaan, bukan operasi.)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perbedaan metode langsung dan tidak langsung, dan mengapa mayoritas perusahaan AS memilih metode tidak langsung meski FASB lebih menyukai metode langsung? </w:t>
      </w:r>
      <w:r>
        <w:rPr>
          <w:rFonts w:ascii="Calibri" w:hAnsi="Calibri" w:cs="Calibri"/>
          <w:b w:val="0"/>
          <w:i/>
          <w:sz w:val="24"/>
        </w:rPr>
        <w:t>(Jawaban: metode langsung melaporkan arus kas literal dan lebih informatif tetapi mahal; metode tidak langsung merekonsiliasi laba akrual ke kas, lebih murah disusun — itulah alasan dominasinya; studi McEnroe: 56% vs 44% mendukung langsung.)</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yang dimaksud masalah nonartikulasi, siapa peneliti yang mendokumentasikannya, dan apa tiga penyebab utamanya? </w:t>
      </w:r>
      <w:r>
        <w:rPr>
          <w:rFonts w:ascii="Calibri" w:hAnsi="Calibri" w:cs="Calibri"/>
          <w:b w:val="0"/>
          <w:i/>
          <w:sz w:val="24"/>
        </w:rPr>
        <w:t>(Jawaban: penyesuaian modal kerja di bagian operasi ≠ perubahan akun neraca; Bahnson, Miller &amp; Budge — 75% sampel; penyebab: akuisisi tengah-tahun, transaksi modal kerja nonkas, dan satu akun utang usaha bersama.)</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Tuliskan persamaan free cash flow dan jelaskan mengapa FCF tidak dapat diambil langsung dari SCF. </w:t>
      </w:r>
      <w:r>
        <w:rPr>
          <w:rFonts w:ascii="Calibri" w:hAnsi="Calibri" w:cs="Calibri"/>
          <w:b w:val="0"/>
          <w:i/>
          <w:sz w:val="24"/>
        </w:rPr>
        <w:t>(Jawaban: FCF = NOPLAT − investasi pada modal terinvestasi operasi; karena CFO mengandung beban bunga pendanaan dan tidak memperlakukan kenaikan kas operasi sebagai investasi, sehingga perlu penyesuaian — tambah bunga setelah pajak, kurangi kenaikan kas operasi, tambahkan CFI.)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Dengan kasus WorldCom, jelaskan mengapa SCF harus dibaca secara utuh dan bukan hanya pada arus kas operasi. </w:t>
      </w:r>
      <w:r>
        <w:rPr>
          <w:rFonts w:ascii="Calibri" w:hAnsi="Calibri" w:cs="Calibri"/>
          <w:b w:val="0"/>
          <w:i/>
          <w:sz w:val="24"/>
        </w:rPr>
        <w:t>(Jawaban: WorldCom mengapitalisasi beban operasi sehingga CFO membengkak dan laba bersih terlihat kredibel; namun selisih CFO − CFI yang terus negatif mengungkap "lubang" kumulatif $12 miliar hingga 31 Desember 2001 — sinyal yang hanya terlihat bila ketiga bagian dibaca bersama.)</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Mengapa klasifikasi bunga dan dividen di SCF mencerminkan ketegangan antara </w:t>
      </w:r>
      <w:r>
        <w:rPr>
          <w:rFonts w:ascii="Calibri" w:hAnsi="Calibri" w:cs="Calibri"/>
          <w:b w:val="0"/>
          <w:i/>
          <w:sz w:val="24"/>
        </w:rPr>
        <w:t>proprietary theory</w:t>
      </w:r>
      <w:r>
        <w:rPr>
          <w:rFonts w:ascii="Calibri" w:hAnsi="Calibri" w:cs="Calibri"/>
          <w:b w:val="0"/>
          <w:i w:val="0"/>
          <w:sz w:val="24"/>
        </w:rPr>
        <w:t xml:space="preserve"> dan </w:t>
      </w:r>
      <w:r>
        <w:rPr>
          <w:rFonts w:ascii="Calibri" w:hAnsi="Calibri" w:cs="Calibri"/>
          <w:b w:val="0"/>
          <w:i/>
          <w:sz w:val="24"/>
        </w:rPr>
        <w:t>entity theory</w:t>
      </w:r>
      <w:r>
        <w:rPr>
          <w:rFonts w:ascii="Calibri" w:hAnsi="Calibri" w:cs="Calibri"/>
          <w:b w:val="0"/>
          <w:i w:val="0"/>
          <w:sz w:val="24"/>
        </w:rPr>
        <w:t xml:space="preserve">, dan bagaimana IAS 7 menyikapinya? </w:t>
      </w:r>
      <w:r>
        <w:rPr>
          <w:rFonts w:ascii="Calibri" w:hAnsi="Calibri" w:cs="Calibri"/>
          <w:b w:val="0"/>
          <w:i/>
          <w:sz w:val="24"/>
        </w:rPr>
        <w:t>(Jawaban: SFAS No. 95 berorientasi proprietary sehingga bunga/dividen masuk operasi, sedangkan entity theory menggolongkannya investasi/pendanaan; IAS 7 fleksibel — boleh operasi/investasi/pendanaan asalkan konsisten antarperiode.)</w:t>
      </w:r>
    </w:p>
    <w:p>
      <w:pPr>
        <w:spacing w:line="360" w:lineRule="auto" w:before="80" w:after="40"/>
        <w:jc w:val="left"/>
      </w:pPr>
      <w:r>
        <w:rPr>
          <w:rFonts w:ascii="Calibri" w:hAnsi="Calibri" w:cs="Calibri"/>
          <w:b/>
          <w:i w:val="0"/>
          <w:sz w:val="26"/>
        </w:rPr>
        <w:t>Bagian F — Referensi Akademik</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Wolk, H. I., Dodd, J. L., &amp; Rozycki, J. J. (2017). </w:t>
      </w:r>
      <w:r>
        <w:rPr>
          <w:rFonts w:ascii="Calibri" w:hAnsi="Calibri" w:cs="Calibri"/>
          <w:b w:val="0"/>
          <w:i/>
          <w:sz w:val="24"/>
        </w:rPr>
        <w:t>Accounting theory: Conceptual issues in a political and economic environment</w:t>
      </w:r>
      <w:r>
        <w:rPr>
          <w:rFonts w:ascii="Calibri" w:hAnsi="Calibri" w:cs="Calibri"/>
          <w:b w:val="0"/>
          <w:i w:val="0"/>
          <w:sz w:val="24"/>
        </w:rPr>
        <w:t xml:space="preserve"> (9th ed.). SAGE Publications. [Bab 13 — </w:t>
      </w:r>
      <w:r>
        <w:rPr>
          <w:rFonts w:ascii="Calibri" w:hAnsi="Calibri" w:cs="Calibri"/>
          <w:b w:val="0"/>
          <w:i/>
          <w:sz w:val="24"/>
        </w:rPr>
        <w:t>Statement of Cash Flows</w:t>
      </w:r>
      <w:r>
        <w:rPr>
          <w:rFonts w:ascii="Calibri" w:hAnsi="Calibri" w:cs="Calibri"/>
          <w:b w:val="0"/>
          <w:i w:val="0"/>
          <w:sz w:val="24"/>
        </w:rPr>
        <w:t>, hlm. 375–409].</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Silabus Pelaporan Keuangan Korporat (MNK202), Pascasarjana STIE YKPN Yogyakarta, Tahun Ajaran 2025/2026.</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Calibri"/>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