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RINGKASAN MATERI KULIAH (RMK)</w:t>
      </w:r>
    </w:p>
    <w:p>
      <w:pPr>
        <w:jc w:val="center"/>
      </w:pPr>
      <w:r>
        <w:rPr>
          <w:b/>
          <w:sz w:val="28"/>
        </w:rPr>
        <w:t>Statement of Cash Flows</w:t>
      </w:r>
    </w:p>
    <w:p>
      <w:pPr>
        <w:jc w:val="center"/>
      </w:pPr>
      <w:r>
        <w:rPr>
          <w:b w:val="0"/>
        </w:rPr>
        <w:t>Wolk, Dodd &amp; Rozycki — Accounting Theory, 9th ed., Chapter 13</w:t>
      </w:r>
    </w:p>
    <w:p>
      <w:pPr>
        <w:jc w:val="center"/>
      </w:pPr>
      <w:r>
        <w:rPr>
          <w:b w:val="0"/>
        </w:rPr>
        <w:t>Mata Kuliah: Pelaporan Keuangan Korporat (MNK202)</w:t>
      </w:r>
    </w:p>
    <w:p>
      <w:pPr>
        <w:jc w:val="center"/>
      </w:pPr>
      <w:r>
        <w:rPr>
          <w:b/>
        </w:rPr>
        <w:t>Kelompok 2</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NIM</w:t>
            </w:r>
          </w:p>
        </w:tc>
        <w:tc>
          <w:tcPr>
            <w:tcW w:type="dxa" w:w="4513"/>
          </w:tcPr>
          <w:p>
            <w:r>
              <w:rPr>
                <w:b/>
              </w:rPr>
              <w:t>Nama</w:t>
            </w:r>
          </w:p>
        </w:tc>
      </w:tr>
      <w:tr>
        <w:tc>
          <w:tcPr>
            <w:tcW w:type="dxa" w:w="4513"/>
          </w:tcPr>
          <w:p>
            <w:r>
              <w:t>122501039</w:t>
            </w:r>
          </w:p>
        </w:tc>
        <w:tc>
          <w:tcPr>
            <w:tcW w:type="dxa" w:w="4513"/>
          </w:tcPr>
          <w:p>
            <w:r>
              <w:t>Satriyo Nugroho</w:t>
            </w:r>
          </w:p>
        </w:tc>
      </w:tr>
      <w:tr>
        <w:tc>
          <w:tcPr>
            <w:tcW w:type="dxa" w:w="4513"/>
          </w:tcPr>
          <w:p>
            <w:r>
              <w:t>122501048</w:t>
            </w:r>
          </w:p>
        </w:tc>
        <w:tc>
          <w:tcPr>
            <w:tcW w:type="dxa" w:w="4513"/>
          </w:tcPr>
          <w:p>
            <w:r>
              <w:t>Mario Da Costa</w:t>
            </w:r>
          </w:p>
        </w:tc>
      </w:tr>
      <w:tr>
        <w:tc>
          <w:tcPr>
            <w:tcW w:type="dxa" w:w="4513"/>
          </w:tcPr>
          <w:p>
            <w:r>
              <w:t>122501067</w:t>
            </w:r>
          </w:p>
        </w:tc>
        <w:tc>
          <w:tcPr>
            <w:tcW w:type="dxa" w:w="4513"/>
          </w:tcPr>
          <w:p>
            <w:r>
              <w:t>Amelda Putri Zhany Wiguna</w:t>
            </w:r>
          </w:p>
        </w:tc>
      </w:tr>
      <w:tr>
        <w:tc>
          <w:tcPr>
            <w:tcW w:type="dxa" w:w="4513"/>
          </w:tcPr>
          <w:p>
            <w:r>
              <w:t>122501078</w:t>
            </w:r>
          </w:p>
        </w:tc>
        <w:tc>
          <w:tcPr>
            <w:tcW w:type="dxa" w:w="4513"/>
          </w:tcPr>
          <w:p>
            <w:r>
              <w:t>Ahmad Ramadhan</w:t>
            </w:r>
          </w:p>
        </w:tc>
      </w:tr>
      <w:tr>
        <w:tc>
          <w:tcPr>
            <w:tcW w:type="dxa" w:w="4513"/>
          </w:tcPr>
          <w:p>
            <w:r>
              <w:t>122501084</w:t>
            </w:r>
          </w:p>
        </w:tc>
        <w:tc>
          <w:tcPr>
            <w:tcW w:type="dxa" w:w="4513"/>
          </w:tcPr>
          <w:p>
            <w:r>
              <w:t>Nida Nur Cahyati</w:t>
            </w:r>
          </w:p>
        </w:tc>
      </w:tr>
      <w:tr>
        <w:tc>
          <w:tcPr>
            <w:tcW w:type="dxa" w:w="4513"/>
          </w:tcPr>
          <w:p>
            <w:r>
              <w:t>122501094</w:t>
            </w:r>
          </w:p>
        </w:tc>
        <w:tc>
          <w:tcPr>
            <w:tcW w:type="dxa" w:w="4513"/>
          </w:tcPr>
          <w:p>
            <w:r>
              <w:t>Priska Putri Parungky</w:t>
            </w:r>
          </w:p>
        </w:tc>
      </w:tr>
    </w:tbl>
    <w:p/>
    <w:p>
      <w:pPr>
        <w:pStyle w:val="Heading1"/>
      </w:pPr>
      <w:r>
        <w:t>12. Free Cash Flow</w:t>
      </w:r>
    </w:p>
    <w:p>
      <w:r>
        <w:t>Free cash flow (FCF) adalah analog tingkat-perusahaan dari arus kas yang digunakan dalam keputusan penganggaran modal. Mulford dan Comiskey menegaskan bahwa kata “free” merujuk pada tiadanya klaim yang lebih senior: kas yang benar-benar bebas digunakan tanpa mengurangi kemampuan perusahaan menghasilkan kas berikutnya. Mengikuti entity theory, fokusnya adalah arus kas kepada perusahaan (cash flow to the firm), sehingga FCF didefinisikan sebagai NOPLAT dikurangi investasi pada operating invested capital. Konsekuensinya, beban bunga — sebuah beban pendanaan — tidak termasuk dalam FCF, dan kas operasi diperlakukan sebagai bagian dari modal kerja operasi neto, setara piutang dan persediaan.</w:t>
      </w:r>
    </w:p>
    <w:p>
      <w:pPr>
        <w:jc w:val="center"/>
      </w:pPr>
      <w:r>
        <w:drawing>
          <wp:inline xmlns:a="http://schemas.openxmlformats.org/drawingml/2006/main" xmlns:pic="http://schemas.openxmlformats.org/drawingml/2006/picture">
            <wp:extent cx="5303520" cy="1803034"/>
            <wp:docPr id="1" name="Picture 1"/>
            <wp:cNvGraphicFramePr>
              <a:graphicFrameLocks noChangeAspect="1"/>
            </wp:cNvGraphicFramePr>
            <a:graphic>
              <a:graphicData uri="http://schemas.openxmlformats.org/drawingml/2006/picture">
                <pic:pic>
                  <pic:nvPicPr>
                    <pic:cNvPr id="0" name="exhibit-13-10.png"/>
                    <pic:cNvPicPr/>
                  </pic:nvPicPr>
                  <pic:blipFill>
                    <a:blip r:embed="rId9"/>
                    <a:stretch>
                      <a:fillRect/>
                    </a:stretch>
                  </pic:blipFill>
                  <pic:spPr>
                    <a:xfrm>
                      <a:off x="0" y="0"/>
                      <a:ext cx="5303520" cy="1803034"/>
                    </a:xfrm>
                    <a:prstGeom prst="rect"/>
                  </pic:spPr>
                </pic:pic>
              </a:graphicData>
            </a:graphic>
          </wp:inline>
        </w:drawing>
      </w:r>
    </w:p>
    <w:p>
      <w:pPr>
        <w:jc w:val="center"/>
      </w:pPr>
      <w:r>
        <w:rPr>
          <w:i/>
        </w:rPr>
        <w:t>Exhibit 13.10 — Computing Free Cash Flow From the SCF for ABC Company (Wolk, Dodd &amp; Rozycki, 2017, Ch. 13)</w:t>
      </w:r>
    </w:p>
    <w:p>
      <w:r>
        <w:t>FCF tidak dapat dibaca langsung dari SCF; ia harus dikonstruksi. Exhibit 13.10 memperlihatkan jembatannya: mulai dari CFO, tambahkan kembali beban bunga setelah pajak untuk membersihkan unsur pendanaan yang “mengontaminasi” CFO, sesuaikan perubahan kas operasi sebagai bagian dari invested capital, lalu perhitungkan arus kas investasi neto. Untuk tahun 2005, ABC Company menghasilkan FCF $332: CFO $527 disesuaikan bunga setelah pajak $26, perubahan kas operasi, dan investasi neto $(277). Pembacaan ini menunjukkan mengapa FCF lebih bersih sebagai dasar valuasi: nilai intrinsik perusahaan adalah FCF masa depan yang didiskontokan pada biaya modal rata-rata tertimbang (WACC).</w:t>
      </w:r>
    </w:p>
    <w:p>
      <w:pPr>
        <w:pStyle w:val="Heading2"/>
      </w:pPr>
      <w:r>
        <w:t>Ringkasan empat ukuran kinerja</w:t>
      </w:r>
    </w:p>
    <w:tbl>
      <w:tblPr>
        <w:tblStyle w:val="TableGrid"/>
        <w:tblW w:type="auto" w:w="0"/>
        <w:tblLook w:firstColumn="1" w:firstRow="1" w:lastColumn="0" w:lastRow="0" w:noHBand="0" w:noVBand="1" w:val="04A0"/>
      </w:tblPr>
      <w:tblGrid>
        <w:gridCol w:w="3009"/>
        <w:gridCol w:w="3009"/>
        <w:gridCol w:w="3009"/>
      </w:tblGrid>
      <w:tr>
        <w:tc>
          <w:tcPr>
            <w:tcW w:type="dxa" w:w="3009"/>
          </w:tcPr>
          <w:p>
            <w:r>
              <w:rPr>
                <w:b/>
              </w:rPr>
              <w:t>Ukuran</w:t>
            </w:r>
          </w:p>
        </w:tc>
        <w:tc>
          <w:tcPr>
            <w:tcW w:type="dxa" w:w="3009"/>
          </w:tcPr>
          <w:p>
            <w:r>
              <w:rPr>
                <w:b/>
              </w:rPr>
              <w:t>Apa yang ditangkap</w:t>
            </w:r>
          </w:p>
        </w:tc>
        <w:tc>
          <w:tcPr>
            <w:tcW w:type="dxa" w:w="3009"/>
          </w:tcPr>
          <w:p>
            <w:r>
              <w:rPr>
                <w:b/>
              </w:rPr>
              <w:t>Keterbatasan utama</w:t>
            </w:r>
          </w:p>
        </w:tc>
      </w:tr>
      <w:tr>
        <w:tc>
          <w:tcPr>
            <w:tcW w:type="dxa" w:w="3009"/>
          </w:tcPr>
          <w:p>
            <w:r>
              <w:t>Laba bersih</w:t>
            </w:r>
          </w:p>
        </w:tc>
        <w:tc>
          <w:tcPr>
            <w:tcW w:type="dxa" w:w="3009"/>
          </w:tcPr>
          <w:p>
            <w:r>
              <w:t>Kinerja akrual ringkas</w:t>
            </w:r>
          </w:p>
        </w:tc>
        <w:tc>
          <w:tcPr>
            <w:tcW w:type="dxa" w:w="3009"/>
          </w:tcPr>
          <w:p>
            <w:r>
              <w:t>Banyak akrual nonkas; rawan manajemen laba</w:t>
            </w:r>
          </w:p>
        </w:tc>
      </w:tr>
      <w:tr>
        <w:tc>
          <w:tcPr>
            <w:tcW w:type="dxa" w:w="3009"/>
          </w:tcPr>
          <w:p>
            <w:r>
              <w:t>CFO</w:t>
            </w:r>
          </w:p>
        </w:tc>
        <w:tc>
          <w:tcPr>
            <w:tcW w:type="dxa" w:w="3009"/>
          </w:tcPr>
          <w:p>
            <w:r>
              <w:t>Kas dari operasi; kualitas laba</w:t>
            </w:r>
          </w:p>
        </w:tc>
        <w:tc>
          <w:tcPr>
            <w:tcW w:type="dxa" w:w="3009"/>
          </w:tcPr>
          <w:p>
            <w:r>
              <w:t>Terkontaminasi bunga; rawan misklasifikasi</w:t>
            </w:r>
          </w:p>
        </w:tc>
      </w:tr>
      <w:tr>
        <w:tc>
          <w:tcPr>
            <w:tcW w:type="dxa" w:w="3009"/>
          </w:tcPr>
          <w:p>
            <w:r>
              <w:t>CFO − CFI</w:t>
            </w:r>
          </w:p>
        </w:tc>
        <w:tc>
          <w:tcPr>
            <w:tcW w:type="dxa" w:w="3009"/>
          </w:tcPr>
          <w:p>
            <w:r>
              <w:t>Kemampuan neto menghasilkan kas</w:t>
            </w:r>
          </w:p>
        </w:tc>
        <w:tc>
          <w:tcPr>
            <w:tcW w:type="dxa" w:w="3009"/>
          </w:tcPr>
          <w:p>
            <w:r>
              <w:t>Bergantung legitimasi investasi</w:t>
            </w:r>
          </w:p>
        </w:tc>
      </w:tr>
      <w:tr>
        <w:tc>
          <w:tcPr>
            <w:tcW w:type="dxa" w:w="3009"/>
          </w:tcPr>
          <w:p>
            <w:r>
              <w:t>FCF</w:t>
            </w:r>
          </w:p>
        </w:tc>
        <w:tc>
          <w:tcPr>
            <w:tcW w:type="dxa" w:w="3009"/>
          </w:tcPr>
          <w:p>
            <w:r>
              <w:t>Kas bebas untuk penyedia modal; dasar valuasi</w:t>
            </w:r>
          </w:p>
        </w:tc>
        <w:tc>
          <w:tcPr>
            <w:tcW w:type="dxa" w:w="3009"/>
          </w:tcPr>
          <w:p>
            <w:r>
              <w:t>Tidak tersedia langsung dari SCF</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