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Rule="exact" w:line="260" w:before="0" w:after="40"/>
        <w:jc w:val="center"/>
      </w:pPr>
      <w:r>
        <w:rPr>
          <w:rFonts w:ascii="Times New Roman" w:hAnsi="Times New Roman" w:cs="Times New Roman"/>
          <w:b/>
          <w:i w:val="0"/>
          <w:sz w:val="28"/>
        </w:rPr>
        <w:t>RINGKASAN MATERI KULIAH (RMK) — PERTEMUAN 9</w:t>
      </w:r>
    </w:p>
    <w:p>
      <w:pPr>
        <w:spacing w:lineRule="exact" w:line="260" w:before="0" w:after="40"/>
        <w:jc w:val="center"/>
      </w:pPr>
      <w:r>
        <w:rPr>
          <w:rFonts w:ascii="Times New Roman" w:hAnsi="Times New Roman" w:cs="Times New Roman"/>
          <w:b w:val="0"/>
          <w:i w:val="0"/>
          <w:sz w:val="24"/>
        </w:rPr>
        <w:t>Pelaporan Keuangan Korporat (MNK202) — Pascasarjana STIE YKPN Yogyakarta</w:t>
      </w:r>
    </w:p>
    <w:p>
      <w:pPr>
        <w:spacing w:lineRule="exact" w:line="260" w:before="0" w:after="40"/>
        <w:jc w:val="center"/>
      </w:pPr>
      <w:r>
        <w:rPr>
          <w:rFonts w:ascii="Times New Roman" w:hAnsi="Times New Roman" w:cs="Times New Roman"/>
          <w:b w:val="0"/>
          <w:i w:val="0"/>
          <w:sz w:val="24"/>
        </w:rPr>
        <w:t>Dzaki Muhammad Yusfian — NIM 1225 01079</w:t>
      </w:r>
    </w:p>
    <w:p>
      <w:pPr>
        <w:spacing w:lineRule="exact" w:line="260" w:before="0" w:after="40"/>
        <w:jc w:val="center"/>
      </w:pPr>
      <w:r>
        <w:rPr>
          <w:rFonts w:ascii="Times New Roman" w:hAnsi="Times New Roman" w:cs="Times New Roman"/>
          <w:b w:val="0"/>
          <w:i/>
          <w:sz w:val="24"/>
        </w:rPr>
        <w:t>The Income Statement</w:t>
      </w:r>
      <w:r>
        <w:rPr>
          <w:rFonts w:ascii="Times New Roman" w:hAnsi="Times New Roman" w:cs="Times New Roman"/>
          <w:b w:val="0"/>
          <w:i w:val="0"/>
          <w:sz w:val="24"/>
        </w:rPr>
        <w:t xml:space="preserve"> — Wolk, H. I., Dodd, J. L., &amp; Rozycki, J. J. (2017). </w:t>
      </w:r>
      <w:r>
        <w:rPr>
          <w:rFonts w:ascii="Times New Roman" w:hAnsi="Times New Roman" w:cs="Times New Roman"/>
          <w:b w:val="0"/>
          <w:i/>
          <w:sz w:val="24"/>
        </w:rPr>
        <w:t>Accounting Theory: Conceptual Issues in a Political and Economic Environment</w:t>
      </w:r>
      <w:r>
        <w:rPr>
          <w:rFonts w:ascii="Times New Roman" w:hAnsi="Times New Roman" w:cs="Times New Roman"/>
          <w:b w:val="0"/>
          <w:i w:val="0"/>
          <w:sz w:val="24"/>
        </w:rPr>
        <w:t xml:space="preserve"> (9th ed., Ch. 12). Sage.</w:t>
      </w:r>
    </w:p>
    <w:p>
      <w:pPr>
        <w:spacing w:lineRule="exact" w:line="260" w:before="0" w:after="200"/>
        <w:jc w:val="both"/>
        <w:pBdr>
          <w:bottom w:val="single" w:sz="8" w:color="000000"/>
        </w:pBdr>
      </w:pPr>
      <w:r>
        <w:rPr>
          <w:rFonts w:ascii="Times New Roman" w:hAnsi="Times New Roman" w:cs="Times New Roman"/>
          <w:b w:val="0"/>
          <w:i w:val="0"/>
          <w:sz w:val="24"/>
        </w:rPr>
      </w:r>
    </w:p>
    <w:p>
      <w:pPr>
        <w:spacing w:lineRule="exact" w:line="260" w:before="120" w:after="80"/>
        <w:jc w:val="left"/>
      </w:pPr>
      <w:r>
        <w:rPr>
          <w:rFonts w:ascii="Times New Roman" w:hAnsi="Times New Roman" w:cs="Times New Roman"/>
          <w:b/>
          <w:i w:val="0"/>
          <w:sz w:val="26"/>
        </w:rPr>
        <w:t>I. Orientasi: Laporan Laba Rugi dalam Teori Akuntansi</w:t>
      </w:r>
    </w:p>
    <w:p>
      <w:pPr>
        <w:spacing w:lineRule="exact" w:line="260" w:before="0" w:after="80"/>
        <w:jc w:val="both"/>
      </w:pPr>
      <w:r>
        <w:rPr>
          <w:rFonts w:ascii="Times New Roman" w:hAnsi="Times New Roman" w:cs="Times New Roman"/>
          <w:b w:val="0"/>
          <w:i w:val="0"/>
          <w:sz w:val="24"/>
        </w:rPr>
        <w:t xml:space="preserve">Dalam arsitektur pelaporan keuangan, </w:t>
      </w:r>
      <w:r>
        <w:rPr>
          <w:rFonts w:ascii="Times New Roman" w:hAnsi="Times New Roman" w:cs="Times New Roman"/>
          <w:b/>
          <w:i w:val="0"/>
          <w:sz w:val="24"/>
        </w:rPr>
        <w:t>laporan laba rugi</w:t>
      </w:r>
      <w:r>
        <w:rPr>
          <w:rFonts w:ascii="Times New Roman" w:hAnsi="Times New Roman" w:cs="Times New Roman"/>
          <w:b w:val="0"/>
          <w:i w:val="0"/>
          <w:sz w:val="24"/>
        </w:rPr>
        <w:t xml:space="preserve"> (</w:t>
      </w:r>
      <w:r>
        <w:rPr>
          <w:rFonts w:ascii="Times New Roman" w:hAnsi="Times New Roman" w:cs="Times New Roman"/>
          <w:b w:val="0"/>
          <w:i/>
          <w:sz w:val="24"/>
        </w:rPr>
        <w:t>income statement</w:t>
      </w:r>
      <w:r>
        <w:rPr>
          <w:rFonts w:ascii="Times New Roman" w:hAnsi="Times New Roman" w:cs="Times New Roman"/>
          <w:b w:val="0"/>
          <w:i w:val="0"/>
          <w:sz w:val="24"/>
        </w:rPr>
        <w:t xml:space="preserve">) tetap menempati posisi sebagai laporan yang fundamental dan tidak tergantikan. Wolk dan kolega menegaskan arti pentingnya justru karena perannya yang ganda: ia menjadi basis bagi prediksi arus kas masa depan sekaligus alat untuk menilai kinerja manajemen (Wolk et al., 2017, PDF hlm. 2). Kedua fungsi ini adalah jantung tema </w:t>
      </w:r>
      <w:r>
        <w:rPr>
          <w:rFonts w:ascii="Times New Roman" w:hAnsi="Times New Roman" w:cs="Times New Roman"/>
          <w:b w:val="0"/>
          <w:i/>
          <w:sz w:val="24"/>
        </w:rPr>
        <w:t>decision usefulness</w:t>
      </w:r>
      <w:r>
        <w:rPr>
          <w:rFonts w:ascii="Times New Roman" w:hAnsi="Times New Roman" w:cs="Times New Roman"/>
          <w:b w:val="0"/>
          <w:i w:val="0"/>
          <w:sz w:val="24"/>
        </w:rPr>
        <w:t xml:space="preserve"> yang menjadi benang merah kursus ini—angka laba berharga sejauh ia membantu investor dan kreditor memproyeksikan kemampuan entitas menghasilkan kas dan menilai </w:t>
      </w:r>
      <w:r>
        <w:rPr>
          <w:rFonts w:ascii="Times New Roman" w:hAnsi="Times New Roman" w:cs="Times New Roman"/>
          <w:b w:val="0"/>
          <w:i/>
          <w:sz w:val="24"/>
        </w:rPr>
        <w:t>stewardship</w:t>
      </w:r>
      <w:r>
        <w:rPr>
          <w:rFonts w:ascii="Times New Roman" w:hAnsi="Times New Roman" w:cs="Times New Roman"/>
          <w:b w:val="0"/>
          <w:i w:val="0"/>
          <w:sz w:val="24"/>
        </w:rPr>
        <w:t xml:space="preserve"> pengelola. Dari teori kontrak dan keagenan, laba juga meredam asimetri informasi antara manajemen dan pihak luar—peran yang sekaligus membuka celah penyalahgunaan.</w:t>
      </w:r>
    </w:p>
    <w:p>
      <w:pPr>
        <w:spacing w:lineRule="exact" w:line="260" w:before="0" w:after="80"/>
        <w:jc w:val="both"/>
      </w:pPr>
      <w:r>
        <w:rPr>
          <w:rFonts w:ascii="Times New Roman" w:hAnsi="Times New Roman" w:cs="Times New Roman"/>
          <w:b w:val="0"/>
          <w:i w:val="0"/>
          <w:sz w:val="24"/>
        </w:rPr>
        <w:t xml:space="preserve">Pemahaman atas laporan laba rugi tak bisa dilepaskan dari konsep </w:t>
      </w:r>
      <w:r>
        <w:rPr>
          <w:rFonts w:ascii="Times New Roman" w:hAnsi="Times New Roman" w:cs="Times New Roman"/>
          <w:b/>
          <w:i w:val="0"/>
          <w:sz w:val="24"/>
        </w:rPr>
        <w:t>artikulasi</w:t>
      </w:r>
      <w:r>
        <w:rPr>
          <w:rFonts w:ascii="Times New Roman" w:hAnsi="Times New Roman" w:cs="Times New Roman"/>
          <w:b w:val="0"/>
          <w:i w:val="0"/>
          <w:sz w:val="24"/>
        </w:rPr>
        <w:t xml:space="preserve"> (</w:t>
      </w:r>
      <w:r>
        <w:rPr>
          <w:rFonts w:ascii="Times New Roman" w:hAnsi="Times New Roman" w:cs="Times New Roman"/>
          <w:b w:val="0"/>
          <w:i/>
          <w:sz w:val="24"/>
        </w:rPr>
        <w:t>articulation</w:t>
      </w:r>
      <w:r>
        <w:rPr>
          <w:rFonts w:ascii="Times New Roman" w:hAnsi="Times New Roman" w:cs="Times New Roman"/>
          <w:b w:val="0"/>
          <w:i w:val="0"/>
          <w:sz w:val="24"/>
        </w:rPr>
        <w:t>), yaitu keterkaitan struktural antara laporan laba rugi dan neraca yang telah dibahas pada Pertemuan VIII (Wolk Bab 11). Bab 12 mengembangkan terminologi dasar—</w:t>
      </w:r>
      <w:r>
        <w:rPr>
          <w:rFonts w:ascii="Times New Roman" w:hAnsi="Times New Roman" w:cs="Times New Roman"/>
          <w:b w:val="0"/>
          <w:i/>
          <w:sz w:val="24"/>
        </w:rPr>
        <w:t>income</w:t>
      </w:r>
      <w:r>
        <w:rPr>
          <w:rFonts w:ascii="Times New Roman" w:hAnsi="Times New Roman" w:cs="Times New Roman"/>
          <w:b w:val="0"/>
          <w:i w:val="0"/>
          <w:sz w:val="24"/>
        </w:rPr>
        <w:t xml:space="preserve">, </w:t>
      </w:r>
      <w:r>
        <w:rPr>
          <w:rFonts w:ascii="Times New Roman" w:hAnsi="Times New Roman" w:cs="Times New Roman"/>
          <w:b w:val="0"/>
          <w:i/>
          <w:sz w:val="24"/>
        </w:rPr>
        <w:t>revenues</w:t>
      </w:r>
      <w:r>
        <w:rPr>
          <w:rFonts w:ascii="Times New Roman" w:hAnsi="Times New Roman" w:cs="Times New Roman"/>
          <w:b w:val="0"/>
          <w:i w:val="0"/>
          <w:sz w:val="24"/>
        </w:rPr>
        <w:t xml:space="preserve">, dan </w:t>
      </w:r>
      <w:r>
        <w:rPr>
          <w:rFonts w:ascii="Times New Roman" w:hAnsi="Times New Roman" w:cs="Times New Roman"/>
          <w:b w:val="0"/>
          <w:i/>
          <w:sz w:val="24"/>
        </w:rPr>
        <w:t>expenses</w:t>
      </w:r>
      <w:r>
        <w:rPr>
          <w:rFonts w:ascii="Times New Roman" w:hAnsi="Times New Roman" w:cs="Times New Roman"/>
          <w:b w:val="0"/>
          <w:i w:val="0"/>
          <w:sz w:val="24"/>
        </w:rPr>
        <w:t xml:space="preserve">—beserta standar pengakuan bagi dua elemen terakhir (Wolk et al., 2017, PDF hlm. 2). Definisi-definisi ini dibingkai dalam ketegangan antara </w:t>
      </w:r>
      <w:r>
        <w:rPr>
          <w:rFonts w:ascii="Times New Roman" w:hAnsi="Times New Roman" w:cs="Times New Roman"/>
          <w:b w:val="0"/>
          <w:i/>
          <w:sz w:val="24"/>
        </w:rPr>
        <w:t>revenue–expense approach</w:t>
      </w:r>
      <w:r>
        <w:rPr>
          <w:rFonts w:ascii="Times New Roman" w:hAnsi="Times New Roman" w:cs="Times New Roman"/>
          <w:b w:val="0"/>
          <w:i w:val="0"/>
          <w:sz w:val="24"/>
        </w:rPr>
        <w:t xml:space="preserve"> dan </w:t>
      </w:r>
      <w:r>
        <w:rPr>
          <w:rFonts w:ascii="Times New Roman" w:hAnsi="Times New Roman" w:cs="Times New Roman"/>
          <w:b w:val="0"/>
          <w:i/>
          <w:sz w:val="24"/>
        </w:rPr>
        <w:t>asset–liability approach</w:t>
      </w:r>
      <w:r>
        <w:rPr>
          <w:rFonts w:ascii="Times New Roman" w:hAnsi="Times New Roman" w:cs="Times New Roman"/>
          <w:b w:val="0"/>
          <w:i w:val="0"/>
          <w:sz w:val="24"/>
        </w:rPr>
        <w:t xml:space="preserve"> yang diwariskan dari kerangka konseptual. Sebaliknya, </w:t>
      </w:r>
      <w:r>
        <w:rPr>
          <w:rFonts w:ascii="Times New Roman" w:hAnsi="Times New Roman" w:cs="Times New Roman"/>
          <w:b w:val="0"/>
          <w:i/>
          <w:sz w:val="24"/>
        </w:rPr>
        <w:t>economic concept of income</w:t>
      </w:r>
      <w:r>
        <w:rPr>
          <w:rFonts w:ascii="Times New Roman" w:hAnsi="Times New Roman" w:cs="Times New Roman"/>
          <w:b w:val="0"/>
          <w:i w:val="0"/>
          <w:sz w:val="24"/>
        </w:rPr>
        <w:t xml:space="preserve"> klasik dan gagasan </w:t>
      </w:r>
      <w:r>
        <w:rPr>
          <w:rFonts w:ascii="Times New Roman" w:hAnsi="Times New Roman" w:cs="Times New Roman"/>
          <w:b w:val="0"/>
          <w:i/>
          <w:sz w:val="24"/>
        </w:rPr>
        <w:t>capital maintenance</w:t>
      </w:r>
      <w:r>
        <w:rPr>
          <w:rFonts w:ascii="Times New Roman" w:hAnsi="Times New Roman" w:cs="Times New Roman"/>
          <w:b w:val="0"/>
          <w:i w:val="0"/>
          <w:sz w:val="24"/>
        </w:rPr>
        <w:t xml:space="preserve"> merupakan ranah bab neraca (Bab 11); di sini keduanya hanya dipanggil sebagai latar belakang.</w:t>
      </w:r>
    </w:p>
    <w:p>
      <w:pPr>
        <w:spacing w:lineRule="exact" w:line="260" w:before="0" w:after="80"/>
        <w:jc w:val="both"/>
      </w:pPr>
      <w:r>
        <w:rPr>
          <w:rFonts w:ascii="Times New Roman" w:hAnsi="Times New Roman" w:cs="Times New Roman"/>
          <w:b w:val="0"/>
          <w:i w:val="0"/>
          <w:sz w:val="24"/>
        </w:rPr>
        <w:t xml:space="preserve">Mengapa angka laba tetap diperjuangkan meski sarat kesulitan pengukuran? Karena dari sudut </w:t>
      </w:r>
      <w:r>
        <w:rPr>
          <w:rFonts w:ascii="Times New Roman" w:hAnsi="Times New Roman" w:cs="Times New Roman"/>
          <w:b w:val="0"/>
          <w:i/>
          <w:sz w:val="24"/>
        </w:rPr>
        <w:t>decision usefulness</w:t>
      </w:r>
      <w:r>
        <w:rPr>
          <w:rFonts w:ascii="Times New Roman" w:hAnsi="Times New Roman" w:cs="Times New Roman"/>
          <w:b w:val="0"/>
          <w:i w:val="0"/>
          <w:sz w:val="24"/>
        </w:rPr>
        <w:t xml:space="preserve">, tidak ada substitut yang lebih ringkas bagi sinyal kinerja periodik; ketidaksempurnaan pengukuran menuntut kehati-hatian, bukan pengabaian (Wolk et al., 2017, PDF hlm. 2). Pilihan antara </w:t>
      </w:r>
      <w:r>
        <w:rPr>
          <w:rFonts w:ascii="Times New Roman" w:hAnsi="Times New Roman" w:cs="Times New Roman"/>
          <w:b w:val="0"/>
          <w:i/>
          <w:sz w:val="24"/>
        </w:rPr>
        <w:t>historical cost</w:t>
      </w:r>
      <w:r>
        <w:rPr>
          <w:rFonts w:ascii="Times New Roman" w:hAnsi="Times New Roman" w:cs="Times New Roman"/>
          <w:b w:val="0"/>
          <w:i w:val="0"/>
          <w:sz w:val="24"/>
        </w:rPr>
        <w:t xml:space="preserve"> yang andal namun kerap usang dan </w:t>
      </w:r>
      <w:r>
        <w:rPr>
          <w:rFonts w:ascii="Times New Roman" w:hAnsi="Times New Roman" w:cs="Times New Roman"/>
          <w:b w:val="0"/>
          <w:i/>
          <w:sz w:val="24"/>
        </w:rPr>
        <w:t>fair value</w:t>
      </w:r>
      <w:r>
        <w:rPr>
          <w:rFonts w:ascii="Times New Roman" w:hAnsi="Times New Roman" w:cs="Times New Roman"/>
          <w:b w:val="0"/>
          <w:i w:val="0"/>
          <w:sz w:val="24"/>
        </w:rPr>
        <w:t xml:space="preserve"> yang relevan namun rentan subjektivitas turut menentukan kesetiaan angka laba terhadap realitas ekonomi.</w:t>
      </w:r>
    </w:p>
    <w:p>
      <w:pPr>
        <w:spacing w:lineRule="exact" w:line="260" w:before="0" w:after="80"/>
        <w:jc w:val="both"/>
      </w:pPr>
      <w:r>
        <w:rPr>
          <w:rFonts w:ascii="Times New Roman" w:hAnsi="Times New Roman" w:cs="Times New Roman"/>
          <w:b w:val="0"/>
          <w:i w:val="0"/>
          <w:sz w:val="24"/>
        </w:rPr>
        <w:t xml:space="preserve">Sebagai peta jalan, bab ini—sebagaimana dirangkum delapan </w:t>
      </w:r>
      <w:r>
        <w:rPr>
          <w:rFonts w:ascii="Times New Roman" w:hAnsi="Times New Roman" w:cs="Times New Roman"/>
          <w:b w:val="0"/>
          <w:i/>
          <w:sz w:val="24"/>
        </w:rPr>
        <w:t>learning objectives</w:t>
      </w:r>
      <w:r>
        <w:rPr>
          <w:rFonts w:ascii="Times New Roman" w:hAnsi="Times New Roman" w:cs="Times New Roman"/>
          <w:b w:val="0"/>
          <w:i w:val="0"/>
          <w:sz w:val="24"/>
        </w:rPr>
        <w:t xml:space="preserve">—menelusuri evolusi definisi </w:t>
      </w:r>
      <w:r>
        <w:rPr>
          <w:rFonts w:ascii="Times New Roman" w:hAnsi="Times New Roman" w:cs="Times New Roman"/>
          <w:b w:val="0"/>
          <w:i/>
          <w:sz w:val="24"/>
        </w:rPr>
        <w:t>revenues</w:t>
      </w:r>
      <w:r>
        <w:rPr>
          <w:rFonts w:ascii="Times New Roman" w:hAnsi="Times New Roman" w:cs="Times New Roman"/>
          <w:b w:val="0"/>
          <w:i w:val="0"/>
          <w:sz w:val="24"/>
        </w:rPr>
        <w:t xml:space="preserve">, </w:t>
      </w:r>
      <w:r>
        <w:rPr>
          <w:rFonts w:ascii="Times New Roman" w:hAnsi="Times New Roman" w:cs="Times New Roman"/>
          <w:b w:val="0"/>
          <w:i/>
          <w:sz w:val="24"/>
        </w:rPr>
        <w:t>expenses</w:t>
      </w:r>
      <w:r>
        <w:rPr>
          <w:rFonts w:ascii="Times New Roman" w:hAnsi="Times New Roman" w:cs="Times New Roman"/>
          <w:b w:val="0"/>
          <w:i w:val="0"/>
          <w:sz w:val="24"/>
        </w:rPr>
        <w:t xml:space="preserve">, </w:t>
      </w:r>
      <w:r>
        <w:rPr>
          <w:rFonts w:ascii="Times New Roman" w:hAnsi="Times New Roman" w:cs="Times New Roman"/>
          <w:b w:val="0"/>
          <w:i/>
          <w:sz w:val="24"/>
        </w:rPr>
        <w:t>gains</w:t>
      </w:r>
      <w:r>
        <w:rPr>
          <w:rFonts w:ascii="Times New Roman" w:hAnsi="Times New Roman" w:cs="Times New Roman"/>
          <w:b w:val="0"/>
          <w:i w:val="0"/>
          <w:sz w:val="24"/>
        </w:rPr>
        <w:t xml:space="preserve">, dan </w:t>
      </w:r>
      <w:r>
        <w:rPr>
          <w:rFonts w:ascii="Times New Roman" w:hAnsi="Times New Roman" w:cs="Times New Roman"/>
          <w:b w:val="0"/>
          <w:i/>
          <w:sz w:val="24"/>
        </w:rPr>
        <w:t>losses</w:t>
      </w:r>
      <w:r>
        <w:rPr>
          <w:rFonts w:ascii="Times New Roman" w:hAnsi="Times New Roman" w:cs="Times New Roman"/>
          <w:b w:val="0"/>
          <w:i w:val="0"/>
          <w:sz w:val="24"/>
        </w:rPr>
        <w:t xml:space="preserve">; peran </w:t>
      </w:r>
      <w:r>
        <w:rPr>
          <w:rFonts w:ascii="Times New Roman" w:hAnsi="Times New Roman" w:cs="Times New Roman"/>
          <w:b w:val="0"/>
          <w:i/>
          <w:sz w:val="24"/>
        </w:rPr>
        <w:t>future events</w:t>
      </w:r>
      <w:r>
        <w:rPr>
          <w:rFonts w:ascii="Times New Roman" w:hAnsi="Times New Roman" w:cs="Times New Roman"/>
          <w:b w:val="0"/>
          <w:i w:val="0"/>
          <w:sz w:val="24"/>
        </w:rPr>
        <w:t xml:space="preserve"> dalam pengakuan; pengorganisasian dan penyajian laporan; </w:t>
      </w:r>
      <w:r>
        <w:rPr>
          <w:rFonts w:ascii="Times New Roman" w:hAnsi="Times New Roman" w:cs="Times New Roman"/>
          <w:b w:val="0"/>
          <w:i/>
          <w:sz w:val="24"/>
        </w:rPr>
        <w:t>comprehensive income</w:t>
      </w:r>
      <w:r>
        <w:rPr>
          <w:rFonts w:ascii="Times New Roman" w:hAnsi="Times New Roman" w:cs="Times New Roman"/>
          <w:b w:val="0"/>
          <w:i w:val="0"/>
          <w:sz w:val="24"/>
        </w:rPr>
        <w:t xml:space="preserve">; </w:t>
      </w:r>
      <w:r>
        <w:rPr>
          <w:rFonts w:ascii="Times New Roman" w:hAnsi="Times New Roman" w:cs="Times New Roman"/>
          <w:b w:val="0"/>
          <w:i/>
          <w:sz w:val="24"/>
        </w:rPr>
        <w:t>earnings per share</w:t>
      </w:r>
      <w:r>
        <w:rPr>
          <w:rFonts w:ascii="Times New Roman" w:hAnsi="Times New Roman" w:cs="Times New Roman"/>
          <w:b w:val="0"/>
          <w:i w:val="0"/>
          <w:sz w:val="24"/>
        </w:rPr>
        <w:t xml:space="preserve">; </w:t>
      </w:r>
      <w:r>
        <w:rPr>
          <w:rFonts w:ascii="Times New Roman" w:hAnsi="Times New Roman" w:cs="Times New Roman"/>
          <w:b w:val="0"/>
          <w:i/>
          <w:sz w:val="24"/>
        </w:rPr>
        <w:t>earnings management</w:t>
      </w:r>
      <w:r>
        <w:rPr>
          <w:rFonts w:ascii="Times New Roman" w:hAnsi="Times New Roman" w:cs="Times New Roman"/>
          <w:b w:val="0"/>
          <w:i w:val="0"/>
          <w:sz w:val="24"/>
        </w:rPr>
        <w:t xml:space="preserve">; kaitan rencana kompensasi manajemen dengan </w:t>
      </w:r>
      <w:r>
        <w:rPr>
          <w:rFonts w:ascii="Times New Roman" w:hAnsi="Times New Roman" w:cs="Times New Roman"/>
          <w:b w:val="0"/>
          <w:i/>
          <w:sz w:val="24"/>
        </w:rPr>
        <w:t>income smoothing</w:t>
      </w:r>
      <w:r>
        <w:rPr>
          <w:rFonts w:ascii="Times New Roman" w:hAnsi="Times New Roman" w:cs="Times New Roman"/>
          <w:b w:val="0"/>
          <w:i w:val="0"/>
          <w:sz w:val="24"/>
        </w:rPr>
        <w:t xml:space="preserve">; serta usulan baru pengukuran laba (Wolk et al., 2017, PDF hlm. 2). Dengan orientasi ini, kita beralih ke Bagian II yang menggali definisi </w:t>
      </w:r>
      <w:r>
        <w:rPr>
          <w:rFonts w:ascii="Times New Roman" w:hAnsi="Times New Roman" w:cs="Times New Roman"/>
          <w:b w:val="0"/>
          <w:i/>
          <w:sz w:val="24"/>
        </w:rPr>
        <w:t>income</w:t>
      </w:r>
      <w:r>
        <w:rPr>
          <w:rFonts w:ascii="Times New Roman" w:hAnsi="Times New Roman" w:cs="Times New Roman"/>
          <w:b w:val="0"/>
          <w:i w:val="0"/>
          <w:sz w:val="24"/>
        </w:rPr>
        <w:t xml:space="preserve"> dan elemen-elemennya.</w:t>
      </w:r>
    </w:p>
    <w:p>
      <w:pPr>
        <w:spacing w:lineRule="exact" w:line="260" w:before="120" w:after="80"/>
        <w:jc w:val="left"/>
      </w:pPr>
      <w:r>
        <w:rPr>
          <w:rFonts w:ascii="Times New Roman" w:hAnsi="Times New Roman" w:cs="Times New Roman"/>
          <w:b/>
          <w:i w:val="0"/>
          <w:sz w:val="26"/>
        </w:rPr>
        <w:t>II. Definisi Income dan Elemen-elemennya</w:t>
      </w:r>
    </w:p>
    <w:p>
      <w:pPr>
        <w:spacing w:lineRule="exact" w:line="260" w:before="0" w:after="80"/>
        <w:jc w:val="both"/>
      </w:pPr>
      <w:r>
        <w:rPr>
          <w:rFonts w:ascii="Times New Roman" w:hAnsi="Times New Roman" w:cs="Times New Roman"/>
          <w:b w:val="0"/>
          <w:i w:val="0"/>
          <w:sz w:val="24"/>
        </w:rPr>
        <w:t xml:space="preserve">Sebelum mempersoalkan kapan dan berapa besar laba diakui, teori akuntansi menuntut kejernihan tentang </w:t>
      </w:r>
      <w:r>
        <w:rPr>
          <w:rFonts w:ascii="Times New Roman" w:hAnsi="Times New Roman" w:cs="Times New Roman"/>
          <w:b w:val="0"/>
          <w:i/>
          <w:sz w:val="24"/>
        </w:rPr>
        <w:t>apa</w:t>
      </w:r>
      <w:r>
        <w:rPr>
          <w:rFonts w:ascii="Times New Roman" w:hAnsi="Times New Roman" w:cs="Times New Roman"/>
          <w:b w:val="0"/>
          <w:i w:val="0"/>
          <w:sz w:val="24"/>
        </w:rPr>
        <w:t xml:space="preserve"> yang diukur. Wolk dan kolega mencatat empat definisi formal </w:t>
      </w:r>
      <w:r>
        <w:rPr>
          <w:rFonts w:ascii="Times New Roman" w:hAnsi="Times New Roman" w:cs="Times New Roman"/>
          <w:b/>
          <w:i w:val="0"/>
          <w:sz w:val="24"/>
        </w:rPr>
        <w:t>accounting income</w:t>
      </w:r>
      <w:r>
        <w:rPr>
          <w:rFonts w:ascii="Times New Roman" w:hAnsi="Times New Roman" w:cs="Times New Roman"/>
          <w:b w:val="0"/>
          <w:i w:val="0"/>
          <w:sz w:val="24"/>
        </w:rPr>
        <w:t xml:space="preserve"> yang masing-masing mencerminkan paradigma berbeda (Wolk et al., 2017, PDF hlm. 2). Dua definisi terdahulu—dari </w:t>
      </w:r>
      <w:r>
        <w:rPr>
          <w:rFonts w:ascii="Times New Roman" w:hAnsi="Times New Roman" w:cs="Times New Roman"/>
          <w:b w:val="0"/>
          <w:i/>
          <w:sz w:val="24"/>
        </w:rPr>
        <w:t>Accounting Terminology Bulletin</w:t>
      </w:r>
      <w:r>
        <w:rPr>
          <w:rFonts w:ascii="Times New Roman" w:hAnsi="Times New Roman" w:cs="Times New Roman"/>
          <w:b w:val="0"/>
          <w:i w:val="0"/>
          <w:sz w:val="24"/>
        </w:rPr>
        <w:t xml:space="preserve"> (ATB) 2 dan </w:t>
      </w:r>
      <w:r>
        <w:rPr>
          <w:rFonts w:ascii="Times New Roman" w:hAnsi="Times New Roman" w:cs="Times New Roman"/>
          <w:b w:val="0"/>
          <w:i/>
          <w:sz w:val="24"/>
        </w:rPr>
        <w:t>Accounting Principles Board</w:t>
      </w:r>
      <w:r>
        <w:rPr>
          <w:rFonts w:ascii="Times New Roman" w:hAnsi="Times New Roman" w:cs="Times New Roman"/>
          <w:b w:val="0"/>
          <w:i w:val="0"/>
          <w:sz w:val="24"/>
        </w:rPr>
        <w:t xml:space="preserve"> (APB) Statement 4—merumuskan laba sebagai kelebihan </w:t>
      </w:r>
      <w:r>
        <w:rPr>
          <w:rFonts w:ascii="Times New Roman" w:hAnsi="Times New Roman" w:cs="Times New Roman"/>
          <w:b w:val="0"/>
          <w:i/>
          <w:sz w:val="24"/>
        </w:rPr>
        <w:t>revenues</w:t>
      </w:r>
      <w:r>
        <w:rPr>
          <w:rFonts w:ascii="Times New Roman" w:hAnsi="Times New Roman" w:cs="Times New Roman"/>
          <w:b w:val="0"/>
          <w:i w:val="0"/>
          <w:sz w:val="24"/>
        </w:rPr>
        <w:t xml:space="preserve"> atas beban dan kerugian dalam suatu periode. Definisi semacam ini adalah perwujudan murni </w:t>
      </w:r>
      <w:r>
        <w:rPr>
          <w:rFonts w:ascii="Times New Roman" w:hAnsi="Times New Roman" w:cs="Times New Roman"/>
          <w:b/>
          <w:i w:val="0"/>
          <w:sz w:val="24"/>
        </w:rPr>
        <w:t>revenue–expense approach</w:t>
      </w:r>
      <w:r>
        <w:rPr>
          <w:rFonts w:ascii="Times New Roman" w:hAnsi="Times New Roman" w:cs="Times New Roman"/>
          <w:b w:val="0"/>
          <w:i w:val="0"/>
          <w:sz w:val="24"/>
        </w:rPr>
        <w:t>: sistem akuntansi mendefinisikan pendapatan dan beban beserta aturan pengakuan-pengukurannya, sementara neraca menjadi residu dari proses penandingan.</w:t>
      </w:r>
    </w:p>
    <w:p>
      <w:pPr>
        <w:spacing w:lineRule="exact" w:line="260" w:before="0" w:after="80"/>
        <w:jc w:val="both"/>
      </w:pPr>
      <w:r>
        <w:rPr>
          <w:rFonts w:ascii="Times New Roman" w:hAnsi="Times New Roman" w:cs="Times New Roman"/>
          <w:b w:val="0"/>
          <w:i w:val="0"/>
          <w:sz w:val="24"/>
        </w:rPr>
        <w:t xml:space="preserve">Pergeseran terjadi pada definisi ketiga, dari </w:t>
      </w:r>
      <w:r>
        <w:rPr>
          <w:rFonts w:ascii="Times New Roman" w:hAnsi="Times New Roman" w:cs="Times New Roman"/>
          <w:b w:val="0"/>
          <w:i/>
          <w:sz w:val="24"/>
        </w:rPr>
        <w:t>Statement of Financial Accounting Concept</w:t>
      </w:r>
      <w:r>
        <w:rPr>
          <w:rFonts w:ascii="Times New Roman" w:hAnsi="Times New Roman" w:cs="Times New Roman"/>
          <w:b w:val="0"/>
          <w:i w:val="0"/>
          <w:sz w:val="24"/>
        </w:rPr>
        <w:t xml:space="preserve"> (SFAC) No. 6, yang memperkenalkan </w:t>
      </w:r>
      <w:r>
        <w:rPr>
          <w:rFonts w:ascii="Times New Roman" w:hAnsi="Times New Roman" w:cs="Times New Roman"/>
          <w:b/>
          <w:i w:val="0"/>
          <w:sz w:val="24"/>
        </w:rPr>
        <w:t>comprehensive income</w:t>
      </w:r>
      <w:r>
        <w:rPr>
          <w:rFonts w:ascii="Times New Roman" w:hAnsi="Times New Roman" w:cs="Times New Roman"/>
          <w:b w:val="0"/>
          <w:i w:val="0"/>
          <w:sz w:val="24"/>
        </w:rPr>
        <w:t xml:space="preserve">—perubahan ekuitas (aset neto) entitas selama satu periode dari transaksi serta peristiwa ekonomi dari sumber nonpemilik. Definisi keempat, dari </w:t>
      </w:r>
      <w:r>
        <w:rPr>
          <w:rFonts w:ascii="Times New Roman" w:hAnsi="Times New Roman" w:cs="Times New Roman"/>
          <w:b w:val="0"/>
          <w:i/>
          <w:sz w:val="24"/>
        </w:rPr>
        <w:t>FASB Accounting Standards Codification</w:t>
      </w:r>
      <w:r>
        <w:rPr>
          <w:rFonts w:ascii="Times New Roman" w:hAnsi="Times New Roman" w:cs="Times New Roman"/>
          <w:b w:val="0"/>
          <w:i w:val="0"/>
          <w:sz w:val="24"/>
        </w:rPr>
        <w:t xml:space="preserve">, menegaskan kembali tujuan tersebut. Keduanya menandai perpindahan tegas ke </w:t>
      </w:r>
      <w:r>
        <w:rPr>
          <w:rFonts w:ascii="Times New Roman" w:hAnsi="Times New Roman" w:cs="Times New Roman"/>
          <w:b/>
          <w:i w:val="0"/>
          <w:sz w:val="24"/>
        </w:rPr>
        <w:t>asset–liability approach</w:t>
      </w:r>
      <w:r>
        <w:rPr>
          <w:rFonts w:ascii="Times New Roman" w:hAnsi="Times New Roman" w:cs="Times New Roman"/>
          <w:b w:val="0"/>
          <w:i w:val="0"/>
          <w:sz w:val="24"/>
        </w:rPr>
        <w:t xml:space="preserve">, di mana laba diturunkan dari perubahan aset dan liabilitas yang diukur independen—arah yang ditempuh FASB maupun IASB (Wolk et al., 2017, PDF hlm. 2). Pergeseran ini memindahkan jangkar konseptual laba dari aliran transaksi periodik ke valuasi neraca, mendekatkan angka laba pada </w:t>
      </w:r>
      <w:r>
        <w:rPr>
          <w:rFonts w:ascii="Times New Roman" w:hAnsi="Times New Roman" w:cs="Times New Roman"/>
          <w:b w:val="0"/>
          <w:i/>
          <w:sz w:val="24"/>
        </w:rPr>
        <w:t>fair value</w:t>
      </w:r>
      <w:r>
        <w:rPr>
          <w:rFonts w:ascii="Times New Roman" w:hAnsi="Times New Roman" w:cs="Times New Roman"/>
          <w:b w:val="0"/>
          <w:i w:val="0"/>
          <w:sz w:val="24"/>
        </w:rPr>
        <w:t xml:space="preserve"> dan menjauhkannya dari ortodoksi </w:t>
      </w:r>
      <w:r>
        <w:rPr>
          <w:rFonts w:ascii="Times New Roman" w:hAnsi="Times New Roman" w:cs="Times New Roman"/>
          <w:b w:val="0"/>
          <w:i/>
          <w:sz w:val="24"/>
        </w:rPr>
        <w:t>historical cost</w:t>
      </w:r>
      <w:r>
        <w:rPr>
          <w:rFonts w:ascii="Times New Roman" w:hAnsi="Times New Roman" w:cs="Times New Roman"/>
          <w:b w:val="0"/>
          <w:i w:val="0"/>
          <w:sz w:val="24"/>
        </w:rPr>
        <w:t>.</w:t>
      </w:r>
    </w:p>
    <w:p>
      <w:pPr>
        <w:spacing w:lineRule="exact" w:line="260" w:before="0" w:after="0"/>
        <w:jc w:val="center"/>
      </w:pPr>
      <w:r>
        <w:rPr>
          <w:rFonts w:ascii="Times New Roman" w:hAnsi="Times New Roman" w:cs="Times New Roman"/>
          <w:b/>
          <w:i w:val="0"/>
          <w:sz w:val="22"/>
        </w:rPr>
        <w:t xml:space="preserve">Tabel 1. </w:t>
      </w:r>
      <w:r>
        <w:rPr>
          <w:rFonts w:ascii="Times New Roman" w:hAnsi="Times New Roman" w:cs="Times New Roman"/>
          <w:b w:val="0"/>
          <w:i w:val="0"/>
          <w:sz w:val="22"/>
        </w:rPr>
        <w:t>Evolusi definisi elemen laba lintas badan penyusun standar</w:t>
      </w:r>
    </w:p>
    <w:p>
      <w:pPr>
        <w:spacing w:lineRule="exact" w:line="260" w:before="0" w:after="80"/>
        <w:jc w:val="center"/>
      </w:pPr>
      <w:r>
        <w:rPr>
          <w:rFonts w:ascii="Times New Roman" w:hAnsi="Times New Roman" w:cs="Times New Roman"/>
          <w:b w:val="0"/>
          <w:i/>
          <w:sz w:val="22"/>
        </w:rPr>
        <w:t>Sumber: diolah dari Wolk et al. (2017), PDF hlm. 2–7</w:t>
      </w:r>
    </w:p>
    <w:tbl>
      <w:tblPr>
        <w:tblStyle w:val="TableGrid"/>
        <w:tblW w:type="auto" w:w="0"/>
        <w:jc w:val="center"/>
        <w:tblLook w:firstColumn="1" w:firstRow="1" w:lastColumn="0" w:lastRow="0" w:noHBand="0" w:noVBand="1" w:val="04A0"/>
      </w:tblPr>
      <w:tblGrid>
        <w:gridCol w:w="2835"/>
        <w:gridCol w:w="2835"/>
        <w:gridCol w:w="2835"/>
      </w:tblGrid>
      <w:tr>
        <w:tc>
          <w:tcPr>
            <w:tcW w:type="dxa" w:w="1814"/>
          </w:tcPr>
          <w:p>
            <w:r/>
            <w:r>
              <w:rPr>
                <w:rFonts w:ascii="Times New Roman" w:hAnsi="Times New Roman" w:cs="Times New Roman"/>
                <w:b/>
                <w:i w:val="0"/>
                <w:sz w:val="22"/>
              </w:rPr>
              <w:t>Sumber</w:t>
            </w:r>
          </w:p>
        </w:tc>
        <w:tc>
          <w:tcPr>
            <w:tcW w:type="dxa" w:w="4535"/>
          </w:tcPr>
          <w:p>
            <w:r/>
            <w:r>
              <w:rPr>
                <w:rFonts w:ascii="Times New Roman" w:hAnsi="Times New Roman" w:cs="Times New Roman"/>
                <w:b/>
                <w:i w:val="0"/>
                <w:sz w:val="22"/>
              </w:rPr>
              <w:t>Inti definisi</w:t>
            </w:r>
          </w:p>
        </w:tc>
        <w:tc>
          <w:tcPr>
            <w:tcW w:type="dxa" w:w="2154"/>
          </w:tcPr>
          <w:p>
            <w:r/>
            <w:r>
              <w:rPr>
                <w:rFonts w:ascii="Times New Roman" w:hAnsi="Times New Roman" w:cs="Times New Roman"/>
                <w:b/>
                <w:i w:val="0"/>
                <w:sz w:val="22"/>
              </w:rPr>
              <w:t>Orientasi</w:t>
            </w:r>
          </w:p>
        </w:tc>
      </w:tr>
      <w:tr>
        <w:tc>
          <w:tcPr>
            <w:tcW w:type="dxa" w:w="1814"/>
          </w:tcPr>
          <w:p>
            <w:pPr>
              <w:spacing w:lineRule="exact" w:line="240"/>
            </w:pPr>
            <w:r/>
            <w:r>
              <w:rPr>
                <w:rFonts w:ascii="Times New Roman" w:hAnsi="Times New Roman" w:cs="Times New Roman"/>
                <w:b w:val="0"/>
                <w:i w:val="0"/>
                <w:sz w:val="22"/>
              </w:rPr>
              <w:t>ATB 2 / ATB 4 (AICPA)</w:t>
            </w:r>
          </w:p>
        </w:tc>
        <w:tc>
          <w:tcPr>
            <w:tcW w:type="dxa" w:w="4535"/>
          </w:tcPr>
          <w:p>
            <w:pPr>
              <w:spacing w:lineRule="exact" w:line="240"/>
            </w:pPr>
            <w:r/>
            <w:r>
              <w:rPr>
                <w:rFonts w:ascii="Times New Roman" w:hAnsi="Times New Roman" w:cs="Times New Roman"/>
                <w:b w:val="0"/>
                <w:i w:val="0"/>
                <w:sz w:val="22"/>
              </w:rPr>
              <w:t>Income: hasil pengurangan revenues oleh COGS, beban lain, dan losses. Revenue: hasil penjualan barang/jasa, diukur dari harga yang dibebankan ke pelanggan. Expense: semua expired costs yang dapat dikurangkan dari revenues.</w:t>
            </w:r>
          </w:p>
        </w:tc>
        <w:tc>
          <w:tcPr>
            <w:tcW w:type="dxa" w:w="2154"/>
          </w:tcPr>
          <w:p>
            <w:pPr>
              <w:spacing w:lineRule="exact" w:line="240"/>
            </w:pPr>
            <w:r/>
            <w:r>
              <w:rPr>
                <w:rFonts w:ascii="Times New Roman" w:hAnsi="Times New Roman" w:cs="Times New Roman"/>
                <w:b w:val="0"/>
                <w:i w:val="0"/>
                <w:sz w:val="22"/>
              </w:rPr>
              <w:t>Revenue–expense</w:t>
            </w:r>
          </w:p>
        </w:tc>
      </w:tr>
      <w:tr>
        <w:tc>
          <w:tcPr>
            <w:tcW w:type="dxa" w:w="1814"/>
          </w:tcPr>
          <w:p>
            <w:pPr>
              <w:spacing w:lineRule="exact" w:line="240"/>
            </w:pPr>
            <w:r/>
            <w:r>
              <w:rPr>
                <w:rFonts w:ascii="Times New Roman" w:hAnsi="Times New Roman" w:cs="Times New Roman"/>
                <w:b w:val="0"/>
                <w:i w:val="0"/>
                <w:sz w:val="22"/>
              </w:rPr>
              <w:t>APB Statement 4</w:t>
            </w:r>
          </w:p>
        </w:tc>
        <w:tc>
          <w:tcPr>
            <w:tcW w:type="dxa" w:w="4535"/>
          </w:tcPr>
          <w:p>
            <w:pPr>
              <w:spacing w:lineRule="exact" w:line="240"/>
            </w:pPr>
            <w:r/>
            <w:r>
              <w:rPr>
                <w:rFonts w:ascii="Times New Roman" w:hAnsi="Times New Roman" w:cs="Times New Roman"/>
                <w:b w:val="0"/>
                <w:i w:val="0"/>
                <w:sz w:val="22"/>
              </w:rPr>
              <w:t>Net income: selisih revenues atas expenses satu periode. Revenue: kenaikan bruto aset / penurunan bruto liabilitas dari aktivitas berorientasi laba, diukur sesuai GAAP. Expense: penurunan bruto aset / kenaikan bruto liabilitas dari aktivitas berorientasi laba.</w:t>
            </w:r>
          </w:p>
        </w:tc>
        <w:tc>
          <w:tcPr>
            <w:tcW w:type="dxa" w:w="2154"/>
          </w:tcPr>
          <w:p>
            <w:pPr>
              <w:spacing w:lineRule="exact" w:line="240"/>
            </w:pPr>
            <w:r/>
            <w:r>
              <w:rPr>
                <w:rFonts w:ascii="Times New Roman" w:hAnsi="Times New Roman" w:cs="Times New Roman"/>
                <w:b w:val="0"/>
                <w:i w:val="0"/>
                <w:sz w:val="22"/>
              </w:rPr>
              <w:t>Transisi: bentuk asset–liability, pengukuran masih revenue–expense</w:t>
            </w:r>
          </w:p>
        </w:tc>
      </w:tr>
      <w:tr>
        <w:tc>
          <w:tcPr>
            <w:tcW w:type="dxa" w:w="1814"/>
          </w:tcPr>
          <w:p>
            <w:pPr>
              <w:spacing w:lineRule="exact" w:line="240"/>
            </w:pPr>
            <w:r/>
            <w:r>
              <w:rPr>
                <w:rFonts w:ascii="Times New Roman" w:hAnsi="Times New Roman" w:cs="Times New Roman"/>
                <w:b w:val="0"/>
                <w:i w:val="0"/>
                <w:sz w:val="22"/>
              </w:rPr>
              <w:t>SFAC No. 6</w:t>
            </w:r>
          </w:p>
        </w:tc>
        <w:tc>
          <w:tcPr>
            <w:tcW w:type="dxa" w:w="4535"/>
          </w:tcPr>
          <w:p>
            <w:pPr>
              <w:spacing w:lineRule="exact" w:line="240"/>
            </w:pPr>
            <w:r/>
            <w:r>
              <w:rPr>
                <w:rFonts w:ascii="Times New Roman" w:hAnsi="Times New Roman" w:cs="Times New Roman"/>
                <w:b w:val="0"/>
                <w:i w:val="0"/>
                <w:sz w:val="22"/>
              </w:rPr>
              <w:t>Comprehensive income: perubahan ekuitas (aset bersih) dari transaksi dan peristiwa non-pemilik. Revenue: arus masuk / peningkatan aset atau penyelesaian liabilitas dari operasi utama berkelanjutan. Expense: arus keluar / pemakaian aset atau timbulnya liabilitas dari operasi utama.</w:t>
            </w:r>
          </w:p>
        </w:tc>
        <w:tc>
          <w:tcPr>
            <w:tcW w:type="dxa" w:w="2154"/>
          </w:tcPr>
          <w:p>
            <w:pPr>
              <w:spacing w:lineRule="exact" w:line="240"/>
            </w:pPr>
            <w:r/>
            <w:r>
              <w:rPr>
                <w:rFonts w:ascii="Times New Roman" w:hAnsi="Times New Roman" w:cs="Times New Roman"/>
                <w:b w:val="0"/>
                <w:i w:val="0"/>
                <w:sz w:val="22"/>
              </w:rPr>
              <w:t>Asset–liability</w:t>
            </w:r>
          </w:p>
        </w:tc>
      </w:tr>
      <w:tr>
        <w:tc>
          <w:tcPr>
            <w:tcW w:type="dxa" w:w="1814"/>
          </w:tcPr>
          <w:p>
            <w:pPr>
              <w:spacing w:lineRule="exact" w:line="240"/>
            </w:pPr>
            <w:r/>
            <w:r>
              <w:rPr>
                <w:rFonts w:ascii="Times New Roman" w:hAnsi="Times New Roman" w:cs="Times New Roman"/>
                <w:b w:val="0"/>
                <w:i w:val="0"/>
                <w:sz w:val="22"/>
              </w:rPr>
              <w:t>FASB Codification</w:t>
            </w:r>
          </w:p>
        </w:tc>
        <w:tc>
          <w:tcPr>
            <w:tcW w:type="dxa" w:w="4535"/>
          </w:tcPr>
          <w:p>
            <w:pPr>
              <w:spacing w:lineRule="exact" w:line="240"/>
            </w:pPr>
            <w:r/>
            <w:r>
              <w:rPr>
                <w:rFonts w:ascii="Times New Roman" w:hAnsi="Times New Roman" w:cs="Times New Roman"/>
                <w:b w:val="0"/>
                <w:i w:val="0"/>
                <w:sz w:val="22"/>
              </w:rPr>
              <w:t>Tujuan pelaporan comprehensive income: mengukur seluruh perubahan ekuitas dari transaksi non-pemilik yang diakui pada periode itu.</w:t>
            </w:r>
          </w:p>
        </w:tc>
        <w:tc>
          <w:tcPr>
            <w:tcW w:type="dxa" w:w="2154"/>
          </w:tcPr>
          <w:p>
            <w:pPr>
              <w:spacing w:lineRule="exact" w:line="240"/>
            </w:pPr>
            <w:r/>
            <w:r>
              <w:rPr>
                <w:rFonts w:ascii="Times New Roman" w:hAnsi="Times New Roman" w:cs="Times New Roman"/>
                <w:b w:val="0"/>
                <w:i w:val="0"/>
                <w:sz w:val="22"/>
              </w:rPr>
              <w:t>Asset–liability (penegasan)</w:t>
            </w:r>
          </w:p>
        </w:tc>
      </w:tr>
    </w:tbl>
    <w:p>
      <w:pPr>
        <w:spacing w:lineRule="exact" w:line="260" w:before="0" w:after="80"/>
        <w:jc w:val="both"/>
      </w:pPr>
      <w:r>
        <w:rPr>
          <w:rFonts w:ascii="Times New Roman" w:hAnsi="Times New Roman" w:cs="Times New Roman"/>
          <w:b w:val="0"/>
          <w:i w:val="0"/>
          <w:sz w:val="24"/>
        </w:rPr>
        <w:t xml:space="preserve">Logika yang sama berulang pada elemen pembentuknya. </w:t>
      </w:r>
      <w:r>
        <w:rPr>
          <w:rFonts w:ascii="Times New Roman" w:hAnsi="Times New Roman" w:cs="Times New Roman"/>
          <w:b/>
          <w:i w:val="0"/>
          <w:sz w:val="24"/>
        </w:rPr>
        <w:t>Revenues</w:t>
      </w:r>
      <w:r>
        <w:rPr>
          <w:rFonts w:ascii="Times New Roman" w:hAnsi="Times New Roman" w:cs="Times New Roman"/>
          <w:b w:val="0"/>
          <w:i w:val="0"/>
          <w:sz w:val="24"/>
        </w:rPr>
        <w:t xml:space="preserve"> didefinisikan dalam tiga rumusan: ATB 2 memandangnya sebagai hasil penjualan barang dan jasa yang diukur dari beban yang dibebankan kepada pelanggan; APB Statement 4 sebagai kenaikan kotor aset dari aktivitas berorientasi laba—tampak bergeser ke aset, namun karena pengukurannya bersandar pada </w:t>
      </w:r>
      <w:r>
        <w:rPr>
          <w:rFonts w:ascii="Times New Roman" w:hAnsi="Times New Roman" w:cs="Times New Roman"/>
          <w:b w:val="0"/>
          <w:i/>
          <w:sz w:val="24"/>
        </w:rPr>
        <w:t>generally accepted accounting principles</w:t>
      </w:r>
      <w:r>
        <w:rPr>
          <w:rFonts w:ascii="Times New Roman" w:hAnsi="Times New Roman" w:cs="Times New Roman"/>
          <w:b w:val="0"/>
          <w:i w:val="0"/>
          <w:sz w:val="24"/>
        </w:rPr>
        <w:t xml:space="preserve">, hakikatnya masih </w:t>
      </w:r>
      <w:r>
        <w:rPr>
          <w:rFonts w:ascii="Times New Roman" w:hAnsi="Times New Roman" w:cs="Times New Roman"/>
          <w:b w:val="0"/>
          <w:i/>
          <w:sz w:val="24"/>
        </w:rPr>
        <w:t>revenue–expense approach</w:t>
      </w:r>
      <w:r>
        <w:rPr>
          <w:rFonts w:ascii="Times New Roman" w:hAnsi="Times New Roman" w:cs="Times New Roman"/>
          <w:b w:val="0"/>
          <w:i w:val="0"/>
          <w:sz w:val="24"/>
        </w:rPr>
        <w:t xml:space="preserve">; baru SFAC No. 6 mendefinisikannya sebagai kenaikan aset neto, konsisten dengan </w:t>
      </w:r>
      <w:r>
        <w:rPr>
          <w:rFonts w:ascii="Times New Roman" w:hAnsi="Times New Roman" w:cs="Times New Roman"/>
          <w:b w:val="0"/>
          <w:i/>
          <w:sz w:val="24"/>
        </w:rPr>
        <w:t>comprehensive income</w:t>
      </w:r>
      <w:r>
        <w:rPr>
          <w:rFonts w:ascii="Times New Roman" w:hAnsi="Times New Roman" w:cs="Times New Roman"/>
          <w:b w:val="0"/>
          <w:i w:val="0"/>
          <w:sz w:val="24"/>
        </w:rPr>
        <w:t xml:space="preserve"> (Wolk et al., 2017, PDF hlm. 3). Secara metodologis, ketiga definisi ini mencampuradukkan isu pengakuan ke dalam definisi. Padahal </w:t>
      </w:r>
      <w:r>
        <w:rPr>
          <w:rFonts w:ascii="Times New Roman" w:hAnsi="Times New Roman" w:cs="Times New Roman"/>
          <w:b/>
          <w:i w:val="0"/>
          <w:sz w:val="24"/>
        </w:rPr>
        <w:t>definisi</w:t>
      </w:r>
      <w:r>
        <w:rPr>
          <w:rFonts w:ascii="Times New Roman" w:hAnsi="Times New Roman" w:cs="Times New Roman"/>
          <w:b w:val="0"/>
          <w:i w:val="0"/>
          <w:sz w:val="24"/>
        </w:rPr>
        <w:t xml:space="preserve"> harus dijaga terpisah dari </w:t>
      </w:r>
      <w:r>
        <w:rPr>
          <w:rFonts w:ascii="Times New Roman" w:hAnsi="Times New Roman" w:cs="Times New Roman"/>
          <w:b/>
          <w:i w:val="0"/>
          <w:sz w:val="24"/>
        </w:rPr>
        <w:t>pengakuan</w:t>
      </w:r>
      <w:r>
        <w:rPr>
          <w:rFonts w:ascii="Times New Roman" w:hAnsi="Times New Roman" w:cs="Times New Roman"/>
          <w:b w:val="0"/>
          <w:i w:val="0"/>
          <w:sz w:val="24"/>
        </w:rPr>
        <w:t xml:space="preserve"> (</w:t>
      </w:r>
      <w:r>
        <w:rPr>
          <w:rFonts w:ascii="Times New Roman" w:hAnsi="Times New Roman" w:cs="Times New Roman"/>
          <w:b w:val="0"/>
          <w:i/>
          <w:sz w:val="24"/>
        </w:rPr>
        <w:t>recognition</w:t>
      </w:r>
      <w:r>
        <w:rPr>
          <w:rFonts w:ascii="Times New Roman" w:hAnsi="Times New Roman" w:cs="Times New Roman"/>
          <w:b w:val="0"/>
          <w:i w:val="0"/>
          <w:sz w:val="24"/>
        </w:rPr>
        <w:t xml:space="preserve">) dan </w:t>
      </w:r>
      <w:r>
        <w:rPr>
          <w:rFonts w:ascii="Times New Roman" w:hAnsi="Times New Roman" w:cs="Times New Roman"/>
          <w:b/>
          <w:i w:val="0"/>
          <w:sz w:val="24"/>
        </w:rPr>
        <w:t>pengukuran</w:t>
      </w:r>
      <w:r>
        <w:rPr>
          <w:rFonts w:ascii="Times New Roman" w:hAnsi="Times New Roman" w:cs="Times New Roman"/>
          <w:b w:val="0"/>
          <w:i w:val="0"/>
          <w:sz w:val="24"/>
        </w:rPr>
        <w:t xml:space="preserve"> (</w:t>
      </w:r>
      <w:r>
        <w:rPr>
          <w:rFonts w:ascii="Times New Roman" w:hAnsi="Times New Roman" w:cs="Times New Roman"/>
          <w:b w:val="0"/>
          <w:i/>
          <w:sz w:val="24"/>
        </w:rPr>
        <w:t>measurement</w:t>
      </w:r>
      <w:r>
        <w:rPr>
          <w:rFonts w:ascii="Times New Roman" w:hAnsi="Times New Roman" w:cs="Times New Roman"/>
          <w:b w:val="0"/>
          <w:i w:val="0"/>
          <w:sz w:val="24"/>
        </w:rPr>
        <w:t xml:space="preserve">): pertanyaan kapan dan berapa nilai yang diakui dapat mengaburkan pertanyaan mendasar tentang </w:t>
      </w:r>
      <w:r>
        <w:rPr>
          <w:rFonts w:ascii="Times New Roman" w:hAnsi="Times New Roman" w:cs="Times New Roman"/>
          <w:b w:val="0"/>
          <w:i/>
          <w:sz w:val="24"/>
        </w:rPr>
        <w:t>apa</w:t>
      </w:r>
      <w:r>
        <w:rPr>
          <w:rFonts w:ascii="Times New Roman" w:hAnsi="Times New Roman" w:cs="Times New Roman"/>
          <w:b w:val="0"/>
          <w:i w:val="0"/>
          <w:sz w:val="24"/>
        </w:rPr>
        <w:t xml:space="preserve"> yang diukur. Kedisiplinan memisahkan ketiga lapisan inilah yang menjaga koherensi teori dan menjadi prasyarat Bagian III.</w:t>
      </w:r>
    </w:p>
    <w:p>
      <w:pPr>
        <w:spacing w:lineRule="exact" w:line="260" w:before="0" w:after="80"/>
        <w:jc w:val="both"/>
      </w:pPr>
      <w:r>
        <w:rPr>
          <w:rFonts w:ascii="Times New Roman" w:hAnsi="Times New Roman" w:cs="Times New Roman"/>
          <w:b w:val="0"/>
          <w:i w:val="0"/>
          <w:sz w:val="24"/>
        </w:rPr>
        <w:t xml:space="preserve">Di samping </w:t>
      </w:r>
      <w:r>
        <w:rPr>
          <w:rFonts w:ascii="Times New Roman" w:hAnsi="Times New Roman" w:cs="Times New Roman"/>
          <w:b w:val="0"/>
          <w:i/>
          <w:sz w:val="24"/>
        </w:rPr>
        <w:t>revenues</w:t>
      </w:r>
      <w:r>
        <w:rPr>
          <w:rFonts w:ascii="Times New Roman" w:hAnsi="Times New Roman" w:cs="Times New Roman"/>
          <w:b w:val="0"/>
          <w:i w:val="0"/>
          <w:sz w:val="24"/>
        </w:rPr>
        <w:t xml:space="preserve"> berdiri </w:t>
      </w:r>
      <w:r>
        <w:rPr>
          <w:rFonts w:ascii="Times New Roman" w:hAnsi="Times New Roman" w:cs="Times New Roman"/>
          <w:b/>
          <w:i w:val="0"/>
          <w:sz w:val="24"/>
        </w:rPr>
        <w:t>gains</w:t>
      </w:r>
      <w:r>
        <w:rPr>
          <w:rFonts w:ascii="Times New Roman" w:hAnsi="Times New Roman" w:cs="Times New Roman"/>
          <w:b w:val="0"/>
          <w:i w:val="0"/>
          <w:sz w:val="24"/>
        </w:rPr>
        <w:t xml:space="preserve">, yang lazim disajikan terpisah. </w:t>
      </w:r>
      <w:r>
        <w:rPr>
          <w:rFonts w:ascii="Times New Roman" w:hAnsi="Times New Roman" w:cs="Times New Roman"/>
          <w:b w:val="0"/>
          <w:i/>
          <w:sz w:val="24"/>
        </w:rPr>
        <w:t>Gains</w:t>
      </w:r>
      <w:r>
        <w:rPr>
          <w:rFonts w:ascii="Times New Roman" w:hAnsi="Times New Roman" w:cs="Times New Roman"/>
          <w:b w:val="0"/>
          <w:i w:val="0"/>
          <w:sz w:val="24"/>
        </w:rPr>
        <w:t xml:space="preserve"> dirumuskan APB Statement 4 sebagai pendapatan dari sumber selain penjualan produk atau jasa, dan oleh SFAC No. 6 sebagai kenaikan ekuitas dari transaksi periferal atau insidental, di luar pendapatan atau investasi pemilik (Wolk et al., 2017, PDF hlm. 3). Pembedaan </w:t>
      </w:r>
      <w:r>
        <w:rPr>
          <w:rFonts w:ascii="Times New Roman" w:hAnsi="Times New Roman" w:cs="Times New Roman"/>
          <w:b w:val="0"/>
          <w:i/>
          <w:sz w:val="24"/>
        </w:rPr>
        <w:t>revenue</w:t>
      </w:r>
      <w:r>
        <w:rPr>
          <w:rFonts w:ascii="Times New Roman" w:hAnsi="Times New Roman" w:cs="Times New Roman"/>
          <w:b w:val="0"/>
          <w:i w:val="0"/>
          <w:sz w:val="24"/>
        </w:rPr>
        <w:t>-versus-</w:t>
      </w:r>
      <w:r>
        <w:rPr>
          <w:rFonts w:ascii="Times New Roman" w:hAnsi="Times New Roman" w:cs="Times New Roman"/>
          <w:b w:val="0"/>
          <w:i/>
          <w:sz w:val="24"/>
        </w:rPr>
        <w:t>gain</w:t>
      </w:r>
      <w:r>
        <w:rPr>
          <w:rFonts w:ascii="Times New Roman" w:hAnsi="Times New Roman" w:cs="Times New Roman"/>
          <w:b w:val="0"/>
          <w:i w:val="0"/>
          <w:sz w:val="24"/>
        </w:rPr>
        <w:t xml:space="preserve"> dahulu menjadi kontroversi serius dan justru </w:t>
      </w:r>
      <w:r>
        <w:rPr>
          <w:rFonts w:ascii="Times New Roman" w:hAnsi="Times New Roman" w:cs="Times New Roman"/>
          <w:b w:val="0"/>
          <w:i/>
          <w:sz w:val="24"/>
        </w:rPr>
        <w:t>membenihkan</w:t>
      </w:r>
      <w:r>
        <w:rPr>
          <w:rFonts w:ascii="Times New Roman" w:hAnsi="Times New Roman" w:cs="Times New Roman"/>
          <w:b w:val="0"/>
          <w:i w:val="0"/>
          <w:sz w:val="24"/>
        </w:rPr>
        <w:t xml:space="preserve"> perdebatan besar pada Bagian VI. Penganut </w:t>
      </w:r>
      <w:r>
        <w:rPr>
          <w:rFonts w:ascii="Times New Roman" w:hAnsi="Times New Roman" w:cs="Times New Roman"/>
          <w:b/>
          <w:i w:val="0"/>
          <w:sz w:val="24"/>
        </w:rPr>
        <w:t>current operating income concept</w:t>
      </w:r>
      <w:r>
        <w:rPr>
          <w:rFonts w:ascii="Times New Roman" w:hAnsi="Times New Roman" w:cs="Times New Roman"/>
          <w:b w:val="0"/>
          <w:i w:val="0"/>
          <w:sz w:val="24"/>
        </w:rPr>
        <w:t xml:space="preserve"> berpendapat hanya </w:t>
      </w:r>
      <w:r>
        <w:rPr>
          <w:rFonts w:ascii="Times New Roman" w:hAnsi="Times New Roman" w:cs="Times New Roman"/>
          <w:b w:val="0"/>
          <w:i/>
          <w:sz w:val="24"/>
        </w:rPr>
        <w:t>revenues</w:t>
      </w:r>
      <w:r>
        <w:rPr>
          <w:rFonts w:ascii="Times New Roman" w:hAnsi="Times New Roman" w:cs="Times New Roman"/>
          <w:b w:val="0"/>
          <w:i w:val="0"/>
          <w:sz w:val="24"/>
        </w:rPr>
        <w:t xml:space="preserve"> dari aktivitas utama berulang yang layak masuk laporan laba rugi sehingga </w:t>
      </w:r>
      <w:r>
        <w:rPr>
          <w:rFonts w:ascii="Times New Roman" w:hAnsi="Times New Roman" w:cs="Times New Roman"/>
          <w:b w:val="0"/>
          <w:i/>
          <w:sz w:val="24"/>
        </w:rPr>
        <w:t>gains</w:t>
      </w:r>
      <w:r>
        <w:rPr>
          <w:rFonts w:ascii="Times New Roman" w:hAnsi="Times New Roman" w:cs="Times New Roman"/>
          <w:b w:val="0"/>
          <w:i w:val="0"/>
          <w:sz w:val="24"/>
        </w:rPr>
        <w:t xml:space="preserve"> periferal dikeluarkan; mazhab tandingannya, </w:t>
      </w:r>
      <w:r>
        <w:rPr>
          <w:rFonts w:ascii="Times New Roman" w:hAnsi="Times New Roman" w:cs="Times New Roman"/>
          <w:b/>
          <w:i w:val="0"/>
          <w:sz w:val="24"/>
        </w:rPr>
        <w:t>all-inclusive income concept</w:t>
      </w:r>
      <w:r>
        <w:rPr>
          <w:rFonts w:ascii="Times New Roman" w:hAnsi="Times New Roman" w:cs="Times New Roman"/>
          <w:b w:val="0"/>
          <w:i w:val="0"/>
          <w:sz w:val="24"/>
        </w:rPr>
        <w:t xml:space="preserve">, menghendaki seluruh pendapatan dan keuntungan dimasukkan—pergeseran yang berpaut erat dengan paradigma </w:t>
      </w:r>
      <w:r>
        <w:rPr>
          <w:rFonts w:ascii="Times New Roman" w:hAnsi="Times New Roman" w:cs="Times New Roman"/>
          <w:b w:val="0"/>
          <w:i/>
          <w:sz w:val="24"/>
        </w:rPr>
        <w:t>comprehensive income</w:t>
      </w:r>
      <w:r>
        <w:rPr>
          <w:rFonts w:ascii="Times New Roman" w:hAnsi="Times New Roman" w:cs="Times New Roman"/>
          <w:b w:val="0"/>
          <w:i w:val="0"/>
          <w:sz w:val="24"/>
        </w:rPr>
        <w:t>.</w:t>
      </w:r>
    </w:p>
    <w:p>
      <w:pPr>
        <w:spacing w:lineRule="exact" w:line="260" w:before="0" w:after="80"/>
        <w:jc w:val="both"/>
      </w:pPr>
      <w:r>
        <w:rPr>
          <w:rFonts w:ascii="Times New Roman" w:hAnsi="Times New Roman" w:cs="Times New Roman"/>
          <w:b w:val="0"/>
          <w:i w:val="0"/>
          <w:sz w:val="24"/>
        </w:rPr>
        <w:t xml:space="preserve">Pola paralel melengkapi sisi pengurang laba. </w:t>
      </w:r>
      <w:r>
        <w:rPr>
          <w:rFonts w:ascii="Times New Roman" w:hAnsi="Times New Roman" w:cs="Times New Roman"/>
          <w:b/>
          <w:i w:val="0"/>
          <w:sz w:val="24"/>
        </w:rPr>
        <w:t>Expenses</w:t>
      </w:r>
      <w:r>
        <w:rPr>
          <w:rFonts w:ascii="Times New Roman" w:hAnsi="Times New Roman" w:cs="Times New Roman"/>
          <w:b w:val="0"/>
          <w:i w:val="0"/>
          <w:sz w:val="24"/>
        </w:rPr>
        <w:t xml:space="preserve"> dirumuskan tiga kali: ATB 4 sebagai seluruh </w:t>
      </w:r>
      <w:r>
        <w:rPr>
          <w:rFonts w:ascii="Times New Roman" w:hAnsi="Times New Roman" w:cs="Times New Roman"/>
          <w:b w:val="0"/>
          <w:i/>
          <w:sz w:val="24"/>
        </w:rPr>
        <w:t>expired cost</w:t>
      </w:r>
      <w:r>
        <w:rPr>
          <w:rFonts w:ascii="Times New Roman" w:hAnsi="Times New Roman" w:cs="Times New Roman"/>
          <w:b w:val="0"/>
          <w:i w:val="0"/>
          <w:sz w:val="24"/>
        </w:rPr>
        <w:t xml:space="preserve"> yang dapat dikurangkan dari pendapatan (</w:t>
      </w:r>
      <w:r>
        <w:rPr>
          <w:rFonts w:ascii="Times New Roman" w:hAnsi="Times New Roman" w:cs="Times New Roman"/>
          <w:b w:val="0"/>
          <w:i/>
          <w:sz w:val="24"/>
        </w:rPr>
        <w:t>revenue–expense</w:t>
      </w:r>
      <w:r>
        <w:rPr>
          <w:rFonts w:ascii="Times New Roman" w:hAnsi="Times New Roman" w:cs="Times New Roman"/>
          <w:b w:val="0"/>
          <w:i w:val="0"/>
          <w:sz w:val="24"/>
        </w:rPr>
        <w:t xml:space="preserve"> tradisional); APB Statement 4 menautkan beban dengan penurunan aset neto namun pengukurannya tetap mengikuti orientasi </w:t>
      </w:r>
      <w:r>
        <w:rPr>
          <w:rFonts w:ascii="Times New Roman" w:hAnsi="Times New Roman" w:cs="Times New Roman"/>
          <w:b w:val="0"/>
          <w:i/>
          <w:sz w:val="24"/>
        </w:rPr>
        <w:t>revenue–expense</w:t>
      </w:r>
      <w:r>
        <w:rPr>
          <w:rFonts w:ascii="Times New Roman" w:hAnsi="Times New Roman" w:cs="Times New Roman"/>
          <w:b w:val="0"/>
          <w:i w:val="0"/>
          <w:sz w:val="24"/>
        </w:rPr>
        <w:t xml:space="preserve">; dan SFAC No. 6 secara tegas dalam </w:t>
      </w:r>
      <w:r>
        <w:rPr>
          <w:rFonts w:ascii="Times New Roman" w:hAnsi="Times New Roman" w:cs="Times New Roman"/>
          <w:b w:val="0"/>
          <w:i/>
          <w:sz w:val="24"/>
        </w:rPr>
        <w:t>asset–liability approach</w:t>
      </w:r>
      <w:r>
        <w:rPr>
          <w:rFonts w:ascii="Times New Roman" w:hAnsi="Times New Roman" w:cs="Times New Roman"/>
          <w:b w:val="0"/>
          <w:i w:val="0"/>
          <w:sz w:val="24"/>
        </w:rPr>
        <w:t xml:space="preserve"> sebagai arus keluar atau penggunaan aset (Wolk et al., 2017, PDF hlm. 6). Sejajar dengan </w:t>
      </w:r>
      <w:r>
        <w:rPr>
          <w:rFonts w:ascii="Times New Roman" w:hAnsi="Times New Roman" w:cs="Times New Roman"/>
          <w:b w:val="0"/>
          <w:i/>
          <w:sz w:val="24"/>
        </w:rPr>
        <w:t>gains</w:t>
      </w:r>
      <w:r>
        <w:rPr>
          <w:rFonts w:ascii="Times New Roman" w:hAnsi="Times New Roman" w:cs="Times New Roman"/>
          <w:b w:val="0"/>
          <w:i w:val="0"/>
          <w:sz w:val="24"/>
        </w:rPr>
        <w:t xml:space="preserve">, </w:t>
      </w:r>
      <w:r>
        <w:rPr>
          <w:rFonts w:ascii="Times New Roman" w:hAnsi="Times New Roman" w:cs="Times New Roman"/>
          <w:b/>
          <w:i w:val="0"/>
          <w:sz w:val="24"/>
        </w:rPr>
        <w:t>losses</w:t>
      </w:r>
      <w:r>
        <w:rPr>
          <w:rFonts w:ascii="Times New Roman" w:hAnsi="Times New Roman" w:cs="Times New Roman"/>
          <w:b w:val="0"/>
          <w:i w:val="0"/>
          <w:sz w:val="24"/>
        </w:rPr>
        <w:t xml:space="preserve"> didefinisikan APB Statement 4 dan SFAC No. 6 sebagai penurunan aset neto yang bukan dari beban maupun transaksi modal. Pembedaan beban-versus-kerugian, seperti pendapatan-versus-keuntungan, kehilangan urgensinya di bawah </w:t>
      </w:r>
      <w:r>
        <w:rPr>
          <w:rFonts w:ascii="Times New Roman" w:hAnsi="Times New Roman" w:cs="Times New Roman"/>
          <w:b w:val="0"/>
          <w:i/>
          <w:sz w:val="24"/>
        </w:rPr>
        <w:t>all-inclusive concept</w:t>
      </w:r>
      <w:r>
        <w:rPr>
          <w:rFonts w:ascii="Times New Roman" w:hAnsi="Times New Roman" w:cs="Times New Roman"/>
          <w:b w:val="0"/>
          <w:i w:val="0"/>
          <w:sz w:val="24"/>
        </w:rPr>
        <w:t>. Dengan kerangka definisi keempat elemen tertata, kita siap menghadapi persoalan paling pelik: kapan pendapatan boleh diakui, pokok Bagian III.</w:t>
      </w:r>
    </w:p>
    <w:p>
      <w:pPr>
        <w:spacing w:lineRule="exact" w:line="260" w:before="120" w:after="80"/>
        <w:jc w:val="left"/>
      </w:pPr>
      <w:r>
        <w:rPr>
          <w:rFonts w:ascii="Times New Roman" w:hAnsi="Times New Roman" w:cs="Times New Roman"/>
          <w:b/>
          <w:i w:val="0"/>
          <w:sz w:val="26"/>
        </w:rPr>
        <w:t>III. Pengakuan Pendapatan</w:t>
      </w:r>
    </w:p>
    <w:p>
      <w:pPr>
        <w:spacing w:lineRule="exact" w:line="260" w:before="0" w:after="80"/>
        <w:jc w:val="both"/>
      </w:pPr>
      <w:r>
        <w:rPr>
          <w:rFonts w:ascii="Times New Roman" w:hAnsi="Times New Roman" w:cs="Times New Roman"/>
          <w:b w:val="0"/>
          <w:i w:val="0"/>
          <w:sz w:val="24"/>
        </w:rPr>
        <w:t xml:space="preserve">Pertanyaan "kapan suatu pendapatan menjadi pendapatan?" berjawaban teoretis jernih namun praktis berduri. Secara ideal, </w:t>
      </w:r>
      <w:r>
        <w:rPr>
          <w:rFonts w:ascii="Times New Roman" w:hAnsi="Times New Roman" w:cs="Times New Roman"/>
          <w:b/>
          <w:i w:val="0"/>
          <w:sz w:val="24"/>
        </w:rPr>
        <w:t>pendapatan</w:t>
      </w:r>
      <w:r>
        <w:rPr>
          <w:rFonts w:ascii="Times New Roman" w:hAnsi="Times New Roman" w:cs="Times New Roman"/>
          <w:b w:val="0"/>
          <w:i w:val="0"/>
          <w:sz w:val="24"/>
        </w:rPr>
        <w:t xml:space="preserve"> diidentifikasikan dengan periode saat aktivitas ekonomi utama untuk menciptakan dan melepas barang serta jasa dirampungkan (Wolk et al., 2017, PDF hlm. 4). Masalahnya, penyelesaian aktivitas itu dan kemampuan mengukurnya secara objektif kerap terjadi pada periode berbeda. Di sinilah cita-cita teoretis berbenturan dengan </w:t>
      </w:r>
      <w:r>
        <w:rPr>
          <w:rFonts w:ascii="Times New Roman" w:hAnsi="Times New Roman" w:cs="Times New Roman"/>
          <w:b/>
          <w:i w:val="0"/>
          <w:sz w:val="24"/>
        </w:rPr>
        <w:t>kendala keterukuran objektif</w:t>
      </w:r>
      <w:r>
        <w:rPr>
          <w:rFonts w:ascii="Times New Roman" w:hAnsi="Times New Roman" w:cs="Times New Roman"/>
          <w:b w:val="0"/>
          <w:i w:val="0"/>
          <w:sz w:val="24"/>
        </w:rPr>
        <w:t xml:space="preserve"> (</w:t>
      </w:r>
      <w:r>
        <w:rPr>
          <w:rFonts w:ascii="Times New Roman" w:hAnsi="Times New Roman" w:cs="Times New Roman"/>
          <w:b w:val="0"/>
          <w:i/>
          <w:sz w:val="24"/>
        </w:rPr>
        <w:t>objective measurement</w:t>
      </w:r>
      <w:r>
        <w:rPr>
          <w:rFonts w:ascii="Times New Roman" w:hAnsi="Times New Roman" w:cs="Times New Roman"/>
          <w:b w:val="0"/>
          <w:i w:val="0"/>
          <w:sz w:val="24"/>
        </w:rPr>
        <w:t xml:space="preserve">): selama pengukuran terverifikasi belum dapat dilakukan, pendapatan tidak boleh diakui. Wolk dan kolega menilai SFAC No. 5, yang seharusnya mengatur pengakuan, hanya mengulang konsep terdahulu secara </w:t>
      </w:r>
      <w:r>
        <w:rPr>
          <w:rFonts w:ascii="Times New Roman" w:hAnsi="Times New Roman" w:cs="Times New Roman"/>
          <w:b w:val="0"/>
          <w:i/>
          <w:sz w:val="24"/>
        </w:rPr>
        <w:t>ad hoc</w:t>
      </w:r>
      <w:r>
        <w:rPr>
          <w:rFonts w:ascii="Times New Roman" w:hAnsi="Times New Roman" w:cs="Times New Roman"/>
          <w:b w:val="0"/>
          <w:i w:val="0"/>
          <w:sz w:val="24"/>
        </w:rPr>
        <w:t xml:space="preserve"> dan tidak banyak menolong (Wolk et al., 2017, PDF hlm. 4). Ketegangan relevansi versus reliabilitas inilah yang menstrukturkan praktik pengakuan.</w:t>
      </w:r>
    </w:p>
    <w:p>
      <w:pPr>
        <w:spacing w:lineRule="exact" w:line="260" w:before="0" w:after="80"/>
        <w:jc w:val="both"/>
      </w:pPr>
      <w:r>
        <w:rPr>
          <w:rFonts w:ascii="Times New Roman" w:hAnsi="Times New Roman" w:cs="Times New Roman"/>
          <w:b w:val="0"/>
          <w:i w:val="0"/>
          <w:sz w:val="24"/>
        </w:rPr>
        <w:t xml:space="preserve">Literatur mengenal empat titik waktu alternatif: </w:t>
      </w:r>
      <w:r>
        <w:rPr>
          <w:rFonts w:ascii="Times New Roman" w:hAnsi="Times New Roman" w:cs="Times New Roman"/>
          <w:b/>
          <w:i w:val="0"/>
          <w:sz w:val="24"/>
        </w:rPr>
        <w:t>selama produksi</w:t>
      </w:r>
      <w:r>
        <w:rPr>
          <w:rFonts w:ascii="Times New Roman" w:hAnsi="Times New Roman" w:cs="Times New Roman"/>
          <w:b w:val="0"/>
          <w:i w:val="0"/>
          <w:sz w:val="24"/>
        </w:rPr>
        <w:t xml:space="preserve"> (</w:t>
      </w:r>
      <w:r>
        <w:rPr>
          <w:rFonts w:ascii="Times New Roman" w:hAnsi="Times New Roman" w:cs="Times New Roman"/>
          <w:b w:val="0"/>
          <w:i/>
          <w:sz w:val="24"/>
        </w:rPr>
        <w:t>during production</w:t>
      </w:r>
      <w:r>
        <w:rPr>
          <w:rFonts w:ascii="Times New Roman" w:hAnsi="Times New Roman" w:cs="Times New Roman"/>
          <w:b w:val="0"/>
          <w:i w:val="0"/>
          <w:sz w:val="24"/>
        </w:rPr>
        <w:t xml:space="preserve">), </w:t>
      </w:r>
      <w:r>
        <w:rPr>
          <w:rFonts w:ascii="Times New Roman" w:hAnsi="Times New Roman" w:cs="Times New Roman"/>
          <w:b/>
          <w:i w:val="0"/>
          <w:sz w:val="24"/>
        </w:rPr>
        <w:t>pada saat produksi selesai</w:t>
      </w:r>
      <w:r>
        <w:rPr>
          <w:rFonts w:ascii="Times New Roman" w:hAnsi="Times New Roman" w:cs="Times New Roman"/>
          <w:b w:val="0"/>
          <w:i w:val="0"/>
          <w:sz w:val="24"/>
        </w:rPr>
        <w:t xml:space="preserve"> (</w:t>
      </w:r>
      <w:r>
        <w:rPr>
          <w:rFonts w:ascii="Times New Roman" w:hAnsi="Times New Roman" w:cs="Times New Roman"/>
          <w:b w:val="0"/>
          <w:i/>
          <w:sz w:val="24"/>
        </w:rPr>
        <w:t>completion of production</w:t>
      </w:r>
      <w:r>
        <w:rPr>
          <w:rFonts w:ascii="Times New Roman" w:hAnsi="Times New Roman" w:cs="Times New Roman"/>
          <w:b w:val="0"/>
          <w:i w:val="0"/>
          <w:sz w:val="24"/>
        </w:rPr>
        <w:t xml:space="preserve">), </w:t>
      </w:r>
      <w:r>
        <w:rPr>
          <w:rFonts w:ascii="Times New Roman" w:hAnsi="Times New Roman" w:cs="Times New Roman"/>
          <w:b/>
          <w:i w:val="0"/>
          <w:sz w:val="24"/>
        </w:rPr>
        <w:t>pada saat penjualan</w:t>
      </w:r>
      <w:r>
        <w:rPr>
          <w:rFonts w:ascii="Times New Roman" w:hAnsi="Times New Roman" w:cs="Times New Roman"/>
          <w:b w:val="0"/>
          <w:i w:val="0"/>
          <w:sz w:val="24"/>
        </w:rPr>
        <w:t xml:space="preserve"> (</w:t>
      </w:r>
      <w:r>
        <w:rPr>
          <w:rFonts w:ascii="Times New Roman" w:hAnsi="Times New Roman" w:cs="Times New Roman"/>
          <w:b w:val="0"/>
          <w:i/>
          <w:sz w:val="24"/>
        </w:rPr>
        <w:t>point of sale</w:t>
      </w:r>
      <w:r>
        <w:rPr>
          <w:rFonts w:ascii="Times New Roman" w:hAnsi="Times New Roman" w:cs="Times New Roman"/>
          <w:b w:val="0"/>
          <w:i w:val="0"/>
          <w:sz w:val="24"/>
        </w:rPr>
        <w:t xml:space="preserve">), dan </w:t>
      </w:r>
      <w:r>
        <w:rPr>
          <w:rFonts w:ascii="Times New Roman" w:hAnsi="Times New Roman" w:cs="Times New Roman"/>
          <w:b/>
          <w:i w:val="0"/>
          <w:sz w:val="24"/>
        </w:rPr>
        <w:t>pada saat kas terkumpul</w:t>
      </w:r>
      <w:r>
        <w:rPr>
          <w:rFonts w:ascii="Times New Roman" w:hAnsi="Times New Roman" w:cs="Times New Roman"/>
          <w:b w:val="0"/>
          <w:i w:val="0"/>
          <w:sz w:val="24"/>
        </w:rPr>
        <w:t xml:space="preserve"> (</w:t>
      </w:r>
      <w:r>
        <w:rPr>
          <w:rFonts w:ascii="Times New Roman" w:hAnsi="Times New Roman" w:cs="Times New Roman"/>
          <w:b w:val="0"/>
          <w:i/>
          <w:sz w:val="24"/>
        </w:rPr>
        <w:t>cash collection</w:t>
      </w:r>
      <w:r>
        <w:rPr>
          <w:rFonts w:ascii="Times New Roman" w:hAnsi="Times New Roman" w:cs="Times New Roman"/>
          <w:b w:val="0"/>
          <w:i w:val="0"/>
          <w:sz w:val="24"/>
        </w:rPr>
        <w:t>) (Wolk et al., 2017, PDF hlm. 4).</w:t>
      </w:r>
    </w:p>
    <w:p>
      <w:pPr>
        <w:spacing w:before="40" w:after="40"/>
        <w:jc w:val="center"/>
      </w:pPr>
      <w:r>
        <w:drawing>
          <wp:inline xmlns:a="http://schemas.openxmlformats.org/drawingml/2006/main" xmlns:pic="http://schemas.openxmlformats.org/drawingml/2006/picture">
            <wp:extent cx="5220000" cy="1463551"/>
            <wp:docPr id="1" name="Picture 1"/>
            <wp:cNvGraphicFramePr>
              <a:graphicFrameLocks noChangeAspect="1"/>
            </wp:cNvGraphicFramePr>
            <a:graphic>
              <a:graphicData uri="http://schemas.openxmlformats.org/drawingml/2006/picture">
                <pic:pic>
                  <pic:nvPicPr>
                    <pic:cNvPr id="0" name="gambar1_titik_pengakuan.png"/>
                    <pic:cNvPicPr/>
                  </pic:nvPicPr>
                  <pic:blipFill>
                    <a:blip r:embed="rId10"/>
                    <a:stretch>
                      <a:fillRect/>
                    </a:stretch>
                  </pic:blipFill>
                  <pic:spPr>
                    <a:xfrm>
                      <a:off x="0" y="0"/>
                      <a:ext cx="5220000" cy="1463551"/>
                    </a:xfrm>
                    <a:prstGeom prst="rect"/>
                  </pic:spPr>
                </pic:pic>
              </a:graphicData>
            </a:graphic>
          </wp:inline>
        </w:drawing>
      </w:r>
    </w:p>
    <w:p>
      <w:pPr>
        <w:spacing w:lineRule="exact" w:line="260" w:before="0" w:after="0"/>
        <w:jc w:val="center"/>
      </w:pPr>
      <w:r>
        <w:rPr>
          <w:rFonts w:ascii="Times New Roman" w:hAnsi="Times New Roman" w:cs="Times New Roman"/>
          <w:b/>
          <w:i w:val="0"/>
          <w:sz w:val="22"/>
        </w:rPr>
        <w:t xml:space="preserve">Gambar 1. </w:t>
      </w:r>
      <w:r>
        <w:rPr>
          <w:rFonts w:ascii="Times New Roman" w:hAnsi="Times New Roman" w:cs="Times New Roman"/>
          <w:b w:val="0"/>
          <w:i w:val="0"/>
          <w:sz w:val="22"/>
        </w:rPr>
        <w:t>Empat titik waktu alternatif pengakuan pendapatan</w:t>
      </w:r>
    </w:p>
    <w:p>
      <w:pPr>
        <w:spacing w:lineRule="exact" w:line="260" w:before="0" w:after="120"/>
        <w:jc w:val="center"/>
      </w:pPr>
      <w:r>
        <w:rPr>
          <w:rFonts w:ascii="Times New Roman" w:hAnsi="Times New Roman" w:cs="Times New Roman"/>
          <w:b w:val="0"/>
          <w:i/>
          <w:sz w:val="22"/>
        </w:rPr>
        <w:t>Sumber: diolah dari Wolk et al. (2017), PDF hlm. 4–5</w:t>
      </w:r>
    </w:p>
    <w:p>
      <w:pPr>
        <w:spacing w:lineRule="exact" w:line="260" w:before="0" w:after="80"/>
        <w:jc w:val="both"/>
      </w:pPr>
      <w:r>
        <w:rPr>
          <w:rFonts w:ascii="Times New Roman" w:hAnsi="Times New Roman" w:cs="Times New Roman"/>
          <w:b w:val="0"/>
          <w:i w:val="0"/>
          <w:sz w:val="24"/>
        </w:rPr>
        <w:t xml:space="preserve">Masing-masing titik disahkan secara selektif. Pengakuan selama produksi diterapkan pada kontrak jangka panjang seperti konstruksi (ARB 45 dan SOP 81-1), dengan syarat estimasi andal atas kemajuan dan biaya. Pengakuan saat produksi selesai diizinkan bagi sebagian operasi pertanian dan pertambangan (ARB 43, Bab 4) ketika produk yang dapat dipertukarkan memiliki pasar segera pada harga terkutip. Pengakuan saat penjualan, ketika hak hukum berpindah, adalah </w:t>
      </w:r>
      <w:r>
        <w:rPr>
          <w:rFonts w:ascii="Times New Roman" w:hAnsi="Times New Roman" w:cs="Times New Roman"/>
          <w:b/>
          <w:i w:val="0"/>
          <w:sz w:val="24"/>
        </w:rPr>
        <w:t>norma umum</w:t>
      </w:r>
      <w:r>
        <w:rPr>
          <w:rFonts w:ascii="Times New Roman" w:hAnsi="Times New Roman" w:cs="Times New Roman"/>
          <w:b w:val="0"/>
          <w:i w:val="0"/>
          <w:sz w:val="24"/>
        </w:rPr>
        <w:t xml:space="preserve"> sejak menjadi salah satu dari enam aturan yang diadopsi AICPA pada 1934—kecuali ketertagihan tak dapat diasumsikan wajar. Pengakuan saat kas terkumpul, melalui </w:t>
      </w:r>
      <w:r>
        <w:rPr>
          <w:rFonts w:ascii="Times New Roman" w:hAnsi="Times New Roman" w:cs="Times New Roman"/>
          <w:b/>
          <w:i w:val="0"/>
          <w:sz w:val="24"/>
        </w:rPr>
        <w:t>metode angsuran</w:t>
      </w:r>
      <w:r>
        <w:rPr>
          <w:rFonts w:ascii="Times New Roman" w:hAnsi="Times New Roman" w:cs="Times New Roman"/>
          <w:b w:val="0"/>
          <w:i w:val="0"/>
          <w:sz w:val="24"/>
        </w:rPr>
        <w:t xml:space="preserve"> (</w:t>
      </w:r>
      <w:r>
        <w:rPr>
          <w:rFonts w:ascii="Times New Roman" w:hAnsi="Times New Roman" w:cs="Times New Roman"/>
          <w:b w:val="0"/>
          <w:i/>
          <w:sz w:val="24"/>
        </w:rPr>
        <w:t>installment method</w:t>
      </w:r>
      <w:r>
        <w:rPr>
          <w:rFonts w:ascii="Times New Roman" w:hAnsi="Times New Roman" w:cs="Times New Roman"/>
          <w:b w:val="0"/>
          <w:i w:val="0"/>
          <w:sz w:val="24"/>
        </w:rPr>
        <w:t xml:space="preserve">) maupun </w:t>
      </w:r>
      <w:r>
        <w:rPr>
          <w:rFonts w:ascii="Times New Roman" w:hAnsi="Times New Roman" w:cs="Times New Roman"/>
          <w:b w:val="0"/>
          <w:i/>
          <w:sz w:val="24"/>
        </w:rPr>
        <w:t>cost recovery</w:t>
      </w:r>
      <w:r>
        <w:rPr>
          <w:rFonts w:ascii="Times New Roman" w:hAnsi="Times New Roman" w:cs="Times New Roman"/>
          <w:b w:val="0"/>
          <w:i w:val="0"/>
          <w:sz w:val="24"/>
        </w:rPr>
        <w:t>, diizinkan SFAS No. 66 untuk real estat tanpa dasar wajar mengestimasi ketertagihan (Wolk et al., 2017, PDF hlm. 4).</w:t>
      </w:r>
    </w:p>
    <w:p>
      <w:pPr>
        <w:spacing w:lineRule="exact" w:line="260" w:before="0" w:after="80"/>
        <w:jc w:val="both"/>
      </w:pPr>
      <w:r>
        <w:rPr>
          <w:rFonts w:ascii="Times New Roman" w:hAnsi="Times New Roman" w:cs="Times New Roman"/>
          <w:b w:val="0"/>
          <w:i w:val="0"/>
          <w:sz w:val="24"/>
        </w:rPr>
        <w:t xml:space="preserve">Pengecualian terhadap norma penjualan berevolusi karena transaksi baru yang khas industri tertentu. Secara historis AICPA mengembangkan standar ini melalui </w:t>
      </w:r>
      <w:r>
        <w:rPr>
          <w:rFonts w:ascii="Times New Roman" w:hAnsi="Times New Roman" w:cs="Times New Roman"/>
          <w:b w:val="0"/>
          <w:i/>
          <w:sz w:val="24"/>
        </w:rPr>
        <w:t>Accounting Guides</w:t>
      </w:r>
      <w:r>
        <w:rPr>
          <w:rFonts w:ascii="Times New Roman" w:hAnsi="Times New Roman" w:cs="Times New Roman"/>
          <w:b w:val="0"/>
          <w:i w:val="0"/>
          <w:sz w:val="24"/>
        </w:rPr>
        <w:t xml:space="preserve"> dan </w:t>
      </w:r>
      <w:r>
        <w:rPr>
          <w:rFonts w:ascii="Times New Roman" w:hAnsi="Times New Roman" w:cs="Times New Roman"/>
          <w:b w:val="0"/>
          <w:i/>
          <w:sz w:val="24"/>
        </w:rPr>
        <w:t>Statements of Position</w:t>
      </w:r>
      <w:r>
        <w:rPr>
          <w:rFonts w:ascii="Times New Roman" w:hAnsi="Times New Roman" w:cs="Times New Roman"/>
          <w:b w:val="0"/>
          <w:i w:val="0"/>
          <w:sz w:val="24"/>
        </w:rPr>
        <w:t xml:space="preserve"> (SOP), namun karena dokumen tersebut tidak wajib dipatuhi sebagaimana standar FASB, praktiknya tidak konsisten (Wolk et al., 2017, PDF hlm. 5). Untuk menertibkannya, melalui SFAS No. 32 (1979) FASB meluncurkan program </w:t>
      </w:r>
      <w:r>
        <w:rPr>
          <w:rFonts w:ascii="Times New Roman" w:hAnsi="Times New Roman" w:cs="Times New Roman"/>
          <w:b w:val="0"/>
          <w:i/>
          <w:sz w:val="24"/>
        </w:rPr>
        <w:t>extraction</w:t>
      </w:r>
      <w:r>
        <w:rPr>
          <w:rFonts w:ascii="Times New Roman" w:hAnsi="Times New Roman" w:cs="Times New Roman"/>
          <w:b w:val="0"/>
          <w:i w:val="0"/>
          <w:sz w:val="24"/>
        </w:rPr>
        <w:t xml:space="preserve">: mengekstraksi standar dari </w:t>
      </w:r>
      <w:r>
        <w:rPr>
          <w:rFonts w:ascii="Times New Roman" w:hAnsi="Times New Roman" w:cs="Times New Roman"/>
          <w:b w:val="0"/>
          <w:i/>
          <w:sz w:val="24"/>
        </w:rPr>
        <w:t>Guides</w:t>
      </w:r>
      <w:r>
        <w:rPr>
          <w:rFonts w:ascii="Times New Roman" w:hAnsi="Times New Roman" w:cs="Times New Roman"/>
          <w:b w:val="0"/>
          <w:i w:val="0"/>
          <w:sz w:val="24"/>
        </w:rPr>
        <w:t xml:space="preserve"> dan SOP, memodifikasinya agar konsisten, lalu menerbitkannya sebagai SFAS—antara lain penjualan real estat (No. 66). Di luar empat titik resmi, literatur otoritatif </w:t>
      </w:r>
      <w:r>
        <w:rPr>
          <w:rFonts w:ascii="Times New Roman" w:hAnsi="Times New Roman" w:cs="Times New Roman"/>
          <w:b/>
          <w:i w:val="0"/>
          <w:sz w:val="24"/>
        </w:rPr>
        <w:t>tidak mengizinkan</w:t>
      </w:r>
      <w:r>
        <w:rPr>
          <w:rFonts w:ascii="Times New Roman" w:hAnsi="Times New Roman" w:cs="Times New Roman"/>
          <w:b w:val="0"/>
          <w:i w:val="0"/>
          <w:sz w:val="24"/>
        </w:rPr>
        <w:t xml:space="preserve"> basis </w:t>
      </w:r>
      <w:r>
        <w:rPr>
          <w:rFonts w:ascii="Times New Roman" w:hAnsi="Times New Roman" w:cs="Times New Roman"/>
          <w:b/>
          <w:i w:val="0"/>
          <w:sz w:val="24"/>
        </w:rPr>
        <w:t>akresi</w:t>
      </w:r>
      <w:r>
        <w:rPr>
          <w:rFonts w:ascii="Times New Roman" w:hAnsi="Times New Roman" w:cs="Times New Roman"/>
          <w:b w:val="0"/>
          <w:i w:val="0"/>
          <w:sz w:val="24"/>
        </w:rPr>
        <w:t xml:space="preserve"> (</w:t>
      </w:r>
      <w:r>
        <w:rPr>
          <w:rFonts w:ascii="Times New Roman" w:hAnsi="Times New Roman" w:cs="Times New Roman"/>
          <w:b w:val="0"/>
          <w:i/>
          <w:sz w:val="24"/>
        </w:rPr>
        <w:t>accretion</w:t>
      </w:r>
      <w:r>
        <w:rPr>
          <w:rFonts w:ascii="Times New Roman" w:hAnsi="Times New Roman" w:cs="Times New Roman"/>
          <w:b w:val="0"/>
          <w:i w:val="0"/>
          <w:sz w:val="24"/>
        </w:rPr>
        <w:t xml:space="preserve">) seperti pada kayu hutan maupun basis </w:t>
      </w:r>
      <w:r>
        <w:rPr>
          <w:rFonts w:ascii="Times New Roman" w:hAnsi="Times New Roman" w:cs="Times New Roman"/>
          <w:b/>
          <w:i w:val="0"/>
          <w:sz w:val="24"/>
        </w:rPr>
        <w:t>penemuan</w:t>
      </w:r>
      <w:r>
        <w:rPr>
          <w:rFonts w:ascii="Times New Roman" w:hAnsi="Times New Roman" w:cs="Times New Roman"/>
          <w:b w:val="0"/>
          <w:i w:val="0"/>
          <w:sz w:val="24"/>
        </w:rPr>
        <w:t xml:space="preserve"> (</w:t>
      </w:r>
      <w:r>
        <w:rPr>
          <w:rFonts w:ascii="Times New Roman" w:hAnsi="Times New Roman" w:cs="Times New Roman"/>
          <w:b w:val="0"/>
          <w:i/>
          <w:sz w:val="24"/>
        </w:rPr>
        <w:t>discovery</w:t>
      </w:r>
      <w:r>
        <w:rPr>
          <w:rFonts w:ascii="Times New Roman" w:hAnsi="Times New Roman" w:cs="Times New Roman"/>
          <w:b w:val="0"/>
          <w:i w:val="0"/>
          <w:sz w:val="24"/>
        </w:rPr>
        <w:t>) pada minyak dan gas (Wolk et al., 2017, PDF hlm. 5).</w:t>
      </w:r>
    </w:p>
    <w:p>
      <w:pPr>
        <w:spacing w:lineRule="exact" w:line="260" w:before="0" w:after="80"/>
        <w:jc w:val="both"/>
      </w:pPr>
      <w:r>
        <w:rPr>
          <w:rFonts w:ascii="Times New Roman" w:hAnsi="Times New Roman" w:cs="Times New Roman"/>
          <w:b w:val="0"/>
          <w:i w:val="0"/>
          <w:sz w:val="24"/>
        </w:rPr>
        <w:t xml:space="preserve">Meski penjualan adalah norma, kriteria yang sesungguhnya diterapkan adalah </w:t>
      </w:r>
      <w:r>
        <w:rPr>
          <w:rFonts w:ascii="Times New Roman" w:hAnsi="Times New Roman" w:cs="Times New Roman"/>
          <w:b/>
          <w:i w:val="0"/>
          <w:sz w:val="24"/>
        </w:rPr>
        <w:t>penyelesaian proses perolehan laba</w:t>
      </w:r>
      <w:r>
        <w:rPr>
          <w:rFonts w:ascii="Times New Roman" w:hAnsi="Times New Roman" w:cs="Times New Roman"/>
          <w:b w:val="0"/>
          <w:i w:val="0"/>
          <w:sz w:val="24"/>
        </w:rPr>
        <w:t xml:space="preserve"> (</w:t>
      </w:r>
      <w:r>
        <w:rPr>
          <w:rFonts w:ascii="Times New Roman" w:hAnsi="Times New Roman" w:cs="Times New Roman"/>
          <w:b w:val="0"/>
          <w:i/>
          <w:sz w:val="24"/>
        </w:rPr>
        <w:t>completion of the earnings process</w:t>
      </w:r>
      <w:r>
        <w:rPr>
          <w:rFonts w:ascii="Times New Roman" w:hAnsi="Times New Roman" w:cs="Times New Roman"/>
          <w:b w:val="0"/>
          <w:i w:val="0"/>
          <w:sz w:val="24"/>
        </w:rPr>
        <w:t xml:space="preserve">): pendapatan diakui ketika peristiwa yang memuncaki proses itu terjadi. Namun pengukuran harus dituntaskan dahulu—tiga atribut harus terukur andal: (a) harga jual, (b) penerimaan kas, dan (c) biaya masa depan; bila ketiganya dapat diestimasi memadai, pendapatan diakui, jika tidak, ditunda (Wolk et al., 2017, PDF hlm. 5). Di titik inilah pengakuan menjadi </w:t>
      </w:r>
      <w:r>
        <w:rPr>
          <w:rFonts w:ascii="Times New Roman" w:hAnsi="Times New Roman" w:cs="Times New Roman"/>
          <w:b/>
          <w:i w:val="0"/>
          <w:sz w:val="24"/>
        </w:rPr>
        <w:t>"Achilles' heel"</w:t>
      </w:r>
      <w:r>
        <w:rPr>
          <w:rFonts w:ascii="Times New Roman" w:hAnsi="Times New Roman" w:cs="Times New Roman"/>
          <w:b w:val="0"/>
          <w:i w:val="0"/>
          <w:sz w:val="24"/>
        </w:rPr>
        <w:t xml:space="preserve"> bagi </w:t>
      </w:r>
      <w:r>
        <w:rPr>
          <w:rFonts w:ascii="Times New Roman" w:hAnsi="Times New Roman" w:cs="Times New Roman"/>
          <w:b w:val="0"/>
          <w:i/>
          <w:sz w:val="24"/>
        </w:rPr>
        <w:t>earnings management</w:t>
      </w:r>
      <w:r>
        <w:rPr>
          <w:rFonts w:ascii="Times New Roman" w:hAnsi="Times New Roman" w:cs="Times New Roman"/>
          <w:b w:val="0"/>
          <w:i w:val="0"/>
          <w:sz w:val="24"/>
        </w:rPr>
        <w:t xml:space="preserve">. Contohnya adalah </w:t>
      </w:r>
      <w:r>
        <w:rPr>
          <w:rFonts w:ascii="Times New Roman" w:hAnsi="Times New Roman" w:cs="Times New Roman"/>
          <w:b w:val="0"/>
          <w:i/>
          <w:sz w:val="24"/>
        </w:rPr>
        <w:t>swap</w:t>
      </w:r>
      <w:r>
        <w:rPr>
          <w:rFonts w:ascii="Times New Roman" w:hAnsi="Times New Roman" w:cs="Times New Roman"/>
          <w:b w:val="0"/>
          <w:i w:val="0"/>
          <w:sz w:val="24"/>
        </w:rPr>
        <w:t xml:space="preserve"> kapasitas serat optik di telekomunikasi: </w:t>
      </w:r>
      <w:r>
        <w:rPr>
          <w:rFonts w:ascii="Times New Roman" w:hAnsi="Times New Roman" w:cs="Times New Roman"/>
          <w:b/>
          <w:i w:val="0"/>
          <w:sz w:val="24"/>
        </w:rPr>
        <w:t>Qwest</w:t>
      </w:r>
      <w:r>
        <w:rPr>
          <w:rFonts w:ascii="Times New Roman" w:hAnsi="Times New Roman" w:cs="Times New Roman"/>
          <w:b w:val="0"/>
          <w:i w:val="0"/>
          <w:sz w:val="24"/>
        </w:rPr>
        <w:t xml:space="preserve"> membukukan seluruh "pendapatan" seketika sementara serat yang diperoleh dikapitalisasi dan dibebankan bertahun-tahun—padahal transaksi itu sekadar pertukaran aset yang penciptaan pendapatannya meragukan (Wolk et al., 2017, PDF hlm. 5).</w:t>
      </w:r>
    </w:p>
    <w:p>
      <w:pPr>
        <w:spacing w:lineRule="exact" w:line="260" w:before="0" w:after="80"/>
        <w:jc w:val="both"/>
      </w:pPr>
      <w:r>
        <w:rPr>
          <w:rFonts w:ascii="Times New Roman" w:hAnsi="Times New Roman" w:cs="Times New Roman"/>
          <w:b w:val="0"/>
          <w:i w:val="0"/>
          <w:sz w:val="24"/>
        </w:rPr>
        <w:t xml:space="preserve">Upaya konvergensi melahirkan standar bersama FASB–IASB, yakni </w:t>
      </w:r>
      <w:r>
        <w:rPr>
          <w:rFonts w:ascii="Times New Roman" w:hAnsi="Times New Roman" w:cs="Times New Roman"/>
          <w:b/>
          <w:i w:val="0"/>
          <w:sz w:val="24"/>
        </w:rPr>
        <w:t>ASU 2014-09</w:t>
      </w:r>
      <w:r>
        <w:rPr>
          <w:rFonts w:ascii="Times New Roman" w:hAnsi="Times New Roman" w:cs="Times New Roman"/>
          <w:b w:val="0"/>
          <w:i w:val="0"/>
          <w:sz w:val="24"/>
        </w:rPr>
        <w:t xml:space="preserve"> dan </w:t>
      </w:r>
      <w:r>
        <w:rPr>
          <w:rFonts w:ascii="Times New Roman" w:hAnsi="Times New Roman" w:cs="Times New Roman"/>
          <w:b/>
          <w:i w:val="0"/>
          <w:sz w:val="24"/>
        </w:rPr>
        <w:t>IFRS 15</w:t>
      </w:r>
      <w:r>
        <w:rPr>
          <w:rFonts w:ascii="Times New Roman" w:hAnsi="Times New Roman" w:cs="Times New Roman"/>
          <w:b w:val="0"/>
          <w:i w:val="0"/>
          <w:sz w:val="24"/>
        </w:rPr>
        <w:t xml:space="preserve">, sebagai satu standar pendapatan tunggal (Wolk et al., 2017, PDF hlm. 6). Sebelumnya, menanggapi pelanggaran aturan pengakuan yang ditautkan pada </w:t>
      </w:r>
      <w:r>
        <w:rPr>
          <w:rFonts w:ascii="Times New Roman" w:hAnsi="Times New Roman" w:cs="Times New Roman"/>
          <w:b w:val="0"/>
          <w:i/>
          <w:sz w:val="24"/>
        </w:rPr>
        <w:t>earnings management</w:t>
      </w:r>
      <w:r>
        <w:rPr>
          <w:rFonts w:ascii="Times New Roman" w:hAnsi="Times New Roman" w:cs="Times New Roman"/>
          <w:b w:val="0"/>
          <w:i w:val="0"/>
          <w:sz w:val="24"/>
        </w:rPr>
        <w:t xml:space="preserve">, SEC menerbitkan </w:t>
      </w:r>
      <w:r>
        <w:rPr>
          <w:rFonts w:ascii="Times New Roman" w:hAnsi="Times New Roman" w:cs="Times New Roman"/>
          <w:b w:val="0"/>
          <w:i/>
          <w:sz w:val="24"/>
        </w:rPr>
        <w:t>Staff Accounting Bulletin</w:t>
      </w:r>
      <w:r>
        <w:rPr>
          <w:rFonts w:ascii="Times New Roman" w:hAnsi="Times New Roman" w:cs="Times New Roman"/>
          <w:b w:val="0"/>
          <w:i w:val="0"/>
          <w:sz w:val="24"/>
        </w:rPr>
        <w:t xml:space="preserve"> (SAB) 101. FASB justru mengkritiknya sebagai terlalu mengekang sehingga laporan laba rugi kurang berguna memprediksi arus kas—ketegangan institusional FASB–SEC yang berpotensi menjadi </w:t>
      </w:r>
      <w:r>
        <w:rPr>
          <w:rFonts w:ascii="Times New Roman" w:hAnsi="Times New Roman" w:cs="Times New Roman"/>
          <w:b w:val="0"/>
          <w:i/>
          <w:sz w:val="24"/>
        </w:rPr>
        <w:t>showdown</w:t>
      </w:r>
      <w:r>
        <w:rPr>
          <w:rFonts w:ascii="Times New Roman" w:hAnsi="Times New Roman" w:cs="Times New Roman"/>
          <w:b w:val="0"/>
          <w:i w:val="0"/>
          <w:sz w:val="24"/>
        </w:rPr>
        <w:t xml:space="preserve"> bila FASB mengarahkan pengakuan ke valuasi neraca (Wolk et al., 2017, PDF hlm. 6). Ketegangan antara aturan ketat demi reliabilitas dan keleluasaan demi </w:t>
      </w:r>
      <w:r>
        <w:rPr>
          <w:rFonts w:ascii="Times New Roman" w:hAnsi="Times New Roman" w:cs="Times New Roman"/>
          <w:b w:val="0"/>
          <w:i/>
          <w:sz w:val="24"/>
        </w:rPr>
        <w:t>decision usefulness</w:t>
      </w:r>
      <w:r>
        <w:rPr>
          <w:rFonts w:ascii="Times New Roman" w:hAnsi="Times New Roman" w:cs="Times New Roman"/>
          <w:b w:val="0"/>
          <w:i w:val="0"/>
          <w:sz w:val="24"/>
        </w:rPr>
        <w:t xml:space="preserve"> inilah yang menjadi latar bagi pengakuan beban dan penandingan pada Bagian IV.</w:t>
      </w:r>
    </w:p>
    <w:p>
      <w:pPr>
        <w:spacing w:lineRule="exact" w:line="260" w:before="120" w:after="80"/>
        <w:jc w:val="left"/>
      </w:pPr>
      <w:r>
        <w:rPr>
          <w:rFonts w:ascii="Times New Roman" w:hAnsi="Times New Roman" w:cs="Times New Roman"/>
          <w:b/>
          <w:i w:val="0"/>
          <w:sz w:val="26"/>
        </w:rPr>
        <w:t>IV. Pengakuan Beban dan Matching</w:t>
      </w:r>
    </w:p>
    <w:p>
      <w:pPr>
        <w:spacing w:lineRule="exact" w:line="260" w:before="0" w:after="80"/>
        <w:jc w:val="both"/>
      </w:pPr>
      <w:r>
        <w:rPr>
          <w:rFonts w:ascii="Times New Roman" w:hAnsi="Times New Roman" w:cs="Times New Roman"/>
          <w:b w:val="0"/>
          <w:i w:val="0"/>
          <w:sz w:val="24"/>
        </w:rPr>
        <w:t xml:space="preserve">Jika pengakuan pendapatan berkutat pada </w:t>
      </w:r>
      <w:r>
        <w:rPr>
          <w:rFonts w:ascii="Times New Roman" w:hAnsi="Times New Roman" w:cs="Times New Roman"/>
          <w:b w:val="0"/>
          <w:i/>
          <w:sz w:val="24"/>
        </w:rPr>
        <w:t>kapan</w:t>
      </w:r>
      <w:r>
        <w:rPr>
          <w:rFonts w:ascii="Times New Roman" w:hAnsi="Times New Roman" w:cs="Times New Roman"/>
          <w:b w:val="0"/>
          <w:i w:val="0"/>
          <w:sz w:val="24"/>
        </w:rPr>
        <w:t xml:space="preserve"> arus masuk diakui, pengakuan beban berhadapan dengan persoalan yang lebih dalam: </w:t>
      </w:r>
      <w:r>
        <w:rPr>
          <w:rFonts w:ascii="Times New Roman" w:hAnsi="Times New Roman" w:cs="Times New Roman"/>
          <w:b w:val="0"/>
          <w:i/>
          <w:sz w:val="24"/>
        </w:rPr>
        <w:t>bagaimana</w:t>
      </w:r>
      <w:r>
        <w:rPr>
          <w:rFonts w:ascii="Times New Roman" w:hAnsi="Times New Roman" w:cs="Times New Roman"/>
          <w:b w:val="0"/>
          <w:i w:val="0"/>
          <w:sz w:val="24"/>
        </w:rPr>
        <w:t xml:space="preserve"> membebankan biaya ke periode yang tepat. APB Statement 4 mengklasifikasikan beban ke dalam tiga kategori: (1) biaya yang </w:t>
      </w:r>
      <w:r>
        <w:rPr>
          <w:rFonts w:ascii="Times New Roman" w:hAnsi="Times New Roman" w:cs="Times New Roman"/>
          <w:b/>
          <w:i w:val="0"/>
          <w:sz w:val="24"/>
        </w:rPr>
        <w:t>berhubungan langsung</w:t>
      </w:r>
      <w:r>
        <w:rPr>
          <w:rFonts w:ascii="Times New Roman" w:hAnsi="Times New Roman" w:cs="Times New Roman"/>
          <w:b w:val="0"/>
          <w:i w:val="0"/>
          <w:sz w:val="24"/>
        </w:rPr>
        <w:t xml:space="preserve"> dengan pendapatan periode tersebut; (2) biaya yang dikaitkan dengan periode atas dasar selain hubungan langsung; dan (3) biaya yang secara praktis tak dapat dikaitkan dengan periode mana pun (Wolk et al., 2017, PDF hlm. 6). Di atas ketiganya konsep </w:t>
      </w:r>
      <w:r>
        <w:rPr>
          <w:rFonts w:ascii="Times New Roman" w:hAnsi="Times New Roman" w:cs="Times New Roman"/>
          <w:b/>
          <w:i w:val="0"/>
          <w:sz w:val="24"/>
        </w:rPr>
        <w:t>matching</w:t>
      </w:r>
      <w:r>
        <w:rPr>
          <w:rFonts w:ascii="Times New Roman" w:hAnsi="Times New Roman" w:cs="Times New Roman"/>
          <w:b w:val="0"/>
          <w:i w:val="0"/>
          <w:sz w:val="24"/>
        </w:rPr>
        <w:t xml:space="preserve"> dibangun sebagai hierarki tiga tingkat: bila memungkinkan, biaya ditandingkan dengan pendapatan yang langsung dihasilkannya (</w:t>
      </w:r>
      <w:r>
        <w:rPr>
          <w:rFonts w:ascii="Times New Roman" w:hAnsi="Times New Roman" w:cs="Times New Roman"/>
          <w:b/>
          <w:i w:val="0"/>
          <w:sz w:val="24"/>
        </w:rPr>
        <w:t>hubungan sebab-akibat</w:t>
      </w:r>
      <w:r>
        <w:rPr>
          <w:rFonts w:ascii="Times New Roman" w:hAnsi="Times New Roman" w:cs="Times New Roman"/>
          <w:b w:val="0"/>
          <w:i w:val="0"/>
          <w:sz w:val="24"/>
        </w:rPr>
        <w:t xml:space="preserve">, </w:t>
      </w:r>
      <w:r>
        <w:rPr>
          <w:rFonts w:ascii="Times New Roman" w:hAnsi="Times New Roman" w:cs="Times New Roman"/>
          <w:b w:val="0"/>
          <w:i/>
          <w:sz w:val="24"/>
        </w:rPr>
        <w:t>cause-and-effect</w:t>
      </w:r>
      <w:r>
        <w:rPr>
          <w:rFonts w:ascii="Times New Roman" w:hAnsi="Times New Roman" w:cs="Times New Roman"/>
          <w:b w:val="0"/>
          <w:i w:val="0"/>
          <w:sz w:val="24"/>
        </w:rPr>
        <w:t xml:space="preserve">); bila tidak, biaya dialokasikan secara </w:t>
      </w:r>
      <w:r>
        <w:rPr>
          <w:rFonts w:ascii="Times New Roman" w:hAnsi="Times New Roman" w:cs="Times New Roman"/>
          <w:b/>
          <w:i w:val="0"/>
          <w:sz w:val="24"/>
        </w:rPr>
        <w:t>sistematis dan rasional</w:t>
      </w:r>
      <w:r>
        <w:rPr>
          <w:rFonts w:ascii="Times New Roman" w:hAnsi="Times New Roman" w:cs="Times New Roman"/>
          <w:b w:val="0"/>
          <w:i w:val="0"/>
          <w:sz w:val="24"/>
        </w:rPr>
        <w:t xml:space="preserve"> (</w:t>
      </w:r>
      <w:r>
        <w:rPr>
          <w:rFonts w:ascii="Times New Roman" w:hAnsi="Times New Roman" w:cs="Times New Roman"/>
          <w:b w:val="0"/>
          <w:i/>
          <w:sz w:val="24"/>
        </w:rPr>
        <w:t>systematic and rational allocation</w:t>
      </w:r>
      <w:r>
        <w:rPr>
          <w:rFonts w:ascii="Times New Roman" w:hAnsi="Times New Roman" w:cs="Times New Roman"/>
          <w:b w:val="0"/>
          <w:i w:val="0"/>
          <w:sz w:val="24"/>
        </w:rPr>
        <w:t xml:space="preserve">); dan bila hubungan tidak langsung pun tak ada, biaya diakui sebagai </w:t>
      </w:r>
      <w:r>
        <w:rPr>
          <w:rFonts w:ascii="Times New Roman" w:hAnsi="Times New Roman" w:cs="Times New Roman"/>
          <w:b/>
          <w:i w:val="0"/>
          <w:sz w:val="24"/>
        </w:rPr>
        <w:t>beban periode</w:t>
      </w:r>
      <w:r>
        <w:rPr>
          <w:rFonts w:ascii="Times New Roman" w:hAnsi="Times New Roman" w:cs="Times New Roman"/>
          <w:b w:val="0"/>
          <w:i w:val="0"/>
          <w:sz w:val="24"/>
        </w:rPr>
        <w:t xml:space="preserve"> (</w:t>
      </w:r>
      <w:r>
        <w:rPr>
          <w:rFonts w:ascii="Times New Roman" w:hAnsi="Times New Roman" w:cs="Times New Roman"/>
          <w:b w:val="0"/>
          <w:i/>
          <w:sz w:val="24"/>
        </w:rPr>
        <w:t>period expense</w:t>
      </w:r>
      <w:r>
        <w:rPr>
          <w:rFonts w:ascii="Times New Roman" w:hAnsi="Times New Roman" w:cs="Times New Roman"/>
          <w:b w:val="0"/>
          <w:i w:val="0"/>
          <w:sz w:val="24"/>
        </w:rPr>
        <w:t>) saat terjadi (Wolk et al., 2017, PDF hlm. 6).</w:t>
      </w:r>
    </w:p>
    <w:p>
      <w:pPr>
        <w:spacing w:before="40" w:after="40"/>
        <w:jc w:val="center"/>
      </w:pPr>
      <w:r>
        <w:drawing>
          <wp:inline xmlns:a="http://schemas.openxmlformats.org/drawingml/2006/main" xmlns:pic="http://schemas.openxmlformats.org/drawingml/2006/picture">
            <wp:extent cx="5220000" cy="1402570"/>
            <wp:docPr id="2" name="Picture 2"/>
            <wp:cNvGraphicFramePr>
              <a:graphicFrameLocks noChangeAspect="1"/>
            </wp:cNvGraphicFramePr>
            <a:graphic>
              <a:graphicData uri="http://schemas.openxmlformats.org/drawingml/2006/picture">
                <pic:pic>
                  <pic:nvPicPr>
                    <pic:cNvPr id="0" name="gambar2_hierarki_matching.png"/>
                    <pic:cNvPicPr/>
                  </pic:nvPicPr>
                  <pic:blipFill>
                    <a:blip r:embed="rId11"/>
                    <a:stretch>
                      <a:fillRect/>
                    </a:stretch>
                  </pic:blipFill>
                  <pic:spPr>
                    <a:xfrm>
                      <a:off x="0" y="0"/>
                      <a:ext cx="5220000" cy="1402570"/>
                    </a:xfrm>
                    <a:prstGeom prst="rect"/>
                  </pic:spPr>
                </pic:pic>
              </a:graphicData>
            </a:graphic>
          </wp:inline>
        </w:drawing>
      </w:r>
    </w:p>
    <w:p>
      <w:pPr>
        <w:spacing w:lineRule="exact" w:line="260" w:before="0" w:after="0"/>
        <w:jc w:val="center"/>
      </w:pPr>
      <w:r>
        <w:rPr>
          <w:rFonts w:ascii="Times New Roman" w:hAnsi="Times New Roman" w:cs="Times New Roman"/>
          <w:b/>
          <w:i w:val="0"/>
          <w:sz w:val="22"/>
        </w:rPr>
        <w:t xml:space="preserve">Gambar 2. </w:t>
      </w:r>
      <w:r>
        <w:rPr>
          <w:rFonts w:ascii="Times New Roman" w:hAnsi="Times New Roman" w:cs="Times New Roman"/>
          <w:b w:val="0"/>
          <w:i w:val="0"/>
          <w:sz w:val="22"/>
        </w:rPr>
        <w:t>Hierarki tiga tingkat pengakuan beban dan kritik alokasi Thomas</w:t>
      </w:r>
    </w:p>
    <w:p>
      <w:pPr>
        <w:spacing w:lineRule="exact" w:line="260" w:before="0" w:after="120"/>
        <w:jc w:val="center"/>
      </w:pPr>
      <w:r>
        <w:rPr>
          <w:rFonts w:ascii="Times New Roman" w:hAnsi="Times New Roman" w:cs="Times New Roman"/>
          <w:b w:val="0"/>
          <w:i/>
          <w:sz w:val="22"/>
        </w:rPr>
        <w:t>Sumber: diolah dari Wolk et al. (2017), PDF hlm. 7–8</w:t>
      </w:r>
    </w:p>
    <w:p>
      <w:pPr>
        <w:spacing w:lineRule="exact" w:line="260" w:before="0" w:after="80"/>
        <w:jc w:val="both"/>
      </w:pPr>
      <w:r>
        <w:rPr>
          <w:rFonts w:ascii="Times New Roman" w:hAnsi="Times New Roman" w:cs="Times New Roman"/>
          <w:b w:val="0"/>
          <w:i w:val="0"/>
          <w:sz w:val="24"/>
        </w:rPr>
        <w:t xml:space="preserve">Kategori ketiga lazimnya tidak menimbulkan persoalan pengakuan, karena peristiwa pemicunya jelas: ketiadaan manfaat masa depan. Biaya yang tak lagi memberi manfaat—misalnya bangunan yang terbakar—langsung diakui sebagai beban atau kerugian (Wolk et al., 2017, PDF hlm. 7). Persoalan justru bersarang pada kategori pertama dan kedua. Unsur kategori pertama seperti bahan baku dan tenaga kerja langsung mudah ditandingkan, namun </w:t>
      </w:r>
      <w:r>
        <w:rPr>
          <w:rFonts w:ascii="Times New Roman" w:hAnsi="Times New Roman" w:cs="Times New Roman"/>
          <w:b w:val="0"/>
          <w:i/>
          <w:sz w:val="24"/>
        </w:rPr>
        <w:t>overhead</w:t>
      </w:r>
      <w:r>
        <w:rPr>
          <w:rFonts w:ascii="Times New Roman" w:hAnsi="Times New Roman" w:cs="Times New Roman"/>
          <w:b w:val="0"/>
          <w:i w:val="0"/>
          <w:sz w:val="24"/>
        </w:rPr>
        <w:t xml:space="preserve"> menuntut alokasi. Kategori kedua—biaya yang belum habis namun tak terkait pendapatan periode tertentu—merupakan persoalan pengakuan beban yang sesungguhnya, sebab standar alokasi tidak menentukan </w:t>
      </w:r>
      <w:r>
        <w:rPr>
          <w:rFonts w:ascii="Times New Roman" w:hAnsi="Times New Roman" w:cs="Times New Roman"/>
          <w:b w:val="0"/>
          <w:i/>
          <w:sz w:val="24"/>
        </w:rPr>
        <w:t>peristiwa pemicu</w:t>
      </w:r>
      <w:r>
        <w:rPr>
          <w:rFonts w:ascii="Times New Roman" w:hAnsi="Times New Roman" w:cs="Times New Roman"/>
          <w:b w:val="0"/>
          <w:i w:val="0"/>
          <w:sz w:val="24"/>
        </w:rPr>
        <w:t xml:space="preserve"> pengakuan sebagaimana standar pendapatan, melainkan hanya menentukan besaran biaya yang diamortisasi tanpa menjelaskan kapan manfaat aset diberikan (Wolk et al., 2017, PDF hlm. 7).</w:t>
      </w:r>
    </w:p>
    <w:p>
      <w:pPr>
        <w:spacing w:lineRule="exact" w:line="260" w:before="0" w:after="80"/>
        <w:jc w:val="both"/>
      </w:pPr>
      <w:r>
        <w:rPr>
          <w:rFonts w:ascii="Times New Roman" w:hAnsi="Times New Roman" w:cs="Times New Roman"/>
          <w:b w:val="0"/>
          <w:i w:val="0"/>
          <w:sz w:val="24"/>
        </w:rPr>
        <w:t xml:space="preserve">Alokasi sistematis dan rasional sepanjang banyak periode tak terhindarkan, karena model berbasis </w:t>
      </w:r>
      <w:r>
        <w:rPr>
          <w:rFonts w:ascii="Times New Roman" w:hAnsi="Times New Roman" w:cs="Times New Roman"/>
          <w:b/>
          <w:i w:val="0"/>
          <w:sz w:val="24"/>
        </w:rPr>
        <w:t>historical cost</w:t>
      </w:r>
      <w:r>
        <w:rPr>
          <w:rFonts w:ascii="Times New Roman" w:hAnsi="Times New Roman" w:cs="Times New Roman"/>
          <w:b w:val="0"/>
          <w:i w:val="0"/>
          <w:sz w:val="24"/>
        </w:rPr>
        <w:t xml:space="preserve"> wajib mengalokasikan biaya yang telah terjadi: penyusutan, amortisasi </w:t>
      </w:r>
      <w:r>
        <w:rPr>
          <w:rFonts w:ascii="Times New Roman" w:hAnsi="Times New Roman" w:cs="Times New Roman"/>
          <w:b w:val="0"/>
          <w:i/>
          <w:sz w:val="24"/>
        </w:rPr>
        <w:t>goodwill</w:t>
      </w:r>
      <w:r>
        <w:rPr>
          <w:rFonts w:ascii="Times New Roman" w:hAnsi="Times New Roman" w:cs="Times New Roman"/>
          <w:b w:val="0"/>
          <w:i w:val="0"/>
          <w:sz w:val="24"/>
        </w:rPr>
        <w:t xml:space="preserve"> dan premium/diskon obligasi, hingga pemilihan metode persediaan (FIFO, LIFO, rata-rata tertimbang) (Wolk et al., 2017, PDF hlm. 8). Di sinilah </w:t>
      </w:r>
      <w:r>
        <w:rPr>
          <w:rFonts w:ascii="Times New Roman" w:hAnsi="Times New Roman" w:cs="Times New Roman"/>
          <w:b/>
          <w:i w:val="0"/>
          <w:sz w:val="24"/>
        </w:rPr>
        <w:t>tesis Thomas</w:t>
      </w:r>
      <w:r>
        <w:rPr>
          <w:rFonts w:ascii="Times New Roman" w:hAnsi="Times New Roman" w:cs="Times New Roman"/>
          <w:b w:val="0"/>
          <w:i w:val="0"/>
          <w:sz w:val="24"/>
        </w:rPr>
        <w:t xml:space="preserve"> menghunjam: pemilihan satu metode alokasi atas alternatif lain bersifat </w:t>
      </w:r>
      <w:r>
        <w:rPr>
          <w:rFonts w:ascii="Times New Roman" w:hAnsi="Times New Roman" w:cs="Times New Roman"/>
          <w:b w:val="0"/>
          <w:i/>
          <w:sz w:val="24"/>
        </w:rPr>
        <w:t>meaningless</w:t>
      </w:r>
      <w:r>
        <w:rPr>
          <w:rFonts w:ascii="Times New Roman" w:hAnsi="Times New Roman" w:cs="Times New Roman"/>
          <w:b w:val="0"/>
          <w:i w:val="0"/>
          <w:sz w:val="24"/>
        </w:rPr>
        <w:t xml:space="preserve">, sebab keunggulannya </w:t>
      </w:r>
      <w:r>
        <w:rPr>
          <w:rFonts w:ascii="Times New Roman" w:hAnsi="Times New Roman" w:cs="Times New Roman"/>
          <w:b/>
          <w:i w:val="0"/>
          <w:sz w:val="24"/>
        </w:rPr>
        <w:t>tidak dapat diverifikasi maupun dibantah</w:t>
      </w:r>
      <w:r>
        <w:rPr>
          <w:rFonts w:ascii="Times New Roman" w:hAnsi="Times New Roman" w:cs="Times New Roman"/>
          <w:b w:val="0"/>
          <w:i w:val="0"/>
          <w:sz w:val="24"/>
        </w:rPr>
        <w:t xml:space="preserve"> (</w:t>
      </w:r>
      <w:r>
        <w:rPr>
          <w:rFonts w:ascii="Times New Roman" w:hAnsi="Times New Roman" w:cs="Times New Roman"/>
          <w:b w:val="0"/>
          <w:i/>
          <w:sz w:val="24"/>
        </w:rPr>
        <w:t>can be neither verified nor refuted</w:t>
      </w:r>
      <w:r>
        <w:rPr>
          <w:rFonts w:ascii="Times New Roman" w:hAnsi="Times New Roman" w:cs="Times New Roman"/>
          <w:b w:val="0"/>
          <w:i w:val="0"/>
          <w:sz w:val="24"/>
        </w:rPr>
        <w:t xml:space="preserve">)—tak terbukti bahwa penyusutan garis lurus lebih tepat daripada dipercepat, atau FIFO daripada LIFO (Wolk et al., 2017, PDF hlm. 8). Karena tak ada alokasi yang sepenuhnya dapat dipertahankan, </w:t>
      </w:r>
      <w:r>
        <w:rPr>
          <w:rFonts w:ascii="Times New Roman" w:hAnsi="Times New Roman" w:cs="Times New Roman"/>
          <w:b/>
          <w:i w:val="0"/>
          <w:sz w:val="24"/>
        </w:rPr>
        <w:t>semua alokasi akuntansi pada akhirnya bersifat arbitrer</w:t>
      </w:r>
      <w:r>
        <w:rPr>
          <w:rFonts w:ascii="Times New Roman" w:hAnsi="Times New Roman" w:cs="Times New Roman"/>
          <w:b w:val="0"/>
          <w:i w:val="0"/>
          <w:sz w:val="24"/>
        </w:rPr>
        <w:t xml:space="preserve">—gagasan yang menghunjam ke inti logis akuntansi biaya historis dan menggugat klaim reliabilitas yang menjadi pembenaran utama </w:t>
      </w:r>
      <w:r>
        <w:rPr>
          <w:rFonts w:ascii="Times New Roman" w:hAnsi="Times New Roman" w:cs="Times New Roman"/>
          <w:b w:val="0"/>
          <w:i/>
          <w:sz w:val="24"/>
        </w:rPr>
        <w:t>historical cost</w:t>
      </w:r>
      <w:r>
        <w:rPr>
          <w:rFonts w:ascii="Times New Roman" w:hAnsi="Times New Roman" w:cs="Times New Roman"/>
          <w:b w:val="0"/>
          <w:i w:val="0"/>
          <w:sz w:val="24"/>
        </w:rPr>
        <w:t>.</w:t>
      </w:r>
    </w:p>
    <w:p>
      <w:pPr>
        <w:spacing w:lineRule="exact" w:line="260" w:before="0" w:after="80"/>
        <w:jc w:val="both"/>
      </w:pPr>
      <w:r>
        <w:rPr>
          <w:rFonts w:ascii="Times New Roman" w:hAnsi="Times New Roman" w:cs="Times New Roman"/>
          <w:b w:val="0"/>
          <w:i w:val="0"/>
          <w:sz w:val="24"/>
        </w:rPr>
        <w:t xml:space="preserve">Konsekuensi logisnya, sebagian pihak mengadvokasi laporan keuangan </w:t>
      </w:r>
      <w:r>
        <w:rPr>
          <w:rFonts w:ascii="Times New Roman" w:hAnsi="Times New Roman" w:cs="Times New Roman"/>
          <w:b/>
          <w:i w:val="0"/>
          <w:sz w:val="24"/>
        </w:rPr>
        <w:t>bebas alokasi</w:t>
      </w:r>
      <w:r>
        <w:rPr>
          <w:rFonts w:ascii="Times New Roman" w:hAnsi="Times New Roman" w:cs="Times New Roman"/>
          <w:b w:val="0"/>
          <w:i w:val="0"/>
          <w:sz w:val="24"/>
        </w:rPr>
        <w:t xml:space="preserve"> (</w:t>
      </w:r>
      <w:r>
        <w:rPr>
          <w:rFonts w:ascii="Times New Roman" w:hAnsi="Times New Roman" w:cs="Times New Roman"/>
          <w:b w:val="0"/>
          <w:i/>
          <w:sz w:val="24"/>
        </w:rPr>
        <w:t>allocation-free</w:t>
      </w:r>
      <w:r>
        <w:rPr>
          <w:rFonts w:ascii="Times New Roman" w:hAnsi="Times New Roman" w:cs="Times New Roman"/>
          <w:b w:val="0"/>
          <w:i w:val="0"/>
          <w:sz w:val="24"/>
        </w:rPr>
        <w:t xml:space="preserve">) sebagai informasi yang lebih berguna—melalui </w:t>
      </w:r>
      <w:r>
        <w:rPr>
          <w:rFonts w:ascii="Times New Roman" w:hAnsi="Times New Roman" w:cs="Times New Roman"/>
          <w:b/>
          <w:i w:val="0"/>
          <w:sz w:val="24"/>
        </w:rPr>
        <w:t>laporan arus kas</w:t>
      </w:r>
      <w:r>
        <w:rPr>
          <w:rFonts w:ascii="Times New Roman" w:hAnsi="Times New Roman" w:cs="Times New Roman"/>
          <w:b w:val="0"/>
          <w:i w:val="0"/>
          <w:sz w:val="24"/>
        </w:rPr>
        <w:t xml:space="preserve"> (</w:t>
      </w:r>
      <w:r>
        <w:rPr>
          <w:rFonts w:ascii="Times New Roman" w:hAnsi="Times New Roman" w:cs="Times New Roman"/>
          <w:b w:val="0"/>
          <w:i/>
          <w:sz w:val="24"/>
        </w:rPr>
        <w:t>cash flow statements</w:t>
      </w:r>
      <w:r>
        <w:rPr>
          <w:rFonts w:ascii="Times New Roman" w:hAnsi="Times New Roman" w:cs="Times New Roman"/>
          <w:b w:val="0"/>
          <w:i w:val="0"/>
          <w:sz w:val="24"/>
        </w:rPr>
        <w:t xml:space="preserve">), </w:t>
      </w:r>
      <w:r>
        <w:rPr>
          <w:rFonts w:ascii="Times New Roman" w:hAnsi="Times New Roman" w:cs="Times New Roman"/>
          <w:b/>
          <w:i w:val="0"/>
          <w:sz w:val="24"/>
        </w:rPr>
        <w:t>sistem harga keluar</w:t>
      </w:r>
      <w:r>
        <w:rPr>
          <w:rFonts w:ascii="Times New Roman" w:hAnsi="Times New Roman" w:cs="Times New Roman"/>
          <w:b w:val="0"/>
          <w:i w:val="0"/>
          <w:sz w:val="24"/>
        </w:rPr>
        <w:t xml:space="preserve"> (</w:t>
      </w:r>
      <w:r>
        <w:rPr>
          <w:rFonts w:ascii="Times New Roman" w:hAnsi="Times New Roman" w:cs="Times New Roman"/>
          <w:b w:val="0"/>
          <w:i/>
          <w:sz w:val="24"/>
        </w:rPr>
        <w:t>exit-price systems</w:t>
      </w:r>
      <w:r>
        <w:rPr>
          <w:rFonts w:ascii="Times New Roman" w:hAnsi="Times New Roman" w:cs="Times New Roman"/>
          <w:b w:val="0"/>
          <w:i w:val="0"/>
          <w:sz w:val="24"/>
        </w:rPr>
        <w:t xml:space="preserve">), dan jenis tertentu </w:t>
      </w:r>
      <w:r>
        <w:rPr>
          <w:rFonts w:ascii="Times New Roman" w:hAnsi="Times New Roman" w:cs="Times New Roman"/>
          <w:b/>
          <w:i w:val="0"/>
          <w:sz w:val="24"/>
        </w:rPr>
        <w:t>sistem biaya pengganti</w:t>
      </w:r>
      <w:r>
        <w:rPr>
          <w:rFonts w:ascii="Times New Roman" w:hAnsi="Times New Roman" w:cs="Times New Roman"/>
          <w:b w:val="0"/>
          <w:i w:val="0"/>
          <w:sz w:val="24"/>
        </w:rPr>
        <w:t xml:space="preserve"> (</w:t>
      </w:r>
      <w:r>
        <w:rPr>
          <w:rFonts w:ascii="Times New Roman" w:hAnsi="Times New Roman" w:cs="Times New Roman"/>
          <w:b w:val="0"/>
          <w:i/>
          <w:sz w:val="24"/>
        </w:rPr>
        <w:t>replacement-cost systems</w:t>
      </w:r>
      <w:r>
        <w:rPr>
          <w:rFonts w:ascii="Times New Roman" w:hAnsi="Times New Roman" w:cs="Times New Roman"/>
          <w:b w:val="0"/>
          <w:i w:val="0"/>
          <w:sz w:val="24"/>
        </w:rPr>
        <w:t xml:space="preserve">) yang menghindari pengalokasian biaya historis (Wolk et al., 2017, PDF hlm. 8). Namun ada sanggahan empiris yang menyeimbangkan kritik deduktif ini: meskipun alokasi arbitrer, angka laba yang memuatnya tetap memiliki </w:t>
      </w:r>
      <w:r>
        <w:rPr>
          <w:rFonts w:ascii="Times New Roman" w:hAnsi="Times New Roman" w:cs="Times New Roman"/>
          <w:b/>
          <w:i w:val="0"/>
          <w:sz w:val="24"/>
        </w:rPr>
        <w:t>kandungan informasi</w:t>
      </w:r>
      <w:r>
        <w:rPr>
          <w:rFonts w:ascii="Times New Roman" w:hAnsi="Times New Roman" w:cs="Times New Roman"/>
          <w:b w:val="0"/>
          <w:i w:val="0"/>
          <w:sz w:val="24"/>
        </w:rPr>
        <w:t xml:space="preserve"> (</w:t>
      </w:r>
      <w:r>
        <w:rPr>
          <w:rFonts w:ascii="Times New Roman" w:hAnsi="Times New Roman" w:cs="Times New Roman"/>
          <w:b w:val="0"/>
          <w:i/>
          <w:sz w:val="24"/>
        </w:rPr>
        <w:t>information content</w:t>
      </w:r>
      <w:r>
        <w:rPr>
          <w:rFonts w:ascii="Times New Roman" w:hAnsi="Times New Roman" w:cs="Times New Roman"/>
          <w:b w:val="0"/>
          <w:i w:val="0"/>
          <w:sz w:val="24"/>
        </w:rPr>
        <w:t>) bagi pengguna eksternal. Bukti dari riset pasar modal (</w:t>
      </w:r>
      <w:r>
        <w:rPr>
          <w:rFonts w:ascii="Times New Roman" w:hAnsi="Times New Roman" w:cs="Times New Roman"/>
          <w:b w:val="0"/>
          <w:i/>
          <w:sz w:val="24"/>
        </w:rPr>
        <w:t>capital market research</w:t>
      </w:r>
      <w:r>
        <w:rPr>
          <w:rFonts w:ascii="Times New Roman" w:hAnsi="Times New Roman" w:cs="Times New Roman"/>
          <w:b w:val="0"/>
          <w:i w:val="0"/>
          <w:sz w:val="24"/>
        </w:rPr>
        <w:t xml:space="preserve">) pada Bab 8 menunjukkan kegunaan informasi akuntansi adalah persoalan empiris yang melampaui logika deduktif masalah alokasi (Wolk et al., 2017, PDF hlm. 8). Setelah memetakan kerangka pengakuan pendapatan dan beban, kita beralih ke peran </w:t>
      </w:r>
      <w:r>
        <w:rPr>
          <w:rFonts w:ascii="Times New Roman" w:hAnsi="Times New Roman" w:cs="Times New Roman"/>
          <w:b/>
          <w:i w:val="0"/>
          <w:sz w:val="24"/>
        </w:rPr>
        <w:t>peristiwa masa depan</w:t>
      </w:r>
      <w:r>
        <w:rPr>
          <w:rFonts w:ascii="Times New Roman" w:hAnsi="Times New Roman" w:cs="Times New Roman"/>
          <w:b w:val="0"/>
          <w:i w:val="0"/>
          <w:sz w:val="24"/>
        </w:rPr>
        <w:t xml:space="preserve"> (</w:t>
      </w:r>
      <w:r>
        <w:rPr>
          <w:rFonts w:ascii="Times New Roman" w:hAnsi="Times New Roman" w:cs="Times New Roman"/>
          <w:b w:val="0"/>
          <w:i/>
          <w:sz w:val="24"/>
        </w:rPr>
        <w:t>future events</w:t>
      </w:r>
      <w:r>
        <w:rPr>
          <w:rFonts w:ascii="Times New Roman" w:hAnsi="Times New Roman" w:cs="Times New Roman"/>
          <w:b w:val="0"/>
          <w:i w:val="0"/>
          <w:sz w:val="24"/>
        </w:rPr>
        <w:t>) dalam pengakuan, pokok Bagian V.</w:t>
      </w:r>
    </w:p>
    <w:p>
      <w:pPr>
        <w:spacing w:lineRule="exact" w:line="260" w:before="120" w:after="80"/>
        <w:jc w:val="left"/>
      </w:pPr>
      <w:r>
        <w:rPr>
          <w:rFonts w:ascii="Times New Roman" w:hAnsi="Times New Roman" w:cs="Times New Roman"/>
          <w:b/>
          <w:i w:val="0"/>
          <w:sz w:val="26"/>
        </w:rPr>
        <w:t>V. Future Events dan Pengakuan Akuntansi</w:t>
      </w:r>
    </w:p>
    <w:p>
      <w:pPr>
        <w:spacing w:lineRule="exact" w:line="260" w:before="0" w:after="80"/>
        <w:jc w:val="both"/>
      </w:pPr>
      <w:r>
        <w:rPr>
          <w:rFonts w:ascii="Times New Roman" w:hAnsi="Times New Roman" w:cs="Times New Roman"/>
          <w:b w:val="0"/>
          <w:i w:val="0"/>
          <w:sz w:val="24"/>
        </w:rPr>
        <w:t xml:space="preserve">Pelaporan akuntansi berpijak pada pencatatan peristiwa yang telah terjadi, namun pencatatan itu sangat bergantung pada penafsiran kita atas </w:t>
      </w:r>
      <w:r>
        <w:rPr>
          <w:rFonts w:ascii="Times New Roman" w:hAnsi="Times New Roman" w:cs="Times New Roman"/>
          <w:b/>
          <w:i w:val="0"/>
          <w:sz w:val="24"/>
        </w:rPr>
        <w:t>peristiwa masa depan</w:t>
      </w:r>
      <w:r>
        <w:rPr>
          <w:rFonts w:ascii="Times New Roman" w:hAnsi="Times New Roman" w:cs="Times New Roman"/>
          <w:b w:val="0"/>
          <w:i w:val="0"/>
          <w:sz w:val="24"/>
        </w:rPr>
        <w:t xml:space="preserve"> (</w:t>
      </w:r>
      <w:r>
        <w:rPr>
          <w:rFonts w:ascii="Times New Roman" w:hAnsi="Times New Roman" w:cs="Times New Roman"/>
          <w:b w:val="0"/>
          <w:i/>
          <w:sz w:val="24"/>
        </w:rPr>
        <w:t>future events</w:t>
      </w:r>
      <w:r>
        <w:rPr>
          <w:rFonts w:ascii="Times New Roman" w:hAnsi="Times New Roman" w:cs="Times New Roman"/>
          <w:b w:val="0"/>
          <w:i w:val="0"/>
          <w:sz w:val="24"/>
        </w:rPr>
        <w:t xml:space="preserve">). Setiap </w:t>
      </w:r>
      <w:r>
        <w:rPr>
          <w:rFonts w:ascii="Times New Roman" w:hAnsi="Times New Roman" w:cs="Times New Roman"/>
          <w:b/>
          <w:i w:val="0"/>
          <w:sz w:val="24"/>
        </w:rPr>
        <w:t>akrual</w:t>
      </w:r>
      <w:r>
        <w:rPr>
          <w:rFonts w:ascii="Times New Roman" w:hAnsi="Times New Roman" w:cs="Times New Roman"/>
          <w:b w:val="0"/>
          <w:i w:val="0"/>
          <w:sz w:val="24"/>
        </w:rPr>
        <w:t xml:space="preserve"> (</w:t>
      </w:r>
      <w:r>
        <w:rPr>
          <w:rFonts w:ascii="Times New Roman" w:hAnsi="Times New Roman" w:cs="Times New Roman"/>
          <w:b w:val="0"/>
          <w:i/>
          <w:sz w:val="24"/>
        </w:rPr>
        <w:t>accrual</w:t>
      </w:r>
      <w:r>
        <w:rPr>
          <w:rFonts w:ascii="Times New Roman" w:hAnsi="Times New Roman" w:cs="Times New Roman"/>
          <w:b w:val="0"/>
          <w:i w:val="0"/>
          <w:sz w:val="24"/>
        </w:rPr>
        <w:t xml:space="preserve">) dan </w:t>
      </w:r>
      <w:r>
        <w:rPr>
          <w:rFonts w:ascii="Times New Roman" w:hAnsi="Times New Roman" w:cs="Times New Roman"/>
          <w:b/>
          <w:i w:val="0"/>
          <w:sz w:val="24"/>
        </w:rPr>
        <w:t>penangguhan</w:t>
      </w:r>
      <w:r>
        <w:rPr>
          <w:rFonts w:ascii="Times New Roman" w:hAnsi="Times New Roman" w:cs="Times New Roman"/>
          <w:b w:val="0"/>
          <w:i w:val="0"/>
          <w:sz w:val="24"/>
        </w:rPr>
        <w:t xml:space="preserve"> (</w:t>
      </w:r>
      <w:r>
        <w:rPr>
          <w:rFonts w:ascii="Times New Roman" w:hAnsi="Times New Roman" w:cs="Times New Roman"/>
          <w:b w:val="0"/>
          <w:i/>
          <w:sz w:val="24"/>
        </w:rPr>
        <w:t>deferral</w:t>
      </w:r>
      <w:r>
        <w:rPr>
          <w:rFonts w:ascii="Times New Roman" w:hAnsi="Times New Roman" w:cs="Times New Roman"/>
          <w:b w:val="0"/>
          <w:i w:val="0"/>
          <w:sz w:val="24"/>
        </w:rPr>
        <w:t xml:space="preserve">) bergantung padanya dalam derajat berbeda-beda; perhitungan penyusutan, misalnya, bergantung pada taksiran umur ekonomis dan nilai sisa aset (Wolk et al., 2017, PDF hlm. 8). Titik tolak yang baik adalah definisi dalam </w:t>
      </w:r>
      <w:r>
        <w:rPr>
          <w:rFonts w:ascii="Times New Roman" w:hAnsi="Times New Roman" w:cs="Times New Roman"/>
          <w:b/>
          <w:i w:val="0"/>
          <w:sz w:val="24"/>
        </w:rPr>
        <w:t>SFAC No. 6</w:t>
      </w:r>
      <w:r>
        <w:rPr>
          <w:rFonts w:ascii="Times New Roman" w:hAnsi="Times New Roman" w:cs="Times New Roman"/>
          <w:b w:val="0"/>
          <w:i w:val="0"/>
          <w:sz w:val="24"/>
        </w:rPr>
        <w:t xml:space="preserve">: aset adalah pengendalian dari transaksi masa lalu yang menghasilkan manfaat ekonomi masa depan, sedangkan liabilitas adalah kewajiban dari transaksi masa lalu yang menuntut pengorbanan sumber daya masa depan. Kedua definisi itu praktis berimbang antara masa lalu dan masa depan, sebagaimana pula definisi IASB serta badan penyusun standar di Inggris, Australia, dan Kanada. Karena perlakuan atas peristiwa masa depan belum tersistematisasi, badan-badan penyusun standar mulai mengkajinya serius pada </w:t>
      </w:r>
      <w:r>
        <w:rPr>
          <w:rFonts w:ascii="Times New Roman" w:hAnsi="Times New Roman" w:cs="Times New Roman"/>
          <w:b/>
          <w:i w:val="0"/>
          <w:sz w:val="24"/>
        </w:rPr>
        <w:t>konferensi 1994</w:t>
      </w:r>
      <w:r>
        <w:rPr>
          <w:rFonts w:ascii="Times New Roman" w:hAnsi="Times New Roman" w:cs="Times New Roman"/>
          <w:b w:val="0"/>
          <w:i w:val="0"/>
          <w:sz w:val="24"/>
        </w:rPr>
        <w:t xml:space="preserve"> (Wolk et al., 2017, PDF hlm. 8–9).</w:t>
      </w:r>
    </w:p>
    <w:p>
      <w:pPr>
        <w:spacing w:lineRule="exact" w:line="260" w:before="0" w:after="80"/>
        <w:jc w:val="both"/>
      </w:pPr>
      <w:r>
        <w:rPr>
          <w:rFonts w:ascii="Times New Roman" w:hAnsi="Times New Roman" w:cs="Times New Roman"/>
          <w:b w:val="0"/>
          <w:i w:val="0"/>
          <w:sz w:val="24"/>
        </w:rPr>
        <w:t xml:space="preserve">Salah satu titik perdebatan adalah dianutnya </w:t>
      </w:r>
      <w:r>
        <w:rPr>
          <w:rFonts w:ascii="Times New Roman" w:hAnsi="Times New Roman" w:cs="Times New Roman"/>
          <w:b/>
          <w:i w:val="0"/>
          <w:sz w:val="24"/>
        </w:rPr>
        <w:t>pandangan satu peristiwa</w:t>
      </w:r>
      <w:r>
        <w:rPr>
          <w:rFonts w:ascii="Times New Roman" w:hAnsi="Times New Roman" w:cs="Times New Roman"/>
          <w:b w:val="0"/>
          <w:i w:val="0"/>
          <w:sz w:val="24"/>
        </w:rPr>
        <w:t xml:space="preserve"> (</w:t>
      </w:r>
      <w:r>
        <w:rPr>
          <w:rFonts w:ascii="Times New Roman" w:hAnsi="Times New Roman" w:cs="Times New Roman"/>
          <w:b w:val="0"/>
          <w:i/>
          <w:sz w:val="24"/>
        </w:rPr>
        <w:t>one-event view</w:t>
      </w:r>
      <w:r>
        <w:rPr>
          <w:rFonts w:ascii="Times New Roman" w:hAnsi="Times New Roman" w:cs="Times New Roman"/>
          <w:b w:val="0"/>
          <w:i w:val="0"/>
          <w:sz w:val="24"/>
        </w:rPr>
        <w:t xml:space="preserve">) atau </w:t>
      </w:r>
      <w:r>
        <w:rPr>
          <w:rFonts w:ascii="Times New Roman" w:hAnsi="Times New Roman" w:cs="Times New Roman"/>
          <w:b/>
          <w:i w:val="0"/>
          <w:sz w:val="24"/>
        </w:rPr>
        <w:t>pandangan dua peristiwa</w:t>
      </w:r>
      <w:r>
        <w:rPr>
          <w:rFonts w:ascii="Times New Roman" w:hAnsi="Times New Roman" w:cs="Times New Roman"/>
          <w:b w:val="0"/>
          <w:i w:val="0"/>
          <w:sz w:val="24"/>
        </w:rPr>
        <w:t xml:space="preserve"> (</w:t>
      </w:r>
      <w:r>
        <w:rPr>
          <w:rFonts w:ascii="Times New Roman" w:hAnsi="Times New Roman" w:cs="Times New Roman"/>
          <w:b w:val="0"/>
          <w:i/>
          <w:sz w:val="24"/>
        </w:rPr>
        <w:t>two-event view</w:t>
      </w:r>
      <w:r>
        <w:rPr>
          <w:rFonts w:ascii="Times New Roman" w:hAnsi="Times New Roman" w:cs="Times New Roman"/>
          <w:b w:val="0"/>
          <w:i w:val="0"/>
          <w:sz w:val="24"/>
        </w:rPr>
        <w:t>). Pada penawaran insentif pensiun dini, penganut pandangan satu peristiwa mengakui transaksi saat penawaran dibuat dan sangat bergantung pada estimasi probabilistik, sedangkan penganut pandangan dua peristiwa baru mengakui liabilitas ketika karyawan menerima tawaran. Keduanya konsisten dengan SFAC No. 6 (Wolk et al., 2017, PDF hlm. 9).</w:t>
      </w:r>
    </w:p>
    <w:p>
      <w:pPr>
        <w:spacing w:before="40" w:after="40"/>
        <w:jc w:val="center"/>
      </w:pPr>
      <w:r>
        <w:drawing>
          <wp:inline xmlns:a="http://schemas.openxmlformats.org/drawingml/2006/main" xmlns:pic="http://schemas.openxmlformats.org/drawingml/2006/picture">
            <wp:extent cx="5220000" cy="2195327"/>
            <wp:docPr id="3" name="Picture 3"/>
            <wp:cNvGraphicFramePr>
              <a:graphicFrameLocks noChangeAspect="1"/>
            </wp:cNvGraphicFramePr>
            <a:graphic>
              <a:graphicData uri="http://schemas.openxmlformats.org/drawingml/2006/picture">
                <pic:pic>
                  <pic:nvPicPr>
                    <pic:cNvPr id="0" name="gambar3_future_events.png"/>
                    <pic:cNvPicPr/>
                  </pic:nvPicPr>
                  <pic:blipFill>
                    <a:blip r:embed="rId12"/>
                    <a:stretch>
                      <a:fillRect/>
                    </a:stretch>
                  </pic:blipFill>
                  <pic:spPr>
                    <a:xfrm>
                      <a:off x="0" y="0"/>
                      <a:ext cx="5220000" cy="2195327"/>
                    </a:xfrm>
                    <a:prstGeom prst="rect"/>
                  </pic:spPr>
                </pic:pic>
              </a:graphicData>
            </a:graphic>
          </wp:inline>
        </w:drawing>
      </w:r>
    </w:p>
    <w:p>
      <w:pPr>
        <w:spacing w:lineRule="exact" w:line="260" w:before="0" w:after="0"/>
        <w:jc w:val="center"/>
      </w:pPr>
      <w:r>
        <w:rPr>
          <w:rFonts w:ascii="Times New Roman" w:hAnsi="Times New Roman" w:cs="Times New Roman"/>
          <w:b/>
          <w:i w:val="0"/>
          <w:sz w:val="22"/>
        </w:rPr>
        <w:t xml:space="preserve">Gambar 3. </w:t>
      </w:r>
      <w:r>
        <w:rPr>
          <w:rFonts w:ascii="Times New Roman" w:hAnsi="Times New Roman" w:cs="Times New Roman"/>
          <w:b w:val="0"/>
          <w:i w:val="0"/>
          <w:sz w:val="22"/>
        </w:rPr>
        <w:t>Peta isu future events dalam pengakuan akuntansi</w:t>
      </w:r>
    </w:p>
    <w:p>
      <w:pPr>
        <w:spacing w:lineRule="exact" w:line="260" w:before="0" w:after="120"/>
        <w:jc w:val="center"/>
      </w:pPr>
      <w:r>
        <w:rPr>
          <w:rFonts w:ascii="Times New Roman" w:hAnsi="Times New Roman" w:cs="Times New Roman"/>
          <w:b w:val="0"/>
          <w:i/>
          <w:sz w:val="22"/>
        </w:rPr>
        <w:t>Sumber: diolah dari Wolk et al. (2017), PDF hlm. 8–11</w:t>
      </w:r>
    </w:p>
    <w:p>
      <w:pPr>
        <w:spacing w:lineRule="exact" w:line="260" w:before="0" w:after="80"/>
        <w:jc w:val="both"/>
      </w:pPr>
      <w:r>
        <w:rPr>
          <w:rFonts w:ascii="Times New Roman" w:hAnsi="Times New Roman" w:cs="Times New Roman"/>
          <w:b w:val="0"/>
          <w:i w:val="0"/>
          <w:sz w:val="24"/>
        </w:rPr>
        <w:t xml:space="preserve">Persoalan intinya adalah </w:t>
      </w:r>
      <w:r>
        <w:rPr>
          <w:rFonts w:ascii="Times New Roman" w:hAnsi="Times New Roman" w:cs="Times New Roman"/>
          <w:b/>
          <w:i w:val="0"/>
          <w:sz w:val="24"/>
        </w:rPr>
        <w:t>sifat probabilistik</w:t>
      </w:r>
      <w:r>
        <w:rPr>
          <w:rFonts w:ascii="Times New Roman" w:hAnsi="Times New Roman" w:cs="Times New Roman"/>
          <w:b w:val="0"/>
          <w:i w:val="0"/>
          <w:sz w:val="24"/>
        </w:rPr>
        <w:t xml:space="preserve"> peristiwa masa depan. </w:t>
      </w:r>
      <w:r>
        <w:rPr>
          <w:rFonts w:ascii="Times New Roman" w:hAnsi="Times New Roman" w:cs="Times New Roman"/>
          <w:b/>
          <w:i w:val="0"/>
          <w:sz w:val="24"/>
        </w:rPr>
        <w:t>SFAS No. 5</w:t>
      </w:r>
      <w:r>
        <w:rPr>
          <w:rFonts w:ascii="Times New Roman" w:hAnsi="Times New Roman" w:cs="Times New Roman"/>
          <w:b w:val="0"/>
          <w:i w:val="0"/>
          <w:sz w:val="24"/>
        </w:rPr>
        <w:t xml:space="preserve"> atas </w:t>
      </w:r>
      <w:r>
        <w:rPr>
          <w:rFonts w:ascii="Times New Roman" w:hAnsi="Times New Roman" w:cs="Times New Roman"/>
          <w:b w:val="0"/>
          <w:i/>
          <w:sz w:val="24"/>
        </w:rPr>
        <w:t>loss contingencies</w:t>
      </w:r>
      <w:r>
        <w:rPr>
          <w:rFonts w:ascii="Times New Roman" w:hAnsi="Times New Roman" w:cs="Times New Roman"/>
          <w:b w:val="0"/>
          <w:i w:val="0"/>
          <w:sz w:val="24"/>
        </w:rPr>
        <w:t xml:space="preserve"> menggambarkannya dengan gradasi </w:t>
      </w:r>
      <w:r>
        <w:rPr>
          <w:rFonts w:ascii="Times New Roman" w:hAnsi="Times New Roman" w:cs="Times New Roman"/>
          <w:b w:val="0"/>
          <w:i/>
          <w:sz w:val="24"/>
        </w:rPr>
        <w:t>probable</w:t>
      </w:r>
      <w:r>
        <w:rPr>
          <w:rFonts w:ascii="Times New Roman" w:hAnsi="Times New Roman" w:cs="Times New Roman"/>
          <w:b w:val="0"/>
          <w:i w:val="0"/>
          <w:sz w:val="24"/>
        </w:rPr>
        <w:t xml:space="preserve"> (di atas 50%), </w:t>
      </w:r>
      <w:r>
        <w:rPr>
          <w:rFonts w:ascii="Times New Roman" w:hAnsi="Times New Roman" w:cs="Times New Roman"/>
          <w:b w:val="0"/>
          <w:i/>
          <w:sz w:val="24"/>
        </w:rPr>
        <w:t>reasonably possible</w:t>
      </w:r>
      <w:r>
        <w:rPr>
          <w:rFonts w:ascii="Times New Roman" w:hAnsi="Times New Roman" w:cs="Times New Roman"/>
          <w:b w:val="0"/>
          <w:i w:val="0"/>
          <w:sz w:val="24"/>
        </w:rPr>
        <w:t xml:space="preserve">, dan </w:t>
      </w:r>
      <w:r>
        <w:rPr>
          <w:rFonts w:ascii="Times New Roman" w:hAnsi="Times New Roman" w:cs="Times New Roman"/>
          <w:b w:val="0"/>
          <w:i/>
          <w:sz w:val="24"/>
        </w:rPr>
        <w:t>remote</w:t>
      </w:r>
      <w:r>
        <w:rPr>
          <w:rFonts w:ascii="Times New Roman" w:hAnsi="Times New Roman" w:cs="Times New Roman"/>
          <w:b w:val="0"/>
          <w:i w:val="0"/>
          <w:sz w:val="24"/>
        </w:rPr>
        <w:t xml:space="preserve">. Konferensi menelaah tiga pendekatan pengakuan: </w:t>
      </w:r>
      <w:r>
        <w:rPr>
          <w:rFonts w:ascii="Times New Roman" w:hAnsi="Times New Roman" w:cs="Times New Roman"/>
          <w:b/>
          <w:i w:val="0"/>
          <w:sz w:val="24"/>
        </w:rPr>
        <w:t>pendekatan modal</w:t>
      </w:r>
      <w:r>
        <w:rPr>
          <w:rFonts w:ascii="Times New Roman" w:hAnsi="Times New Roman" w:cs="Times New Roman"/>
          <w:b w:val="0"/>
          <w:i w:val="0"/>
          <w:sz w:val="24"/>
        </w:rPr>
        <w:t xml:space="preserve"> (peristiwa tunggal paling mungkin), </w:t>
      </w:r>
      <w:r>
        <w:rPr>
          <w:rFonts w:ascii="Times New Roman" w:hAnsi="Times New Roman" w:cs="Times New Roman"/>
          <w:b/>
          <w:i w:val="0"/>
          <w:sz w:val="24"/>
        </w:rPr>
        <w:t>pendekatan probabilitas tertimbang</w:t>
      </w:r>
      <w:r>
        <w:rPr>
          <w:rFonts w:ascii="Times New Roman" w:hAnsi="Times New Roman" w:cs="Times New Roman"/>
          <w:b w:val="0"/>
          <w:i w:val="0"/>
          <w:sz w:val="24"/>
        </w:rPr>
        <w:t xml:space="preserve"> (jumlah hasil dikalikan probabilitasnya), dan </w:t>
      </w:r>
      <w:r>
        <w:rPr>
          <w:rFonts w:ascii="Times New Roman" w:hAnsi="Times New Roman" w:cs="Times New Roman"/>
          <w:b/>
          <w:i w:val="0"/>
          <w:sz w:val="24"/>
        </w:rPr>
        <w:t>pendekatan probabilitas kumulatif</w:t>
      </w:r>
      <w:r>
        <w:rPr>
          <w:rFonts w:ascii="Times New Roman" w:hAnsi="Times New Roman" w:cs="Times New Roman"/>
          <w:b w:val="0"/>
          <w:i w:val="0"/>
          <w:sz w:val="24"/>
        </w:rPr>
        <w:t xml:space="preserve"> yang menggabungkan seluruh hasil sukses lalu memilih jika kombinasi melampaui 50%. </w:t>
      </w:r>
      <w:r>
        <w:rPr>
          <w:rFonts w:ascii="Times New Roman" w:hAnsi="Times New Roman" w:cs="Times New Roman"/>
          <w:b/>
          <w:i w:val="0"/>
          <w:sz w:val="24"/>
        </w:rPr>
        <w:t>Maksud manajemen</w:t>
      </w:r>
      <w:r>
        <w:rPr>
          <w:rFonts w:ascii="Times New Roman" w:hAnsi="Times New Roman" w:cs="Times New Roman"/>
          <w:b w:val="0"/>
          <w:i w:val="0"/>
          <w:sz w:val="24"/>
        </w:rPr>
        <w:t xml:space="preserve"> (</w:t>
      </w:r>
      <w:r>
        <w:rPr>
          <w:rFonts w:ascii="Times New Roman" w:hAnsi="Times New Roman" w:cs="Times New Roman"/>
          <w:b w:val="0"/>
          <w:i/>
          <w:sz w:val="24"/>
        </w:rPr>
        <w:t>management intent</w:t>
      </w:r>
      <w:r>
        <w:rPr>
          <w:rFonts w:ascii="Times New Roman" w:hAnsi="Times New Roman" w:cs="Times New Roman"/>
          <w:b w:val="0"/>
          <w:i w:val="0"/>
          <w:sz w:val="24"/>
        </w:rPr>
        <w:t xml:space="preserve">) ditolak sebagai basis pengakuan: maksud dapat berubah dan rawan pertimbangan </w:t>
      </w:r>
      <w:r>
        <w:rPr>
          <w:rFonts w:ascii="Times New Roman" w:hAnsi="Times New Roman" w:cs="Times New Roman"/>
          <w:b/>
          <w:i w:val="0"/>
          <w:sz w:val="24"/>
        </w:rPr>
        <w:t>teori keagenan</w:t>
      </w:r>
      <w:r>
        <w:rPr>
          <w:rFonts w:ascii="Times New Roman" w:hAnsi="Times New Roman" w:cs="Times New Roman"/>
          <w:b w:val="0"/>
          <w:i w:val="0"/>
          <w:sz w:val="24"/>
        </w:rPr>
        <w:t xml:space="preserve">, sehingga membukanya akan menurunkan </w:t>
      </w:r>
      <w:r>
        <w:rPr>
          <w:rFonts w:ascii="Times New Roman" w:hAnsi="Times New Roman" w:cs="Times New Roman"/>
          <w:b/>
          <w:i w:val="0"/>
          <w:sz w:val="24"/>
        </w:rPr>
        <w:t>keterbandingan</w:t>
      </w:r>
      <w:r>
        <w:rPr>
          <w:rFonts w:ascii="Times New Roman" w:hAnsi="Times New Roman" w:cs="Times New Roman"/>
          <w:b w:val="0"/>
          <w:i w:val="0"/>
          <w:sz w:val="24"/>
        </w:rPr>
        <w:t xml:space="preserve"> (</w:t>
      </w:r>
      <w:r>
        <w:rPr>
          <w:rFonts w:ascii="Times New Roman" w:hAnsi="Times New Roman" w:cs="Times New Roman"/>
          <w:b w:val="0"/>
          <w:i/>
          <w:sz w:val="24"/>
        </w:rPr>
        <w:t>comparability</w:t>
      </w:r>
      <w:r>
        <w:rPr>
          <w:rFonts w:ascii="Times New Roman" w:hAnsi="Times New Roman" w:cs="Times New Roman"/>
          <w:b w:val="0"/>
          <w:i w:val="0"/>
          <w:sz w:val="24"/>
        </w:rPr>
        <w:t>) (Wolk et al., 2017, PDF hlm. 9–10).</w:t>
      </w:r>
    </w:p>
    <w:p>
      <w:pPr>
        <w:spacing w:lineRule="exact" w:line="260" w:before="0" w:after="80"/>
        <w:jc w:val="both"/>
      </w:pPr>
      <w:r>
        <w:rPr>
          <w:rFonts w:ascii="Times New Roman" w:hAnsi="Times New Roman" w:cs="Times New Roman"/>
          <w:b w:val="0"/>
          <w:i w:val="0"/>
          <w:sz w:val="24"/>
        </w:rPr>
        <w:t xml:space="preserve">Beaver mengajukan dua observasi. Pertama, </w:t>
      </w:r>
      <w:r>
        <w:rPr>
          <w:rFonts w:ascii="Times New Roman" w:hAnsi="Times New Roman" w:cs="Times New Roman"/>
          <w:b/>
          <w:i w:val="0"/>
          <w:sz w:val="24"/>
        </w:rPr>
        <w:t>nilai pasar</w:t>
      </w:r>
      <w:r>
        <w:rPr>
          <w:rFonts w:ascii="Times New Roman" w:hAnsi="Times New Roman" w:cs="Times New Roman"/>
          <w:b w:val="0"/>
          <w:i w:val="0"/>
          <w:sz w:val="24"/>
        </w:rPr>
        <w:t xml:space="preserve"> (</w:t>
      </w:r>
      <w:r>
        <w:rPr>
          <w:rFonts w:ascii="Times New Roman" w:hAnsi="Times New Roman" w:cs="Times New Roman"/>
          <w:b w:val="0"/>
          <w:i/>
          <w:sz w:val="24"/>
        </w:rPr>
        <w:t>market values</w:t>
      </w:r>
      <w:r>
        <w:rPr>
          <w:rFonts w:ascii="Times New Roman" w:hAnsi="Times New Roman" w:cs="Times New Roman"/>
          <w:b w:val="0"/>
          <w:i w:val="0"/>
          <w:sz w:val="24"/>
        </w:rPr>
        <w:t xml:space="preserve">) adalah gudang informasi kaya tentang peristiwa masa depan, meski sekuritas yang diperdagangkan tipis memunculkan persoalan </w:t>
      </w:r>
      <w:r>
        <w:rPr>
          <w:rFonts w:ascii="Times New Roman" w:hAnsi="Times New Roman" w:cs="Times New Roman"/>
          <w:b/>
          <w:i w:val="0"/>
          <w:sz w:val="24"/>
        </w:rPr>
        <w:t>representasi tepat</w:t>
      </w:r>
      <w:r>
        <w:rPr>
          <w:rFonts w:ascii="Times New Roman" w:hAnsi="Times New Roman" w:cs="Times New Roman"/>
          <w:b w:val="0"/>
          <w:i w:val="0"/>
          <w:sz w:val="24"/>
        </w:rPr>
        <w:t xml:space="preserve"> (</w:t>
      </w:r>
      <w:r>
        <w:rPr>
          <w:rFonts w:ascii="Times New Roman" w:hAnsi="Times New Roman" w:cs="Times New Roman"/>
          <w:b w:val="0"/>
          <w:i/>
          <w:sz w:val="24"/>
        </w:rPr>
        <w:t>representational faithfulness</w:t>
      </w:r>
      <w:r>
        <w:rPr>
          <w:rFonts w:ascii="Times New Roman" w:hAnsi="Times New Roman" w:cs="Times New Roman"/>
          <w:b w:val="0"/>
          <w:i w:val="0"/>
          <w:sz w:val="24"/>
        </w:rPr>
        <w:t xml:space="preserve">). Kedua, </w:t>
      </w:r>
      <w:r>
        <w:rPr>
          <w:rFonts w:ascii="Times New Roman" w:hAnsi="Times New Roman" w:cs="Times New Roman"/>
          <w:b/>
          <w:i w:val="0"/>
          <w:sz w:val="24"/>
        </w:rPr>
        <w:t>konservatisme</w:t>
      </w:r>
      <w:r>
        <w:rPr>
          <w:rFonts w:ascii="Times New Roman" w:hAnsi="Times New Roman" w:cs="Times New Roman"/>
          <w:b w:val="0"/>
          <w:i w:val="0"/>
          <w:sz w:val="24"/>
        </w:rPr>
        <w:t xml:space="preserve"> (</w:t>
      </w:r>
      <w:r>
        <w:rPr>
          <w:rFonts w:ascii="Times New Roman" w:hAnsi="Times New Roman" w:cs="Times New Roman"/>
          <w:b w:val="0"/>
          <w:i/>
          <w:sz w:val="24"/>
        </w:rPr>
        <w:t>conservatism</w:t>
      </w:r>
      <w:r>
        <w:rPr>
          <w:rFonts w:ascii="Times New Roman" w:hAnsi="Times New Roman" w:cs="Times New Roman"/>
          <w:b w:val="0"/>
          <w:i w:val="0"/>
          <w:sz w:val="24"/>
        </w:rPr>
        <w:t xml:space="preserve">) mungkin memberi keunggulan komparatif dalam menyebarkan "berita buruk", penyeimbang atas bias optimistik pada sumber lain (Wolk et al., 2017, PDF hlm. 10). Terhadap kondisi ekonomi dan persyaratan hukum masa depan, konsensus konferensi adalah tidak meramalkan perubahan kecuali telah disahkan menjadi undang-undang—sebagaimana </w:t>
      </w:r>
      <w:r>
        <w:rPr>
          <w:rFonts w:ascii="Times New Roman" w:hAnsi="Times New Roman" w:cs="Times New Roman"/>
          <w:b/>
          <w:i w:val="0"/>
          <w:sz w:val="24"/>
        </w:rPr>
        <w:t>SFAS No. 109</w:t>
      </w:r>
      <w:r>
        <w:rPr>
          <w:rFonts w:ascii="Times New Roman" w:hAnsi="Times New Roman" w:cs="Times New Roman"/>
          <w:b w:val="0"/>
          <w:i w:val="0"/>
          <w:sz w:val="24"/>
        </w:rPr>
        <w:t xml:space="preserve"> mengasumsikan tarif pajak masa depan sama dengan tarif kini selama perubahan belum diberlakukan secara hukum (Wolk et al., 2017, PDF hlm. 10). Setelah ini, kita beralih ke perdebatan </w:t>
      </w:r>
      <w:r>
        <w:rPr>
          <w:rFonts w:ascii="Times New Roman" w:hAnsi="Times New Roman" w:cs="Times New Roman"/>
          <w:b w:val="0"/>
          <w:i/>
          <w:sz w:val="24"/>
        </w:rPr>
        <w:t>current operating versus all-inclusive income</w:t>
      </w:r>
      <w:r>
        <w:rPr>
          <w:rFonts w:ascii="Times New Roman" w:hAnsi="Times New Roman" w:cs="Times New Roman"/>
          <w:b w:val="0"/>
          <w:i w:val="0"/>
          <w:sz w:val="24"/>
        </w:rPr>
        <w:t xml:space="preserve"> pada Bagian VI.</w:t>
      </w:r>
    </w:p>
    <w:p>
      <w:pPr>
        <w:spacing w:lineRule="exact" w:line="260" w:before="120" w:after="80"/>
        <w:jc w:val="left"/>
      </w:pPr>
      <w:r>
        <w:rPr>
          <w:rFonts w:ascii="Times New Roman" w:hAnsi="Times New Roman" w:cs="Times New Roman"/>
          <w:b/>
          <w:i w:val="0"/>
          <w:sz w:val="26"/>
        </w:rPr>
        <w:t>VI. Current Operating versus All-Inclusive Income</w:t>
      </w:r>
    </w:p>
    <w:p>
      <w:pPr>
        <w:spacing w:lineRule="exact" w:line="260" w:before="0" w:after="80"/>
        <w:jc w:val="both"/>
      </w:pPr>
      <w:r>
        <w:rPr>
          <w:rFonts w:ascii="Times New Roman" w:hAnsi="Times New Roman" w:cs="Times New Roman"/>
          <w:b w:val="0"/>
          <w:i w:val="0"/>
          <w:sz w:val="24"/>
        </w:rPr>
        <w:t xml:space="preserve">Hingga 1968 terdapat kontroversi tajam: apakah komponen tertentu laba komprehensif disajikan dalam laporan laba rugi atau laporan laba ditahan—khususnya untung-rugi yang </w:t>
      </w:r>
      <w:r>
        <w:rPr>
          <w:rFonts w:ascii="Times New Roman" w:hAnsi="Times New Roman" w:cs="Times New Roman"/>
          <w:b/>
          <w:i w:val="0"/>
          <w:sz w:val="24"/>
        </w:rPr>
        <w:t>tidak lazim</w:t>
      </w:r>
      <w:r>
        <w:rPr>
          <w:rFonts w:ascii="Times New Roman" w:hAnsi="Times New Roman" w:cs="Times New Roman"/>
          <w:b w:val="0"/>
          <w:i w:val="0"/>
          <w:sz w:val="24"/>
        </w:rPr>
        <w:t xml:space="preserve"> (</w:t>
      </w:r>
      <w:r>
        <w:rPr>
          <w:rFonts w:ascii="Times New Roman" w:hAnsi="Times New Roman" w:cs="Times New Roman"/>
          <w:b w:val="0"/>
          <w:i/>
          <w:sz w:val="24"/>
        </w:rPr>
        <w:t>unusual</w:t>
      </w:r>
      <w:r>
        <w:rPr>
          <w:rFonts w:ascii="Times New Roman" w:hAnsi="Times New Roman" w:cs="Times New Roman"/>
          <w:b w:val="0"/>
          <w:i w:val="0"/>
          <w:sz w:val="24"/>
        </w:rPr>
        <w:t xml:space="preserve">) dan </w:t>
      </w:r>
      <w:r>
        <w:rPr>
          <w:rFonts w:ascii="Times New Roman" w:hAnsi="Times New Roman" w:cs="Times New Roman"/>
          <w:b/>
          <w:i w:val="0"/>
          <w:sz w:val="24"/>
        </w:rPr>
        <w:t>jarang terjadi</w:t>
      </w:r>
      <w:r>
        <w:rPr>
          <w:rFonts w:ascii="Times New Roman" w:hAnsi="Times New Roman" w:cs="Times New Roman"/>
          <w:b w:val="0"/>
          <w:i w:val="0"/>
          <w:sz w:val="24"/>
        </w:rPr>
        <w:t xml:space="preserve"> (</w:t>
      </w:r>
      <w:r>
        <w:rPr>
          <w:rFonts w:ascii="Times New Roman" w:hAnsi="Times New Roman" w:cs="Times New Roman"/>
          <w:b w:val="0"/>
          <w:i/>
          <w:sz w:val="24"/>
        </w:rPr>
        <w:t>infrequent</w:t>
      </w:r>
      <w:r>
        <w:rPr>
          <w:rFonts w:ascii="Times New Roman" w:hAnsi="Times New Roman" w:cs="Times New Roman"/>
          <w:b w:val="0"/>
          <w:i w:val="0"/>
          <w:sz w:val="24"/>
        </w:rPr>
        <w:t xml:space="preserve">). Aliran </w:t>
      </w:r>
      <w:r>
        <w:rPr>
          <w:rFonts w:ascii="Times New Roman" w:hAnsi="Times New Roman" w:cs="Times New Roman"/>
          <w:b/>
          <w:i w:val="0"/>
          <w:sz w:val="24"/>
        </w:rPr>
        <w:t>current operating</w:t>
      </w:r>
      <w:r>
        <w:rPr>
          <w:rFonts w:ascii="Times New Roman" w:hAnsi="Times New Roman" w:cs="Times New Roman"/>
          <w:b w:val="0"/>
          <w:i w:val="0"/>
          <w:sz w:val="24"/>
        </w:rPr>
        <w:t xml:space="preserve"> berpendapat laporan laba rugi hanya memuat pos operasi normal, sedangkan pos nonoperasi masuk laporan laba ditahan. Sebaliknya, aliran </w:t>
      </w:r>
      <w:r>
        <w:rPr>
          <w:rFonts w:ascii="Times New Roman" w:hAnsi="Times New Roman" w:cs="Times New Roman"/>
          <w:b/>
          <w:i w:val="0"/>
          <w:sz w:val="24"/>
        </w:rPr>
        <w:t>all-inclusive</w:t>
      </w:r>
      <w:r>
        <w:rPr>
          <w:rFonts w:ascii="Times New Roman" w:hAnsi="Times New Roman" w:cs="Times New Roman"/>
          <w:b w:val="0"/>
          <w:i w:val="0"/>
          <w:sz w:val="24"/>
        </w:rPr>
        <w:t xml:space="preserve"> menyatakan seluruh komponen laba komprehensif harus berada dalam laporan laba rugi, sehingga laporan laba ditahan hanya mencerminkan total laba, dividen, serta saldo awal dan akhir (Wolk et al., 2017, PDF hlm. 11).</w:t>
      </w:r>
    </w:p>
    <w:p>
      <w:pPr>
        <w:spacing w:lineRule="exact" w:line="260" w:before="0" w:after="80"/>
        <w:jc w:val="both"/>
      </w:pPr>
      <w:r>
        <w:rPr>
          <w:rFonts w:ascii="Times New Roman" w:hAnsi="Times New Roman" w:cs="Times New Roman"/>
          <w:b w:val="0"/>
          <w:i w:val="0"/>
          <w:sz w:val="24"/>
        </w:rPr>
        <w:t xml:space="preserve">Pendukung </w:t>
      </w:r>
      <w:r>
        <w:rPr>
          <w:rFonts w:ascii="Times New Roman" w:hAnsi="Times New Roman" w:cs="Times New Roman"/>
          <w:b w:val="0"/>
          <w:i/>
          <w:sz w:val="24"/>
        </w:rPr>
        <w:t>current operating</w:t>
      </w:r>
      <w:r>
        <w:rPr>
          <w:rFonts w:ascii="Times New Roman" w:hAnsi="Times New Roman" w:cs="Times New Roman"/>
          <w:b w:val="0"/>
          <w:i w:val="0"/>
          <w:sz w:val="24"/>
        </w:rPr>
        <w:t xml:space="preserve"> berargumen laporan laba rugi lebih berguna menilai </w:t>
      </w:r>
      <w:r>
        <w:rPr>
          <w:rFonts w:ascii="Times New Roman" w:hAnsi="Times New Roman" w:cs="Times New Roman"/>
          <w:b/>
          <w:i w:val="0"/>
          <w:sz w:val="24"/>
        </w:rPr>
        <w:t>kinerja manajemen</w:t>
      </w:r>
      <w:r>
        <w:rPr>
          <w:rFonts w:ascii="Times New Roman" w:hAnsi="Times New Roman" w:cs="Times New Roman"/>
          <w:b w:val="0"/>
          <w:i w:val="0"/>
          <w:sz w:val="24"/>
        </w:rPr>
        <w:t xml:space="preserve"> dan memprediksi tahun berikutnya bila pos ekstraneus terhadap keputusan manajemen dikeluarkan. Premisnya, sebagian besar pengguna hanya menatap </w:t>
      </w:r>
      <w:r>
        <w:rPr>
          <w:rFonts w:ascii="Times New Roman" w:hAnsi="Times New Roman" w:cs="Times New Roman"/>
          <w:b/>
          <w:i w:val="0"/>
          <w:sz w:val="24"/>
        </w:rPr>
        <w:t>laba bersih</w:t>
      </w:r>
      <w:r>
        <w:rPr>
          <w:rFonts w:ascii="Times New Roman" w:hAnsi="Times New Roman" w:cs="Times New Roman"/>
          <w:b w:val="0"/>
          <w:i w:val="0"/>
          <w:sz w:val="24"/>
        </w:rPr>
        <w:t xml:space="preserve"> (</w:t>
      </w:r>
      <w:r>
        <w:rPr>
          <w:rFonts w:ascii="Times New Roman" w:hAnsi="Times New Roman" w:cs="Times New Roman"/>
          <w:b w:val="0"/>
          <w:i/>
          <w:sz w:val="24"/>
        </w:rPr>
        <w:t>bottom-line net income</w:t>
      </w:r>
      <w:r>
        <w:rPr>
          <w:rFonts w:ascii="Times New Roman" w:hAnsi="Times New Roman" w:cs="Times New Roman"/>
          <w:b w:val="0"/>
          <w:i w:val="0"/>
          <w:sz w:val="24"/>
        </w:rPr>
        <w:t xml:space="preserve">); jika pos nonoperasi material diselipkan ke laporan laba rugi, pengguna dapat tersesat (Wolk et al., 2017, PDF hlm. 11). Pihak </w:t>
      </w:r>
      <w:r>
        <w:rPr>
          <w:rFonts w:ascii="Times New Roman" w:hAnsi="Times New Roman" w:cs="Times New Roman"/>
          <w:b w:val="0"/>
          <w:i/>
          <w:sz w:val="24"/>
        </w:rPr>
        <w:t>all-inclusive</w:t>
      </w:r>
      <w:r>
        <w:rPr>
          <w:rFonts w:ascii="Times New Roman" w:hAnsi="Times New Roman" w:cs="Times New Roman"/>
          <w:b w:val="0"/>
          <w:i w:val="0"/>
          <w:sz w:val="24"/>
        </w:rPr>
        <w:t xml:space="preserve"> membalas dengan empat argumen. Pertama, </w:t>
      </w:r>
      <w:r>
        <w:rPr>
          <w:rFonts w:ascii="Times New Roman" w:hAnsi="Times New Roman" w:cs="Times New Roman"/>
          <w:b w:val="0"/>
          <w:i/>
          <w:sz w:val="24"/>
        </w:rPr>
        <w:t>current operating</w:t>
      </w:r>
      <w:r>
        <w:rPr>
          <w:rFonts w:ascii="Times New Roman" w:hAnsi="Times New Roman" w:cs="Times New Roman"/>
          <w:b w:val="0"/>
          <w:i w:val="0"/>
          <w:sz w:val="24"/>
        </w:rPr>
        <w:t xml:space="preserve"> mengundang </w:t>
      </w:r>
      <w:r>
        <w:rPr>
          <w:rFonts w:ascii="Times New Roman" w:hAnsi="Times New Roman" w:cs="Times New Roman"/>
          <w:b/>
          <w:i w:val="0"/>
          <w:sz w:val="24"/>
        </w:rPr>
        <w:t>manipulasi</w:t>
      </w:r>
      <w:r>
        <w:rPr>
          <w:rFonts w:ascii="Times New Roman" w:hAnsi="Times New Roman" w:cs="Times New Roman"/>
          <w:b w:val="0"/>
          <w:i w:val="0"/>
          <w:sz w:val="24"/>
        </w:rPr>
        <w:t xml:space="preserve"> karena manajemenlah yang memutuskan keluarbiasaan suatu pos. Kedua, pengguna justru tersesat karena tidak menyadari untung-rugi besar yang "tersembunyi" dalam laporan laba ditahan. Ketiga, penjumlahan seluruh laba selintas tahun seharusnya sama dengan laba bersih entitas—identitas yang hanya terjamin all-inclusive. Keempat, </w:t>
      </w:r>
      <w:r>
        <w:rPr>
          <w:rFonts w:ascii="Times New Roman" w:hAnsi="Times New Roman" w:cs="Times New Roman"/>
          <w:b/>
          <w:i w:val="0"/>
          <w:sz w:val="24"/>
        </w:rPr>
        <w:t>klasifikasi yang tepat</w:t>
      </w:r>
      <w:r>
        <w:rPr>
          <w:rFonts w:ascii="Times New Roman" w:hAnsi="Times New Roman" w:cs="Times New Roman"/>
          <w:b w:val="0"/>
          <w:i w:val="0"/>
          <w:sz w:val="24"/>
        </w:rPr>
        <w:t xml:space="preserve"> dalam satu laporan saja sudah memisahkan pos berulang dari pos tidak lazim, sehingga tampak ketegangan antara kegunaan-keputusan dan ruang bagi </w:t>
      </w:r>
      <w:r>
        <w:rPr>
          <w:rFonts w:ascii="Times New Roman" w:hAnsi="Times New Roman" w:cs="Times New Roman"/>
          <w:b w:val="0"/>
          <w:i/>
          <w:sz w:val="24"/>
        </w:rPr>
        <w:t>earnings management</w:t>
      </w:r>
      <w:r>
        <w:rPr>
          <w:rFonts w:ascii="Times New Roman" w:hAnsi="Times New Roman" w:cs="Times New Roman"/>
          <w:b w:val="0"/>
          <w:i w:val="0"/>
          <w:sz w:val="24"/>
        </w:rPr>
        <w:t xml:space="preserve"> (Wolk et al., 2017, PDF hlm. 11).</w:t>
      </w:r>
    </w:p>
    <w:p>
      <w:pPr>
        <w:spacing w:lineRule="exact" w:line="260" w:before="0" w:after="80"/>
        <w:jc w:val="both"/>
      </w:pPr>
      <w:r>
        <w:rPr>
          <w:rFonts w:ascii="Times New Roman" w:hAnsi="Times New Roman" w:cs="Times New Roman"/>
          <w:b w:val="0"/>
          <w:i w:val="0"/>
          <w:sz w:val="24"/>
        </w:rPr>
        <w:t xml:space="preserve">Secara historis, </w:t>
      </w:r>
      <w:r>
        <w:rPr>
          <w:rFonts w:ascii="Times New Roman" w:hAnsi="Times New Roman" w:cs="Times New Roman"/>
          <w:b/>
          <w:i w:val="0"/>
          <w:sz w:val="24"/>
        </w:rPr>
        <w:t>American Accounting Association (AAA)</w:t>
      </w:r>
      <w:r>
        <w:rPr>
          <w:rFonts w:ascii="Times New Roman" w:hAnsi="Times New Roman" w:cs="Times New Roman"/>
          <w:b w:val="0"/>
          <w:i w:val="0"/>
          <w:sz w:val="24"/>
        </w:rPr>
        <w:t xml:space="preserve"> menyokong all-inclusive; pernyataannya pada </w:t>
      </w:r>
      <w:r>
        <w:rPr>
          <w:rFonts w:ascii="Times New Roman" w:hAnsi="Times New Roman" w:cs="Times New Roman"/>
          <w:b/>
          <w:i w:val="0"/>
          <w:sz w:val="24"/>
        </w:rPr>
        <w:t>1936</w:t>
      </w:r>
      <w:r>
        <w:rPr>
          <w:rFonts w:ascii="Times New Roman" w:hAnsi="Times New Roman" w:cs="Times New Roman"/>
          <w:b w:val="0"/>
          <w:i w:val="0"/>
          <w:sz w:val="24"/>
        </w:rPr>
        <w:t xml:space="preserve"> menegaskan laporan laba rugi sebaiknya mencerminkan semua pendapatan dan biaya periode tanpa memandang asalnya. Sebaliknya, </w:t>
      </w:r>
      <w:r>
        <w:rPr>
          <w:rFonts w:ascii="Times New Roman" w:hAnsi="Times New Roman" w:cs="Times New Roman"/>
          <w:b/>
          <w:i w:val="0"/>
          <w:sz w:val="24"/>
        </w:rPr>
        <w:t>AICPA</w:t>
      </w:r>
      <w:r>
        <w:rPr>
          <w:rFonts w:ascii="Times New Roman" w:hAnsi="Times New Roman" w:cs="Times New Roman"/>
          <w:b w:val="0"/>
          <w:i w:val="0"/>
          <w:sz w:val="24"/>
        </w:rPr>
        <w:t xml:space="preserve"> konsisten memihak current operating hingga APB Opinion No. 9; dalam </w:t>
      </w:r>
      <w:r>
        <w:rPr>
          <w:rFonts w:ascii="Times New Roman" w:hAnsi="Times New Roman" w:cs="Times New Roman"/>
          <w:b/>
          <w:i w:val="0"/>
          <w:sz w:val="24"/>
        </w:rPr>
        <w:t>ARB 43</w:t>
      </w:r>
      <w:r>
        <w:rPr>
          <w:rFonts w:ascii="Times New Roman" w:hAnsi="Times New Roman" w:cs="Times New Roman"/>
          <w:b w:val="0"/>
          <w:i w:val="0"/>
          <w:sz w:val="24"/>
        </w:rPr>
        <w:t xml:space="preserve">, </w:t>
      </w:r>
      <w:r>
        <w:rPr>
          <w:rFonts w:ascii="Times New Roman" w:hAnsi="Times New Roman" w:cs="Times New Roman"/>
          <w:b w:val="0"/>
          <w:i/>
          <w:sz w:val="24"/>
        </w:rPr>
        <w:t>Committee on Accounting Procedure</w:t>
      </w:r>
      <w:r>
        <w:rPr>
          <w:rFonts w:ascii="Times New Roman" w:hAnsi="Times New Roman" w:cs="Times New Roman"/>
          <w:b w:val="0"/>
          <w:i w:val="0"/>
          <w:sz w:val="24"/>
        </w:rPr>
        <w:t xml:space="preserve"> mengarahkan seluruh pos luar biasa langsung ke akun surplus (Wolk et al., 2017, PDF hlm. 11). Titik balik datang Desember 1966 melalui </w:t>
      </w:r>
      <w:r>
        <w:rPr>
          <w:rFonts w:ascii="Times New Roman" w:hAnsi="Times New Roman" w:cs="Times New Roman"/>
          <w:b/>
          <w:i w:val="0"/>
          <w:sz w:val="24"/>
        </w:rPr>
        <w:t>APB Opinion No. 9</w:t>
      </w:r>
      <w:r>
        <w:rPr>
          <w:rFonts w:ascii="Times New Roman" w:hAnsi="Times New Roman" w:cs="Times New Roman"/>
          <w:b w:val="0"/>
          <w:i w:val="0"/>
          <w:sz w:val="24"/>
        </w:rPr>
        <w:t xml:space="preserve"> yang condong kuat ke all-inclusive—pendekatan </w:t>
      </w:r>
      <w:r>
        <w:rPr>
          <w:rFonts w:ascii="Times New Roman" w:hAnsi="Times New Roman" w:cs="Times New Roman"/>
          <w:b/>
          <w:i w:val="0"/>
          <w:sz w:val="24"/>
        </w:rPr>
        <w:t>modified all-inclusive</w:t>
      </w:r>
      <w:r>
        <w:rPr>
          <w:rFonts w:ascii="Times New Roman" w:hAnsi="Times New Roman" w:cs="Times New Roman"/>
          <w:b w:val="0"/>
          <w:i w:val="0"/>
          <w:sz w:val="24"/>
        </w:rPr>
        <w:t xml:space="preserve">—dengan mensyaratkan seluruh pos nonoperasi yang jarang terjadi, kecuali penyesuaian periode lalu, masuk perhitungan laba bersih dan dilaporkan terpisah. Evolusi ini berlanjut hingga </w:t>
      </w:r>
      <w:r>
        <w:rPr>
          <w:rFonts w:ascii="Times New Roman" w:hAnsi="Times New Roman" w:cs="Times New Roman"/>
          <w:b/>
          <w:i w:val="0"/>
          <w:sz w:val="24"/>
        </w:rPr>
        <w:t>ASU Juni 2011</w:t>
      </w:r>
      <w:r>
        <w:rPr>
          <w:rFonts w:ascii="Times New Roman" w:hAnsi="Times New Roman" w:cs="Times New Roman"/>
          <w:b w:val="0"/>
          <w:i w:val="0"/>
          <w:sz w:val="24"/>
        </w:rPr>
        <w:t xml:space="preserve"> yang memberi pilihan penyajian laba komprehensif dalam </w:t>
      </w:r>
      <w:r>
        <w:rPr>
          <w:rFonts w:ascii="Times New Roman" w:hAnsi="Times New Roman" w:cs="Times New Roman"/>
          <w:b/>
          <w:i w:val="0"/>
          <w:sz w:val="24"/>
        </w:rPr>
        <w:t>satu atau dua laporan</w:t>
      </w:r>
      <w:r>
        <w:rPr>
          <w:rFonts w:ascii="Times New Roman" w:hAnsi="Times New Roman" w:cs="Times New Roman"/>
          <w:b w:val="0"/>
          <w:i w:val="0"/>
          <w:sz w:val="24"/>
        </w:rPr>
        <w:t xml:space="preserve"> (</w:t>
      </w:r>
      <w:r>
        <w:rPr>
          <w:rFonts w:ascii="Times New Roman" w:hAnsi="Times New Roman" w:cs="Times New Roman"/>
          <w:b w:val="0"/>
          <w:i/>
          <w:sz w:val="24"/>
        </w:rPr>
        <w:t>one or two statement</w:t>
      </w:r>
      <w:r>
        <w:rPr>
          <w:rFonts w:ascii="Times New Roman" w:hAnsi="Times New Roman" w:cs="Times New Roman"/>
          <w:b w:val="0"/>
          <w:i w:val="0"/>
          <w:sz w:val="24"/>
        </w:rPr>
        <w:t>).</w:t>
      </w:r>
    </w:p>
    <w:p>
      <w:pPr>
        <w:spacing w:lineRule="exact" w:line="260" w:before="0" w:after="80"/>
        <w:jc w:val="both"/>
      </w:pPr>
      <w:r>
        <w:rPr>
          <w:rFonts w:ascii="Times New Roman" w:hAnsi="Times New Roman" w:cs="Times New Roman"/>
          <w:b w:val="0"/>
          <w:i w:val="0"/>
          <w:sz w:val="24"/>
        </w:rPr>
        <w:t xml:space="preserve">Bukti empiris menunjuk dua arah. </w:t>
      </w:r>
      <w:r>
        <w:rPr>
          <w:rFonts w:ascii="Times New Roman" w:hAnsi="Times New Roman" w:cs="Times New Roman"/>
          <w:b/>
          <w:i w:val="0"/>
          <w:sz w:val="24"/>
        </w:rPr>
        <w:t>Gonedes</w:t>
      </w:r>
      <w:r>
        <w:rPr>
          <w:rFonts w:ascii="Times New Roman" w:hAnsi="Times New Roman" w:cs="Times New Roman"/>
          <w:b w:val="0"/>
          <w:i w:val="0"/>
          <w:sz w:val="24"/>
        </w:rPr>
        <w:t xml:space="preserve">, dalam studi pasar modal, menemukan pos laba nonoperasi tidak memiliki </w:t>
      </w:r>
      <w:r>
        <w:rPr>
          <w:rFonts w:ascii="Times New Roman" w:hAnsi="Times New Roman" w:cs="Times New Roman"/>
          <w:b/>
          <w:i w:val="0"/>
          <w:sz w:val="24"/>
        </w:rPr>
        <w:t>kandungan informasi</w:t>
      </w:r>
      <w:r>
        <w:rPr>
          <w:rFonts w:ascii="Times New Roman" w:hAnsi="Times New Roman" w:cs="Times New Roman"/>
          <w:b w:val="0"/>
          <w:i w:val="0"/>
          <w:sz w:val="24"/>
        </w:rPr>
        <w:t xml:space="preserve"> (</w:t>
      </w:r>
      <w:r>
        <w:rPr>
          <w:rFonts w:ascii="Times New Roman" w:hAnsi="Times New Roman" w:cs="Times New Roman"/>
          <w:b w:val="0"/>
          <w:i/>
          <w:sz w:val="24"/>
        </w:rPr>
        <w:t>information content</w:t>
      </w:r>
      <w:r>
        <w:rPr>
          <w:rFonts w:ascii="Times New Roman" w:hAnsi="Times New Roman" w:cs="Times New Roman"/>
          <w:b w:val="0"/>
          <w:i w:val="0"/>
          <w:sz w:val="24"/>
        </w:rPr>
        <w:t xml:space="preserve">)—menyiratkan informasi relevan telah tertangkap angka laba operasi, mendukung current operating. Namun studi pasar berikutnya menemukan sebagian pos nonoperasi berasosiasi signifikan dengan harga sekuritas, dengan arah berlawanan: pos "berita buruk" justru berasosiasi positif (Wolk et al., 2017, PDF hlm. 12). Tafsirnya adalah </w:t>
      </w:r>
      <w:r>
        <w:rPr>
          <w:rFonts w:ascii="Times New Roman" w:hAnsi="Times New Roman" w:cs="Times New Roman"/>
          <w:b/>
          <w:i w:val="0"/>
          <w:sz w:val="24"/>
        </w:rPr>
        <w:t>teori big bath</w:t>
      </w:r>
      <w:r>
        <w:rPr>
          <w:rFonts w:ascii="Times New Roman" w:hAnsi="Times New Roman" w:cs="Times New Roman"/>
          <w:b w:val="0"/>
          <w:i w:val="0"/>
          <w:sz w:val="24"/>
        </w:rPr>
        <w:t xml:space="preserve">—ketika perusahaan mengakui masalah besar secara terbuka, pasar merespons positif karena menilai manajemen tengah menyelesaikannya. Contohnya, pada </w:t>
      </w:r>
      <w:r>
        <w:rPr>
          <w:rFonts w:ascii="Times New Roman" w:hAnsi="Times New Roman" w:cs="Times New Roman"/>
          <w:b/>
          <w:i w:val="0"/>
          <w:sz w:val="24"/>
        </w:rPr>
        <w:t>1987 Citicorp</w:t>
      </w:r>
      <w:r>
        <w:rPr>
          <w:rFonts w:ascii="Times New Roman" w:hAnsi="Times New Roman" w:cs="Times New Roman"/>
          <w:b w:val="0"/>
          <w:i w:val="0"/>
          <w:sz w:val="24"/>
        </w:rPr>
        <w:t xml:space="preserve"> mengakui kerugian $3 miliar atas pinjaman luar negerinya, dan sehari setelahnya harga sahamnya justru naik sekitar 5% (Wolk et al., 2017, PDF hlm. 12). Mendorong logika all-inclusive ke kesimpulan terjauhnya membawa kita pada laba komprehensif, pokok Bagian VII.</w:t>
      </w:r>
    </w:p>
    <w:p>
      <w:pPr>
        <w:spacing w:before="40" w:after="40"/>
        <w:jc w:val="center"/>
      </w:pPr>
      <w:r>
        <w:drawing>
          <wp:inline xmlns:a="http://schemas.openxmlformats.org/drawingml/2006/main" xmlns:pic="http://schemas.openxmlformats.org/drawingml/2006/picture">
            <wp:extent cx="5220000" cy="1585514"/>
            <wp:docPr id="4" name="Picture 4"/>
            <wp:cNvGraphicFramePr>
              <a:graphicFrameLocks noChangeAspect="1"/>
            </wp:cNvGraphicFramePr>
            <a:graphic>
              <a:graphicData uri="http://schemas.openxmlformats.org/drawingml/2006/picture">
                <pic:pic>
                  <pic:nvPicPr>
                    <pic:cNvPr id="0" name="gambar4_evolusi_laba.png"/>
                    <pic:cNvPicPr/>
                  </pic:nvPicPr>
                  <pic:blipFill>
                    <a:blip r:embed="rId13"/>
                    <a:stretch>
                      <a:fillRect/>
                    </a:stretch>
                  </pic:blipFill>
                  <pic:spPr>
                    <a:xfrm>
                      <a:off x="0" y="0"/>
                      <a:ext cx="5220000" cy="1585514"/>
                    </a:xfrm>
                    <a:prstGeom prst="rect"/>
                  </pic:spPr>
                </pic:pic>
              </a:graphicData>
            </a:graphic>
          </wp:inline>
        </w:drawing>
      </w:r>
    </w:p>
    <w:p>
      <w:pPr>
        <w:spacing w:lineRule="exact" w:line="260" w:before="0" w:after="0"/>
        <w:jc w:val="center"/>
      </w:pPr>
      <w:r>
        <w:rPr>
          <w:rFonts w:ascii="Times New Roman" w:hAnsi="Times New Roman" w:cs="Times New Roman"/>
          <w:b/>
          <w:i w:val="0"/>
          <w:sz w:val="22"/>
        </w:rPr>
        <w:t xml:space="preserve">Gambar 4. </w:t>
      </w:r>
      <w:r>
        <w:rPr>
          <w:rFonts w:ascii="Times New Roman" w:hAnsi="Times New Roman" w:cs="Times New Roman"/>
          <w:b w:val="0"/>
          <w:i w:val="0"/>
          <w:sz w:val="22"/>
        </w:rPr>
        <w:t>Evolusi pelaporan laba: dari current operating menuju all-inclusive dan comprehensive income</w:t>
      </w:r>
    </w:p>
    <w:p>
      <w:pPr>
        <w:spacing w:lineRule="exact" w:line="260" w:before="0" w:after="120"/>
        <w:jc w:val="center"/>
      </w:pPr>
      <w:r>
        <w:rPr>
          <w:rFonts w:ascii="Times New Roman" w:hAnsi="Times New Roman" w:cs="Times New Roman"/>
          <w:b w:val="0"/>
          <w:i/>
          <w:sz w:val="22"/>
        </w:rPr>
        <w:t>Sumber: diolah dari Wolk et al. (2017), PDF hlm. 11–13</w:t>
      </w:r>
    </w:p>
    <w:p>
      <w:pPr>
        <w:spacing w:lineRule="exact" w:line="260" w:before="120" w:after="80"/>
        <w:jc w:val="left"/>
      </w:pPr>
      <w:r>
        <w:rPr>
          <w:rFonts w:ascii="Times New Roman" w:hAnsi="Times New Roman" w:cs="Times New Roman"/>
          <w:b/>
          <w:i w:val="0"/>
          <w:sz w:val="26"/>
        </w:rPr>
        <w:t>VII. Comprehensive Income</w:t>
      </w:r>
    </w:p>
    <w:p>
      <w:pPr>
        <w:spacing w:lineRule="exact" w:line="260" w:before="0" w:after="80"/>
        <w:jc w:val="both"/>
      </w:pPr>
      <w:r>
        <w:rPr>
          <w:rFonts w:ascii="Times New Roman" w:hAnsi="Times New Roman" w:cs="Times New Roman"/>
          <w:b/>
          <w:i w:val="0"/>
          <w:sz w:val="24"/>
        </w:rPr>
        <w:t>SFAC No. 5</w:t>
      </w:r>
      <w:r>
        <w:rPr>
          <w:rFonts w:ascii="Times New Roman" w:hAnsi="Times New Roman" w:cs="Times New Roman"/>
          <w:b w:val="0"/>
          <w:i w:val="0"/>
          <w:sz w:val="24"/>
        </w:rPr>
        <w:t xml:space="preserve"> mengusulkan suatu laporan laba dan </w:t>
      </w:r>
      <w:r>
        <w:rPr>
          <w:rFonts w:ascii="Times New Roman" w:hAnsi="Times New Roman" w:cs="Times New Roman"/>
          <w:b/>
          <w:i w:val="0"/>
          <w:sz w:val="24"/>
        </w:rPr>
        <w:t>laba komprehensif</w:t>
      </w:r>
      <w:r>
        <w:rPr>
          <w:rFonts w:ascii="Times New Roman" w:hAnsi="Times New Roman" w:cs="Times New Roman"/>
          <w:b w:val="0"/>
          <w:i w:val="0"/>
          <w:sz w:val="24"/>
        </w:rPr>
        <w:t xml:space="preserve"> (</w:t>
      </w:r>
      <w:r>
        <w:rPr>
          <w:rFonts w:ascii="Times New Roman" w:hAnsi="Times New Roman" w:cs="Times New Roman"/>
          <w:b w:val="0"/>
          <w:i/>
          <w:sz w:val="24"/>
        </w:rPr>
        <w:t>comprehensive income</w:t>
      </w:r>
      <w:r>
        <w:rPr>
          <w:rFonts w:ascii="Times New Roman" w:hAnsi="Times New Roman" w:cs="Times New Roman"/>
          <w:b w:val="0"/>
          <w:i w:val="0"/>
          <w:sz w:val="24"/>
        </w:rPr>
        <w:t xml:space="preserve">) yang mencakup seluruh perubahan ekuitas kecuali investasi oleh dan distribusi kepada pemilik (Wolk et al., 2017, PDF hlm. 12). Laba komprehensif mendorong all-inclusive ke kesimpulan logisnya: laba menjadi ukuran perubahan kekayaan pemilik yang paling menyeluruh. Konsep ini berakar pada </w:t>
      </w:r>
      <w:r>
        <w:rPr>
          <w:rFonts w:ascii="Times New Roman" w:hAnsi="Times New Roman" w:cs="Times New Roman"/>
          <w:b/>
          <w:i w:val="0"/>
          <w:sz w:val="24"/>
        </w:rPr>
        <w:t>teori proprietary</w:t>
      </w:r>
      <w:r>
        <w:rPr>
          <w:rFonts w:ascii="Times New Roman" w:hAnsi="Times New Roman" w:cs="Times New Roman"/>
          <w:b w:val="0"/>
          <w:i w:val="0"/>
          <w:sz w:val="24"/>
        </w:rPr>
        <w:t xml:space="preserve"> (</w:t>
      </w:r>
      <w:r>
        <w:rPr>
          <w:rFonts w:ascii="Times New Roman" w:hAnsi="Times New Roman" w:cs="Times New Roman"/>
          <w:b w:val="0"/>
          <w:i/>
          <w:sz w:val="24"/>
        </w:rPr>
        <w:t>proprietary theory</w:t>
      </w:r>
      <w:r>
        <w:rPr>
          <w:rFonts w:ascii="Times New Roman" w:hAnsi="Times New Roman" w:cs="Times New Roman"/>
          <w:b w:val="0"/>
          <w:i w:val="0"/>
          <w:sz w:val="24"/>
        </w:rPr>
        <w:t xml:space="preserve">), sebab seluruh perubahan ekuitas memengaruhi kepentingan pemilik, dan dipandang sangat sesuai untuk </w:t>
      </w:r>
      <w:r>
        <w:rPr>
          <w:rFonts w:ascii="Times New Roman" w:hAnsi="Times New Roman" w:cs="Times New Roman"/>
          <w:b/>
          <w:i w:val="0"/>
          <w:sz w:val="24"/>
        </w:rPr>
        <w:t>prediksi</w:t>
      </w:r>
      <w:r>
        <w:rPr>
          <w:rFonts w:ascii="Times New Roman" w:hAnsi="Times New Roman" w:cs="Times New Roman"/>
          <w:b w:val="0"/>
          <w:i w:val="0"/>
          <w:sz w:val="24"/>
        </w:rPr>
        <w:t xml:space="preserve"> serta </w:t>
      </w:r>
      <w:r>
        <w:rPr>
          <w:rFonts w:ascii="Times New Roman" w:hAnsi="Times New Roman" w:cs="Times New Roman"/>
          <w:b/>
          <w:i w:val="0"/>
          <w:sz w:val="24"/>
        </w:rPr>
        <w:t>penilaian ekuitas</w:t>
      </w:r>
      <w:r>
        <w:rPr>
          <w:rFonts w:ascii="Times New Roman" w:hAnsi="Times New Roman" w:cs="Times New Roman"/>
          <w:b w:val="0"/>
          <w:i w:val="0"/>
          <w:sz w:val="24"/>
        </w:rPr>
        <w:t xml:space="preserve"> (</w:t>
      </w:r>
      <w:r>
        <w:rPr>
          <w:rFonts w:ascii="Times New Roman" w:hAnsi="Times New Roman" w:cs="Times New Roman"/>
          <w:b w:val="0"/>
          <w:i/>
          <w:sz w:val="24"/>
        </w:rPr>
        <w:t>equity valuation</w:t>
      </w:r>
      <w:r>
        <w:rPr>
          <w:rFonts w:ascii="Times New Roman" w:hAnsi="Times New Roman" w:cs="Times New Roman"/>
          <w:b w:val="0"/>
          <w:i w:val="0"/>
          <w:sz w:val="24"/>
        </w:rPr>
        <w:t>)—lebih informatif bagi investor (Wolk et al., 2017, PDF hlm. 12).</w:t>
      </w:r>
    </w:p>
    <w:p>
      <w:pPr>
        <w:spacing w:lineRule="exact" w:line="260" w:before="0" w:after="80"/>
        <w:jc w:val="both"/>
      </w:pPr>
      <w:r>
        <w:rPr>
          <w:rFonts w:ascii="Times New Roman" w:hAnsi="Times New Roman" w:cs="Times New Roman"/>
          <w:b w:val="0"/>
          <w:i w:val="0"/>
          <w:sz w:val="24"/>
        </w:rPr>
        <w:t xml:space="preserve">Selain laba bersih, laba komprehensif mencakup untung-rugi yang "melewati" laporan laba rugi. </w:t>
      </w:r>
      <w:r>
        <w:rPr>
          <w:rFonts w:ascii="Times New Roman" w:hAnsi="Times New Roman" w:cs="Times New Roman"/>
          <w:b/>
          <w:i w:val="0"/>
          <w:sz w:val="24"/>
        </w:rPr>
        <w:t>SFAS No. 130</w:t>
      </w:r>
      <w:r>
        <w:rPr>
          <w:rFonts w:ascii="Times New Roman" w:hAnsi="Times New Roman" w:cs="Times New Roman"/>
          <w:b w:val="0"/>
          <w:i w:val="0"/>
          <w:sz w:val="24"/>
        </w:rPr>
        <w:t xml:space="preserve"> merinci elemen </w:t>
      </w:r>
      <w:r>
        <w:rPr>
          <w:rFonts w:ascii="Times New Roman" w:hAnsi="Times New Roman" w:cs="Times New Roman"/>
          <w:b/>
          <w:i w:val="0"/>
          <w:sz w:val="24"/>
        </w:rPr>
        <w:t>laba komprehensif lain</w:t>
      </w:r>
      <w:r>
        <w:rPr>
          <w:rFonts w:ascii="Times New Roman" w:hAnsi="Times New Roman" w:cs="Times New Roman"/>
          <w:b w:val="0"/>
          <w:i w:val="0"/>
          <w:sz w:val="24"/>
        </w:rPr>
        <w:t xml:space="preserve"> (</w:t>
      </w:r>
      <w:r>
        <w:rPr>
          <w:rFonts w:ascii="Times New Roman" w:hAnsi="Times New Roman" w:cs="Times New Roman"/>
          <w:b w:val="0"/>
          <w:i/>
          <w:sz w:val="24"/>
        </w:rPr>
        <w:t>other comprehensive income</w:t>
      </w:r>
      <w:r>
        <w:rPr>
          <w:rFonts w:ascii="Times New Roman" w:hAnsi="Times New Roman" w:cs="Times New Roman"/>
          <w:b w:val="0"/>
          <w:i w:val="0"/>
          <w:sz w:val="24"/>
        </w:rPr>
        <w:t xml:space="preserve">, OCI), yakni penyesuaian translasi mata uang asing ketika mata uang fungsional bukan dolar AS, keuntungan dan kerugian kepemilikan belum direalisasi atas sekuritas </w:t>
      </w:r>
      <w:r>
        <w:rPr>
          <w:rFonts w:ascii="Times New Roman" w:hAnsi="Times New Roman" w:cs="Times New Roman"/>
          <w:b/>
          <w:i w:val="0"/>
          <w:sz w:val="24"/>
        </w:rPr>
        <w:t>tersedia untuk dijual</w:t>
      </w:r>
      <w:r>
        <w:rPr>
          <w:rFonts w:ascii="Times New Roman" w:hAnsi="Times New Roman" w:cs="Times New Roman"/>
          <w:b w:val="0"/>
          <w:i w:val="0"/>
          <w:sz w:val="24"/>
        </w:rPr>
        <w:t xml:space="preserve"> (</w:t>
      </w:r>
      <w:r>
        <w:rPr>
          <w:rFonts w:ascii="Times New Roman" w:hAnsi="Times New Roman" w:cs="Times New Roman"/>
          <w:b w:val="0"/>
          <w:i/>
          <w:sz w:val="24"/>
        </w:rPr>
        <w:t>available-for-sale</w:t>
      </w:r>
      <w:r>
        <w:rPr>
          <w:rFonts w:ascii="Times New Roman" w:hAnsi="Times New Roman" w:cs="Times New Roman"/>
          <w:b w:val="0"/>
          <w:i w:val="0"/>
          <w:sz w:val="24"/>
        </w:rPr>
        <w:t xml:space="preserve">), serta penyesuaian liabilitas pensiun minimum (Wolk et al., 2017, PDF hlm. 12). Dewan sengaja tidak memindahkan beberapa pos: </w:t>
      </w:r>
      <w:r>
        <w:rPr>
          <w:rFonts w:ascii="Times New Roman" w:hAnsi="Times New Roman" w:cs="Times New Roman"/>
          <w:b/>
          <w:i w:val="0"/>
          <w:sz w:val="24"/>
        </w:rPr>
        <w:t>operasi yang dihentikan</w:t>
      </w:r>
      <w:r>
        <w:rPr>
          <w:rFonts w:ascii="Times New Roman" w:hAnsi="Times New Roman" w:cs="Times New Roman"/>
          <w:b w:val="0"/>
          <w:i w:val="0"/>
          <w:sz w:val="24"/>
        </w:rPr>
        <w:t xml:space="preserve"> (</w:t>
      </w:r>
      <w:r>
        <w:rPr>
          <w:rFonts w:ascii="Times New Roman" w:hAnsi="Times New Roman" w:cs="Times New Roman"/>
          <w:b w:val="0"/>
          <w:i/>
          <w:sz w:val="24"/>
        </w:rPr>
        <w:t>discontinued operations</w:t>
      </w:r>
      <w:r>
        <w:rPr>
          <w:rFonts w:ascii="Times New Roman" w:hAnsi="Times New Roman" w:cs="Times New Roman"/>
          <w:b w:val="0"/>
          <w:i w:val="0"/>
          <w:sz w:val="24"/>
        </w:rPr>
        <w:t xml:space="preserve">), </w:t>
      </w:r>
      <w:r>
        <w:rPr>
          <w:rFonts w:ascii="Times New Roman" w:hAnsi="Times New Roman" w:cs="Times New Roman"/>
          <w:b/>
          <w:i w:val="0"/>
          <w:sz w:val="24"/>
        </w:rPr>
        <w:t>pos luar biasa</w:t>
      </w:r>
      <w:r>
        <w:rPr>
          <w:rFonts w:ascii="Times New Roman" w:hAnsi="Times New Roman" w:cs="Times New Roman"/>
          <w:b w:val="0"/>
          <w:i w:val="0"/>
          <w:sz w:val="24"/>
        </w:rPr>
        <w:t xml:space="preserve"> (</w:t>
      </w:r>
      <w:r>
        <w:rPr>
          <w:rFonts w:ascii="Times New Roman" w:hAnsi="Times New Roman" w:cs="Times New Roman"/>
          <w:b w:val="0"/>
          <w:i/>
          <w:sz w:val="24"/>
        </w:rPr>
        <w:t>extraordinary items</w:t>
      </w:r>
      <w:r>
        <w:rPr>
          <w:rFonts w:ascii="Times New Roman" w:hAnsi="Times New Roman" w:cs="Times New Roman"/>
          <w:b w:val="0"/>
          <w:i w:val="0"/>
          <w:sz w:val="24"/>
        </w:rPr>
        <w:t xml:space="preserve">), dan efek kumulatif perubahan prinsip tetap di posisi semula, agaknya agar tatanan yang ada tak terlalu terganggu. Begitu pula </w:t>
      </w:r>
      <w:r>
        <w:rPr>
          <w:rFonts w:ascii="Times New Roman" w:hAnsi="Times New Roman" w:cs="Times New Roman"/>
          <w:b/>
          <w:i w:val="0"/>
          <w:sz w:val="24"/>
        </w:rPr>
        <w:t>penyesuaian periode lalu</w:t>
      </w:r>
      <w:r>
        <w:rPr>
          <w:rFonts w:ascii="Times New Roman" w:hAnsi="Times New Roman" w:cs="Times New Roman"/>
          <w:b w:val="0"/>
          <w:i w:val="0"/>
          <w:sz w:val="24"/>
        </w:rPr>
        <w:t xml:space="preserve"> (</w:t>
      </w:r>
      <w:r>
        <w:rPr>
          <w:rFonts w:ascii="Times New Roman" w:hAnsi="Times New Roman" w:cs="Times New Roman"/>
          <w:b w:val="0"/>
          <w:i/>
          <w:sz w:val="24"/>
        </w:rPr>
        <w:t>prior period adjustments</w:t>
      </w:r>
      <w:r>
        <w:rPr>
          <w:rFonts w:ascii="Times New Roman" w:hAnsi="Times New Roman" w:cs="Times New Roman"/>
          <w:b w:val="0"/>
          <w:i w:val="0"/>
          <w:sz w:val="24"/>
        </w:rPr>
        <w:t>) tetap langsung dibebankan ke laba ditahan, sebab penyajian ulang retroaktif laba tahun lalu pada dasarnya telah menyajikan ulang laba komprehensif periode terdampak (Wolk et al., 2017, PDF hlm. 12).</w:t>
      </w:r>
    </w:p>
    <w:p>
      <w:pPr>
        <w:spacing w:lineRule="exact" w:line="260" w:before="0" w:after="80"/>
        <w:jc w:val="both"/>
      </w:pPr>
      <w:r>
        <w:rPr>
          <w:rFonts w:ascii="Times New Roman" w:hAnsi="Times New Roman" w:cs="Times New Roman"/>
          <w:b w:val="0"/>
          <w:i w:val="0"/>
          <w:sz w:val="24"/>
        </w:rPr>
        <w:t xml:space="preserve">FASB juga menegaskan </w:t>
      </w:r>
      <w:r>
        <w:rPr>
          <w:rFonts w:ascii="Times New Roman" w:hAnsi="Times New Roman" w:cs="Times New Roman"/>
          <w:b/>
          <w:i w:val="0"/>
          <w:sz w:val="24"/>
        </w:rPr>
        <w:t>laba per saham</w:t>
      </w:r>
      <w:r>
        <w:rPr>
          <w:rFonts w:ascii="Times New Roman" w:hAnsi="Times New Roman" w:cs="Times New Roman"/>
          <w:b w:val="0"/>
          <w:i w:val="0"/>
          <w:sz w:val="24"/>
        </w:rPr>
        <w:t xml:space="preserve"> (</w:t>
      </w:r>
      <w:r>
        <w:rPr>
          <w:rFonts w:ascii="Times New Roman" w:hAnsi="Times New Roman" w:cs="Times New Roman"/>
          <w:b w:val="0"/>
          <w:i/>
          <w:sz w:val="24"/>
        </w:rPr>
        <w:t>earnings per share</w:t>
      </w:r>
      <w:r>
        <w:rPr>
          <w:rFonts w:ascii="Times New Roman" w:hAnsi="Times New Roman" w:cs="Times New Roman"/>
          <w:b w:val="0"/>
          <w:i w:val="0"/>
          <w:sz w:val="24"/>
        </w:rPr>
        <w:t xml:space="preserve">, EPS) tidak boleh dihitung untuk laba komprehensif, sebab bila disajikan dalam laporan perubahan ekuitas, perhitungan EPS dapat menjadi tidak konsisten antarperusahaan. Penilaian Wolk—tepat dan tepat waktu, tetapi berhati-hati dan </w:t>
      </w:r>
      <w:r>
        <w:rPr>
          <w:rFonts w:ascii="Times New Roman" w:hAnsi="Times New Roman" w:cs="Times New Roman"/>
          <w:b/>
          <w:i w:val="0"/>
          <w:sz w:val="24"/>
        </w:rPr>
        <w:t>evolusioner</w:t>
      </w:r>
      <w:r>
        <w:rPr>
          <w:rFonts w:ascii="Times New Roman" w:hAnsi="Times New Roman" w:cs="Times New Roman"/>
          <w:b w:val="0"/>
          <w:i w:val="0"/>
          <w:sz w:val="24"/>
        </w:rPr>
        <w:t xml:space="preserve"> (</w:t>
      </w:r>
      <w:r>
        <w:rPr>
          <w:rFonts w:ascii="Times New Roman" w:hAnsi="Times New Roman" w:cs="Times New Roman"/>
          <w:b w:val="0"/>
          <w:i/>
          <w:sz w:val="24"/>
        </w:rPr>
        <w:t>evolutionary</w:t>
      </w:r>
      <w:r>
        <w:rPr>
          <w:rFonts w:ascii="Times New Roman" w:hAnsi="Times New Roman" w:cs="Times New Roman"/>
          <w:b w:val="0"/>
          <w:i w:val="0"/>
          <w:sz w:val="24"/>
        </w:rPr>
        <w:t>)—mencerminkan ketegangan antara menyempurnakan ukuran laba dan keengganan mengusik konvensi mapan (Wolk et al., 2017, PDF hlm. 12).</w:t>
      </w:r>
    </w:p>
    <w:p>
      <w:pPr>
        <w:spacing w:lineRule="exact" w:line="260" w:before="0" w:after="80"/>
        <w:jc w:val="both"/>
      </w:pPr>
      <w:r>
        <w:rPr>
          <w:rFonts w:ascii="Times New Roman" w:hAnsi="Times New Roman" w:cs="Times New Roman"/>
          <w:b w:val="0"/>
          <w:i w:val="0"/>
          <w:sz w:val="24"/>
        </w:rPr>
        <w:t xml:space="preserve">SFAS No. 130 mengizinkan tiga format pelaporan: (1) </w:t>
      </w:r>
      <w:r>
        <w:rPr>
          <w:rFonts w:ascii="Times New Roman" w:hAnsi="Times New Roman" w:cs="Times New Roman"/>
          <w:b/>
          <w:i w:val="0"/>
          <w:sz w:val="24"/>
        </w:rPr>
        <w:t>laporan kinerja keuangan gabungan</w:t>
      </w:r>
      <w:r>
        <w:rPr>
          <w:rFonts w:ascii="Times New Roman" w:hAnsi="Times New Roman" w:cs="Times New Roman"/>
          <w:b w:val="0"/>
          <w:i w:val="0"/>
          <w:sz w:val="24"/>
        </w:rPr>
        <w:t xml:space="preserve"> (</w:t>
      </w:r>
      <w:r>
        <w:rPr>
          <w:rFonts w:ascii="Times New Roman" w:hAnsi="Times New Roman" w:cs="Times New Roman"/>
          <w:b w:val="0"/>
          <w:i/>
          <w:sz w:val="24"/>
        </w:rPr>
        <w:t>combined statement</w:t>
      </w:r>
      <w:r>
        <w:rPr>
          <w:rFonts w:ascii="Times New Roman" w:hAnsi="Times New Roman" w:cs="Times New Roman"/>
          <w:b w:val="0"/>
          <w:i w:val="0"/>
          <w:sz w:val="24"/>
        </w:rPr>
        <w:t>) di mana elemen dan total laba komprehensif tampil di bawah laba bersih; (2) laporan laba komprehensif terpisah yang dimulai dari laba bersih; dan (3) di dalam laporan perubahan ekuitas. Preferensi Dewan jatuh pada format (1) (Wolk et al., 2017, PDF hlm. 13).</w:t>
      </w:r>
    </w:p>
    <w:p>
      <w:pPr>
        <w:spacing w:lineRule="exact" w:line="260" w:before="0" w:after="0"/>
        <w:jc w:val="center"/>
      </w:pPr>
      <w:r>
        <w:rPr>
          <w:rFonts w:ascii="Times New Roman" w:hAnsi="Times New Roman" w:cs="Times New Roman"/>
          <w:b/>
          <w:i w:val="0"/>
          <w:sz w:val="22"/>
        </w:rPr>
        <w:t xml:space="preserve">Tabel 2. </w:t>
      </w:r>
      <w:r>
        <w:rPr>
          <w:rFonts w:ascii="Times New Roman" w:hAnsi="Times New Roman" w:cs="Times New Roman"/>
          <w:b w:val="0"/>
          <w:i w:val="0"/>
          <w:sz w:val="22"/>
        </w:rPr>
        <w:t>Tiga format pelaporan comprehensive income menurut SFAS No. 130</w:t>
      </w:r>
    </w:p>
    <w:p>
      <w:pPr>
        <w:spacing w:lineRule="exact" w:line="260" w:before="0" w:after="80"/>
        <w:jc w:val="center"/>
      </w:pPr>
      <w:r>
        <w:rPr>
          <w:rFonts w:ascii="Times New Roman" w:hAnsi="Times New Roman" w:cs="Times New Roman"/>
          <w:b w:val="0"/>
          <w:i/>
          <w:sz w:val="22"/>
        </w:rPr>
        <w:t>Sumber: diolah dari Wolk et al. (2017), PDF hlm. 13</w:t>
      </w:r>
    </w:p>
    <w:tbl>
      <w:tblPr>
        <w:tblStyle w:val="TableGrid"/>
        <w:tblW w:type="auto" w:w="0"/>
        <w:jc w:val="center"/>
        <w:tblLook w:firstColumn="1" w:firstRow="1" w:lastColumn="0" w:lastRow="0" w:noHBand="0" w:noVBand="1" w:val="04A0"/>
      </w:tblPr>
      <w:tblGrid>
        <w:gridCol w:w="2835"/>
        <w:gridCol w:w="2835"/>
        <w:gridCol w:w="2835"/>
      </w:tblGrid>
      <w:tr>
        <w:tc>
          <w:tcPr>
            <w:tcW w:type="dxa" w:w="2381"/>
          </w:tcPr>
          <w:p>
            <w:r/>
            <w:r>
              <w:rPr>
                <w:rFonts w:ascii="Times New Roman" w:hAnsi="Times New Roman" w:cs="Times New Roman"/>
                <w:b/>
                <w:i w:val="0"/>
                <w:sz w:val="22"/>
              </w:rPr>
              <w:t>Format</w:t>
            </w:r>
          </w:p>
        </w:tc>
        <w:tc>
          <w:tcPr>
            <w:tcW w:type="dxa" w:w="3742"/>
          </w:tcPr>
          <w:p>
            <w:r/>
            <w:r>
              <w:rPr>
                <w:rFonts w:ascii="Times New Roman" w:hAnsi="Times New Roman" w:cs="Times New Roman"/>
                <w:b/>
                <w:i w:val="0"/>
                <w:sz w:val="22"/>
              </w:rPr>
              <w:t>Deskripsi</w:t>
            </w:r>
          </w:p>
        </w:tc>
        <w:tc>
          <w:tcPr>
            <w:tcW w:type="dxa" w:w="2381"/>
          </w:tcPr>
          <w:p>
            <w:r/>
            <w:r>
              <w:rPr>
                <w:rFonts w:ascii="Times New Roman" w:hAnsi="Times New Roman" w:cs="Times New Roman"/>
                <w:b/>
                <w:i w:val="0"/>
                <w:sz w:val="22"/>
              </w:rPr>
              <w:t>Catatan</w:t>
            </w:r>
          </w:p>
        </w:tc>
      </w:tr>
      <w:tr>
        <w:tc>
          <w:tcPr>
            <w:tcW w:type="dxa" w:w="2381"/>
          </w:tcPr>
          <w:p>
            <w:pPr>
              <w:spacing w:lineRule="exact" w:line="240"/>
            </w:pPr>
            <w:r/>
            <w:r>
              <w:rPr>
                <w:rFonts w:ascii="Times New Roman" w:hAnsi="Times New Roman" w:cs="Times New Roman"/>
                <w:b w:val="0"/>
                <w:i w:val="0"/>
                <w:sz w:val="22"/>
              </w:rPr>
              <w:t>(1) Combined statement of financial performance</w:t>
            </w:r>
          </w:p>
        </w:tc>
        <w:tc>
          <w:tcPr>
            <w:tcW w:type="dxa" w:w="3742"/>
          </w:tcPr>
          <w:p>
            <w:pPr>
              <w:spacing w:lineRule="exact" w:line="240"/>
            </w:pPr>
            <w:r/>
            <w:r>
              <w:rPr>
                <w:rFonts w:ascii="Times New Roman" w:hAnsi="Times New Roman" w:cs="Times New Roman"/>
                <w:b w:val="0"/>
                <w:i w:val="0"/>
                <w:sz w:val="22"/>
              </w:rPr>
              <w:t>Satu laporan: elemen comprehensive income dan totalnya tampil di bawah net income</w:t>
            </w:r>
          </w:p>
        </w:tc>
        <w:tc>
          <w:tcPr>
            <w:tcW w:type="dxa" w:w="2381"/>
          </w:tcPr>
          <w:p>
            <w:pPr>
              <w:spacing w:lineRule="exact" w:line="240"/>
            </w:pPr>
            <w:r/>
            <w:r>
              <w:rPr>
                <w:rFonts w:ascii="Times New Roman" w:hAnsi="Times New Roman" w:cs="Times New Roman"/>
                <w:b w:val="0"/>
                <w:i w:val="0"/>
                <w:sz w:val="22"/>
              </w:rPr>
              <w:t>Preferensi Board</w:t>
            </w:r>
          </w:p>
        </w:tc>
      </w:tr>
      <w:tr>
        <w:tc>
          <w:tcPr>
            <w:tcW w:type="dxa" w:w="2381"/>
          </w:tcPr>
          <w:p>
            <w:pPr>
              <w:spacing w:lineRule="exact" w:line="240"/>
            </w:pPr>
            <w:r/>
            <w:r>
              <w:rPr>
                <w:rFonts w:ascii="Times New Roman" w:hAnsi="Times New Roman" w:cs="Times New Roman"/>
                <w:b w:val="0"/>
                <w:i w:val="0"/>
                <w:sz w:val="22"/>
              </w:rPr>
              <w:t>(2) Separate statement of comprehensive income</w:t>
            </w:r>
          </w:p>
        </w:tc>
        <w:tc>
          <w:tcPr>
            <w:tcW w:type="dxa" w:w="3742"/>
          </w:tcPr>
          <w:p>
            <w:pPr>
              <w:spacing w:lineRule="exact" w:line="240"/>
            </w:pPr>
            <w:r/>
            <w:r>
              <w:rPr>
                <w:rFonts w:ascii="Times New Roman" w:hAnsi="Times New Roman" w:cs="Times New Roman"/>
                <w:b w:val="0"/>
                <w:i w:val="0"/>
                <w:sz w:val="22"/>
              </w:rPr>
              <w:t>Laporan terpisah yang dimulai dari net income</w:t>
            </w:r>
          </w:p>
        </w:tc>
        <w:tc>
          <w:tcPr>
            <w:tcW w:type="dxa" w:w="2381"/>
          </w:tcPr>
          <w:p>
            <w:pPr>
              <w:spacing w:lineRule="exact" w:line="240"/>
            </w:pPr>
            <w:r/>
            <w:r>
              <w:rPr>
                <w:rFonts w:ascii="Times New Roman" w:hAnsi="Times New Roman" w:cs="Times New Roman"/>
                <w:b w:val="0"/>
                <w:i w:val="0"/>
                <w:sz w:val="22"/>
              </w:rPr>
              <w:t>Visibilitas CI tetap terjaga</w:t>
            </w:r>
          </w:p>
        </w:tc>
      </w:tr>
      <w:tr>
        <w:tc>
          <w:tcPr>
            <w:tcW w:type="dxa" w:w="2381"/>
          </w:tcPr>
          <w:p>
            <w:pPr>
              <w:spacing w:lineRule="exact" w:line="240"/>
            </w:pPr>
            <w:r/>
            <w:r>
              <w:rPr>
                <w:rFonts w:ascii="Times New Roman" w:hAnsi="Times New Roman" w:cs="Times New Roman"/>
                <w:b w:val="0"/>
                <w:i w:val="0"/>
                <w:sz w:val="22"/>
              </w:rPr>
              <w:t>(3) Dalam statement of changes in equity</w:t>
            </w:r>
          </w:p>
        </w:tc>
        <w:tc>
          <w:tcPr>
            <w:tcW w:type="dxa" w:w="3742"/>
          </w:tcPr>
          <w:p>
            <w:pPr>
              <w:spacing w:lineRule="exact" w:line="240"/>
            </w:pPr>
            <w:r/>
            <w:r>
              <w:rPr>
                <w:rFonts w:ascii="Times New Roman" w:hAnsi="Times New Roman" w:cs="Times New Roman"/>
                <w:b w:val="0"/>
                <w:i w:val="0"/>
                <w:sz w:val="22"/>
              </w:rPr>
              <w:t>CI dilaporkan di dalam laporan perubahan ekuitas</w:t>
            </w:r>
          </w:p>
        </w:tc>
        <w:tc>
          <w:tcPr>
            <w:tcW w:type="dxa" w:w="2381"/>
          </w:tcPr>
          <w:p>
            <w:pPr>
              <w:spacing w:lineRule="exact" w:line="240"/>
            </w:pPr>
            <w:r/>
            <w:r>
              <w:rPr>
                <w:rFonts w:ascii="Times New Roman" w:hAnsi="Times New Roman" w:cs="Times New Roman"/>
                <w:b w:val="0"/>
                <w:i w:val="0"/>
                <w:sz w:val="22"/>
              </w:rPr>
              <w:t>Diprediksi dua anggota dissenting paling banyak dipakai — menurunkan visibilitas CI</w:t>
            </w:r>
          </w:p>
        </w:tc>
      </w:tr>
    </w:tbl>
    <w:p>
      <w:pPr>
        <w:spacing w:lineRule="exact" w:line="260" w:before="0" w:after="80"/>
        <w:jc w:val="both"/>
      </w:pPr>
      <w:r>
        <w:rPr>
          <w:rFonts w:ascii="Times New Roman" w:hAnsi="Times New Roman" w:cs="Times New Roman"/>
          <w:b w:val="0"/>
          <w:i w:val="0"/>
          <w:sz w:val="24"/>
        </w:rPr>
        <w:t xml:space="preserve">Dua anggota FASB menyatakan </w:t>
      </w:r>
      <w:r>
        <w:rPr>
          <w:rFonts w:ascii="Times New Roman" w:hAnsi="Times New Roman" w:cs="Times New Roman"/>
          <w:b/>
          <w:i w:val="0"/>
          <w:sz w:val="24"/>
        </w:rPr>
        <w:t>dissent</w:t>
      </w:r>
      <w:r>
        <w:rPr>
          <w:rFonts w:ascii="Times New Roman" w:hAnsi="Times New Roman" w:cs="Times New Roman"/>
          <w:b w:val="0"/>
          <w:i w:val="0"/>
          <w:sz w:val="24"/>
        </w:rPr>
        <w:t xml:space="preserve"> karena meyakini sebagian besar perusahaan akan memilih format (3), sehingga </w:t>
      </w:r>
      <w:r>
        <w:rPr>
          <w:rFonts w:ascii="Times New Roman" w:hAnsi="Times New Roman" w:cs="Times New Roman"/>
          <w:b/>
          <w:i w:val="0"/>
          <w:sz w:val="24"/>
        </w:rPr>
        <w:t>kepentingan dan visibilitas</w:t>
      </w:r>
      <w:r>
        <w:rPr>
          <w:rFonts w:ascii="Times New Roman" w:hAnsi="Times New Roman" w:cs="Times New Roman"/>
          <w:b w:val="0"/>
          <w:i w:val="0"/>
          <w:sz w:val="24"/>
        </w:rPr>
        <w:t xml:space="preserve"> laba komprehensif justru tergerus. Wolk menilai kritik ini valid—tiga format adalah fleksibilitas berlebihan—tetapi secara neto SFAS No. 130 tetap berdampak menguntungkan bagi penyajian laba (Wolk et al., 2017, PDF hlm. 13). Setelah meninjau logika all-inclusive hingga puncaknya pada laba komprehensif, kita menelaah seksi nonoperasi laporan laba rugi pada Bagian VIII.</w:t>
      </w:r>
    </w:p>
    <w:p>
      <w:pPr>
        <w:spacing w:lineRule="exact" w:line="260" w:before="120" w:after="80"/>
        <w:jc w:val="left"/>
      </w:pPr>
      <w:r>
        <w:rPr>
          <w:rFonts w:ascii="Times New Roman" w:hAnsi="Times New Roman" w:cs="Times New Roman"/>
          <w:b/>
          <w:i w:val="0"/>
          <w:sz w:val="26"/>
        </w:rPr>
        <w:t>VIII. Seksi Nonoperasi: Extraordinary Items, Accounting Changes, dan Prior Period Adjustments</w:t>
      </w:r>
    </w:p>
    <w:p>
      <w:pPr>
        <w:spacing w:lineRule="exact" w:line="260" w:before="0" w:after="80"/>
        <w:jc w:val="both"/>
      </w:pPr>
      <w:r>
        <w:rPr>
          <w:rFonts w:ascii="Times New Roman" w:hAnsi="Times New Roman" w:cs="Times New Roman"/>
          <w:b w:val="0"/>
          <w:i w:val="0"/>
          <w:sz w:val="24"/>
        </w:rPr>
        <w:t xml:space="preserve">Sejak APB Opinion No. 9, </w:t>
      </w:r>
      <w:r>
        <w:rPr>
          <w:rFonts w:ascii="Times New Roman" w:hAnsi="Times New Roman" w:cs="Times New Roman"/>
          <w:b/>
          <w:i w:val="0"/>
          <w:sz w:val="24"/>
        </w:rPr>
        <w:t>seksi nonoperasi</w:t>
      </w:r>
      <w:r>
        <w:rPr>
          <w:rFonts w:ascii="Times New Roman" w:hAnsi="Times New Roman" w:cs="Times New Roman"/>
          <w:b w:val="0"/>
          <w:i w:val="0"/>
          <w:sz w:val="24"/>
        </w:rPr>
        <w:t xml:space="preserve"> laporan laba rugi meluas mencakup tiga subdivisi—</w:t>
      </w:r>
      <w:r>
        <w:rPr>
          <w:rFonts w:ascii="Times New Roman" w:hAnsi="Times New Roman" w:cs="Times New Roman"/>
          <w:b/>
          <w:i w:val="0"/>
          <w:sz w:val="24"/>
        </w:rPr>
        <w:t>pos luar biasa</w:t>
      </w:r>
      <w:r>
        <w:rPr>
          <w:rFonts w:ascii="Times New Roman" w:hAnsi="Times New Roman" w:cs="Times New Roman"/>
          <w:b w:val="0"/>
          <w:i w:val="0"/>
          <w:sz w:val="24"/>
        </w:rPr>
        <w:t xml:space="preserve"> (</w:t>
      </w:r>
      <w:r>
        <w:rPr>
          <w:rFonts w:ascii="Times New Roman" w:hAnsi="Times New Roman" w:cs="Times New Roman"/>
          <w:b w:val="0"/>
          <w:i/>
          <w:sz w:val="24"/>
        </w:rPr>
        <w:t>extraordinary items</w:t>
      </w:r>
      <w:r>
        <w:rPr>
          <w:rFonts w:ascii="Times New Roman" w:hAnsi="Times New Roman" w:cs="Times New Roman"/>
          <w:b w:val="0"/>
          <w:i w:val="0"/>
          <w:sz w:val="24"/>
        </w:rPr>
        <w:t xml:space="preserve">), </w:t>
      </w:r>
      <w:r>
        <w:rPr>
          <w:rFonts w:ascii="Times New Roman" w:hAnsi="Times New Roman" w:cs="Times New Roman"/>
          <w:b/>
          <w:i w:val="0"/>
          <w:sz w:val="24"/>
        </w:rPr>
        <w:t>perubahan akuntansi</w:t>
      </w:r>
      <w:r>
        <w:rPr>
          <w:rFonts w:ascii="Times New Roman" w:hAnsi="Times New Roman" w:cs="Times New Roman"/>
          <w:b w:val="0"/>
          <w:i w:val="0"/>
          <w:sz w:val="24"/>
        </w:rPr>
        <w:t xml:space="preserve"> (</w:t>
      </w:r>
      <w:r>
        <w:rPr>
          <w:rFonts w:ascii="Times New Roman" w:hAnsi="Times New Roman" w:cs="Times New Roman"/>
          <w:b w:val="0"/>
          <w:i/>
          <w:sz w:val="24"/>
        </w:rPr>
        <w:t>accounting changes</w:t>
      </w:r>
      <w:r>
        <w:rPr>
          <w:rFonts w:ascii="Times New Roman" w:hAnsi="Times New Roman" w:cs="Times New Roman"/>
          <w:b w:val="0"/>
          <w:i w:val="0"/>
          <w:sz w:val="24"/>
        </w:rPr>
        <w:t xml:space="preserve">), dan </w:t>
      </w:r>
      <w:r>
        <w:rPr>
          <w:rFonts w:ascii="Times New Roman" w:hAnsi="Times New Roman" w:cs="Times New Roman"/>
          <w:b/>
          <w:i w:val="0"/>
          <w:sz w:val="24"/>
        </w:rPr>
        <w:t>operasi yang dihentikan</w:t>
      </w:r>
      <w:r>
        <w:rPr>
          <w:rFonts w:ascii="Times New Roman" w:hAnsi="Times New Roman" w:cs="Times New Roman"/>
          <w:b w:val="0"/>
          <w:i w:val="0"/>
          <w:sz w:val="24"/>
        </w:rPr>
        <w:t xml:space="preserve"> (</w:t>
      </w:r>
      <w:r>
        <w:rPr>
          <w:rFonts w:ascii="Times New Roman" w:hAnsi="Times New Roman" w:cs="Times New Roman"/>
          <w:b w:val="0"/>
          <w:i/>
          <w:sz w:val="24"/>
        </w:rPr>
        <w:t>discontinued operations</w:t>
      </w:r>
      <w:r>
        <w:rPr>
          <w:rFonts w:ascii="Times New Roman" w:hAnsi="Times New Roman" w:cs="Times New Roman"/>
          <w:b w:val="0"/>
          <w:i w:val="0"/>
          <w:sz w:val="24"/>
        </w:rPr>
        <w:t xml:space="preserve">)—ditambah </w:t>
      </w:r>
      <w:r>
        <w:rPr>
          <w:rFonts w:ascii="Times New Roman" w:hAnsi="Times New Roman" w:cs="Times New Roman"/>
          <w:b/>
          <w:i w:val="0"/>
          <w:sz w:val="24"/>
        </w:rPr>
        <w:t>penyesuaian periode lalu</w:t>
      </w:r>
      <w:r>
        <w:rPr>
          <w:rFonts w:ascii="Times New Roman" w:hAnsi="Times New Roman" w:cs="Times New Roman"/>
          <w:b w:val="0"/>
          <w:i w:val="0"/>
          <w:sz w:val="24"/>
        </w:rPr>
        <w:t xml:space="preserve"> (</w:t>
      </w:r>
      <w:r>
        <w:rPr>
          <w:rFonts w:ascii="Times New Roman" w:hAnsi="Times New Roman" w:cs="Times New Roman"/>
          <w:b w:val="0"/>
          <w:i/>
          <w:sz w:val="24"/>
        </w:rPr>
        <w:t>prior period adjustments</w:t>
      </w:r>
      <w:r>
        <w:rPr>
          <w:rFonts w:ascii="Times New Roman" w:hAnsi="Times New Roman" w:cs="Times New Roman"/>
          <w:b w:val="0"/>
          <w:i w:val="0"/>
          <w:sz w:val="24"/>
        </w:rPr>
        <w:t xml:space="preserve">) dalam laporan laba ditahan. Seksi ini kelanjutan dilema </w:t>
      </w:r>
      <w:r>
        <w:rPr>
          <w:rFonts w:ascii="Times New Roman" w:hAnsi="Times New Roman" w:cs="Times New Roman"/>
          <w:b w:val="0"/>
          <w:i/>
          <w:sz w:val="24"/>
        </w:rPr>
        <w:t>current operating versus all-inclusive</w:t>
      </w:r>
      <w:r>
        <w:rPr>
          <w:rFonts w:ascii="Times New Roman" w:hAnsi="Times New Roman" w:cs="Times New Roman"/>
          <w:b w:val="0"/>
          <w:i w:val="0"/>
          <w:sz w:val="24"/>
        </w:rPr>
        <w:t>: memisahkan komponen berulang dari yang tidak berulang demi pengguna yang memproyeksikan masa depan (Wolk et al., 2017, PDF hlm. 13).</w:t>
      </w:r>
    </w:p>
    <w:p>
      <w:pPr>
        <w:spacing w:lineRule="exact" w:line="260" w:before="0" w:after="80"/>
        <w:jc w:val="both"/>
      </w:pPr>
      <w:r>
        <w:rPr>
          <w:rFonts w:ascii="Times New Roman" w:hAnsi="Times New Roman" w:cs="Times New Roman"/>
          <w:b w:val="0"/>
          <w:i w:val="0"/>
          <w:sz w:val="24"/>
        </w:rPr>
        <w:t xml:space="preserve">Penanganan </w:t>
      </w:r>
      <w:r>
        <w:rPr>
          <w:rFonts w:ascii="Times New Roman" w:hAnsi="Times New Roman" w:cs="Times New Roman"/>
          <w:b w:val="0"/>
          <w:i/>
          <w:sz w:val="24"/>
        </w:rPr>
        <w:t>extraordinary items</w:t>
      </w:r>
      <w:r>
        <w:rPr>
          <w:rFonts w:ascii="Times New Roman" w:hAnsi="Times New Roman" w:cs="Times New Roman"/>
          <w:b w:val="0"/>
          <w:i w:val="0"/>
          <w:sz w:val="24"/>
        </w:rPr>
        <w:t xml:space="preserve"> adalah contoh pergeseran dari </w:t>
      </w:r>
      <w:r>
        <w:rPr>
          <w:rFonts w:ascii="Times New Roman" w:hAnsi="Times New Roman" w:cs="Times New Roman"/>
          <w:b/>
          <w:i w:val="0"/>
          <w:sz w:val="24"/>
        </w:rPr>
        <w:t>keseragaman terhingga</w:t>
      </w:r>
      <w:r>
        <w:rPr>
          <w:rFonts w:ascii="Times New Roman" w:hAnsi="Times New Roman" w:cs="Times New Roman"/>
          <w:b w:val="0"/>
          <w:i w:val="0"/>
          <w:sz w:val="24"/>
        </w:rPr>
        <w:t xml:space="preserve"> (</w:t>
      </w:r>
      <w:r>
        <w:rPr>
          <w:rFonts w:ascii="Times New Roman" w:hAnsi="Times New Roman" w:cs="Times New Roman"/>
          <w:b w:val="0"/>
          <w:i/>
          <w:sz w:val="24"/>
        </w:rPr>
        <w:t>finite uniformity</w:t>
      </w:r>
      <w:r>
        <w:rPr>
          <w:rFonts w:ascii="Times New Roman" w:hAnsi="Times New Roman" w:cs="Times New Roman"/>
          <w:b w:val="0"/>
          <w:i w:val="0"/>
          <w:sz w:val="24"/>
        </w:rPr>
        <w:t xml:space="preserve">) menuju </w:t>
      </w:r>
      <w:r>
        <w:rPr>
          <w:rFonts w:ascii="Times New Roman" w:hAnsi="Times New Roman" w:cs="Times New Roman"/>
          <w:b/>
          <w:i w:val="0"/>
          <w:sz w:val="24"/>
        </w:rPr>
        <w:t>keseragaman kaku</w:t>
      </w:r>
      <w:r>
        <w:rPr>
          <w:rFonts w:ascii="Times New Roman" w:hAnsi="Times New Roman" w:cs="Times New Roman"/>
          <w:b w:val="0"/>
          <w:i w:val="0"/>
          <w:sz w:val="24"/>
        </w:rPr>
        <w:t xml:space="preserve"> (</w:t>
      </w:r>
      <w:r>
        <w:rPr>
          <w:rFonts w:ascii="Times New Roman" w:hAnsi="Times New Roman" w:cs="Times New Roman"/>
          <w:b w:val="0"/>
          <w:i/>
          <w:sz w:val="24"/>
        </w:rPr>
        <w:t>rigid uniformity</w:t>
      </w:r>
      <w:r>
        <w:rPr>
          <w:rFonts w:ascii="Times New Roman" w:hAnsi="Times New Roman" w:cs="Times New Roman"/>
          <w:b w:val="0"/>
          <w:i w:val="0"/>
          <w:sz w:val="24"/>
        </w:rPr>
        <w:t xml:space="preserve">) akibat penyalahgunaan. Standar sebelumnya—Bab 8 ARB 43 (cetak ulang ARB 32, 1947)—begitu samar sehingga praktiknya tidak seragam, lalu </w:t>
      </w:r>
      <w:r>
        <w:rPr>
          <w:rFonts w:ascii="Times New Roman" w:hAnsi="Times New Roman" w:cs="Times New Roman"/>
          <w:b/>
          <w:i w:val="0"/>
          <w:sz w:val="24"/>
        </w:rPr>
        <w:t>APB Opinion No. 9</w:t>
      </w:r>
      <w:r>
        <w:rPr>
          <w:rFonts w:ascii="Times New Roman" w:hAnsi="Times New Roman" w:cs="Times New Roman"/>
          <w:b w:val="0"/>
          <w:i w:val="0"/>
          <w:sz w:val="24"/>
        </w:rPr>
        <w:t xml:space="preserve"> menertibkannya dengan seksi khusus dan definisi baru yang tetap ambigu (Wolk et al., 2017, PDF hlm. 13–14). Pada 1973, </w:t>
      </w:r>
      <w:r>
        <w:rPr>
          <w:rFonts w:ascii="Times New Roman" w:hAnsi="Times New Roman" w:cs="Times New Roman"/>
          <w:b/>
          <w:i w:val="0"/>
          <w:sz w:val="24"/>
        </w:rPr>
        <w:t>APB Opinion No. 30</w:t>
      </w:r>
      <w:r>
        <w:rPr>
          <w:rFonts w:ascii="Times New Roman" w:hAnsi="Times New Roman" w:cs="Times New Roman"/>
          <w:b w:val="0"/>
          <w:i w:val="0"/>
          <w:sz w:val="24"/>
        </w:rPr>
        <w:t xml:space="preserve"> mengambil keseragaman kaku dan nyaris menghapus pos luar biasa karena kriterianya begitu ketat: suatu pos harus </w:t>
      </w:r>
      <w:r>
        <w:rPr>
          <w:rFonts w:ascii="Times New Roman" w:hAnsi="Times New Roman" w:cs="Times New Roman"/>
          <w:b/>
          <w:i w:val="0"/>
          <w:sz w:val="24"/>
        </w:rPr>
        <w:t>sekaligus tidak lazim sifatnya</w:t>
      </w:r>
      <w:r>
        <w:rPr>
          <w:rFonts w:ascii="Times New Roman" w:hAnsi="Times New Roman" w:cs="Times New Roman"/>
          <w:b w:val="0"/>
          <w:i w:val="0"/>
          <w:sz w:val="24"/>
        </w:rPr>
        <w:t xml:space="preserve"> (</w:t>
      </w:r>
      <w:r>
        <w:rPr>
          <w:rFonts w:ascii="Times New Roman" w:hAnsi="Times New Roman" w:cs="Times New Roman"/>
          <w:b w:val="0"/>
          <w:i/>
          <w:sz w:val="24"/>
        </w:rPr>
        <w:t>unusual in nature</w:t>
      </w:r>
      <w:r>
        <w:rPr>
          <w:rFonts w:ascii="Times New Roman" w:hAnsi="Times New Roman" w:cs="Times New Roman"/>
          <w:b w:val="0"/>
          <w:i w:val="0"/>
          <w:sz w:val="24"/>
        </w:rPr>
        <w:t xml:space="preserve">) </w:t>
      </w:r>
      <w:r>
        <w:rPr>
          <w:rFonts w:ascii="Times New Roman" w:hAnsi="Times New Roman" w:cs="Times New Roman"/>
          <w:b/>
          <w:i w:val="0"/>
          <w:sz w:val="24"/>
        </w:rPr>
        <w:t>dan jarang terjadi</w:t>
      </w:r>
      <w:r>
        <w:rPr>
          <w:rFonts w:ascii="Times New Roman" w:hAnsi="Times New Roman" w:cs="Times New Roman"/>
          <w:b w:val="0"/>
          <w:i w:val="0"/>
          <w:sz w:val="24"/>
        </w:rPr>
        <w:t xml:space="preserve"> (</w:t>
      </w:r>
      <w:r>
        <w:rPr>
          <w:rFonts w:ascii="Times New Roman" w:hAnsi="Times New Roman" w:cs="Times New Roman"/>
          <w:b w:val="0"/>
          <w:i/>
          <w:sz w:val="24"/>
        </w:rPr>
        <w:t>infrequent in occurrence</w:t>
      </w:r>
      <w:r>
        <w:rPr>
          <w:rFonts w:ascii="Times New Roman" w:hAnsi="Times New Roman" w:cs="Times New Roman"/>
          <w:b w:val="0"/>
          <w:i w:val="0"/>
          <w:sz w:val="24"/>
        </w:rPr>
        <w:t xml:space="preserve">)—embun beku kebun jeruk di Florida utara tidak luar biasa karena lazim tiap tiga-empat tahun. Pos luar biasa disajikan tepat </w:t>
      </w:r>
      <w:r>
        <w:rPr>
          <w:rFonts w:ascii="Times New Roman" w:hAnsi="Times New Roman" w:cs="Times New Roman"/>
          <w:b/>
          <w:i w:val="0"/>
          <w:sz w:val="24"/>
        </w:rPr>
        <w:t>di atas laba bersih</w:t>
      </w:r>
      <w:r>
        <w:rPr>
          <w:rFonts w:ascii="Times New Roman" w:hAnsi="Times New Roman" w:cs="Times New Roman"/>
          <w:b w:val="0"/>
          <w:i w:val="0"/>
          <w:sz w:val="24"/>
        </w:rPr>
        <w:t xml:space="preserve"> dan </w:t>
      </w:r>
      <w:r>
        <w:rPr>
          <w:rFonts w:ascii="Times New Roman" w:hAnsi="Times New Roman" w:cs="Times New Roman"/>
          <w:b/>
          <w:i w:val="0"/>
          <w:sz w:val="24"/>
        </w:rPr>
        <w:t>neto setelah pajak</w:t>
      </w:r>
      <w:r>
        <w:rPr>
          <w:rFonts w:ascii="Times New Roman" w:hAnsi="Times New Roman" w:cs="Times New Roman"/>
          <w:b w:val="0"/>
          <w:i w:val="0"/>
          <w:sz w:val="24"/>
        </w:rPr>
        <w:t xml:space="preserve">; sebaliknya, pos yang tidak lazim </w:t>
      </w:r>
      <w:r>
        <w:rPr>
          <w:rFonts w:ascii="Times New Roman" w:hAnsi="Times New Roman" w:cs="Times New Roman"/>
          <w:b w:val="0"/>
          <w:i/>
          <w:sz w:val="24"/>
        </w:rPr>
        <w:t>atau</w:t>
      </w:r>
      <w:r>
        <w:rPr>
          <w:rFonts w:ascii="Times New Roman" w:hAnsi="Times New Roman" w:cs="Times New Roman"/>
          <w:b w:val="0"/>
          <w:i w:val="0"/>
          <w:sz w:val="24"/>
        </w:rPr>
        <w:t xml:space="preserve"> jarang terjadi—bukan keduanya—disajikan bersama pos berulang, dan jika material dipisahkan di atas kaption </w:t>
      </w:r>
      <w:r>
        <w:rPr>
          <w:rFonts w:ascii="Times New Roman" w:hAnsi="Times New Roman" w:cs="Times New Roman"/>
          <w:b w:val="0"/>
          <w:i/>
          <w:sz w:val="24"/>
        </w:rPr>
        <w:t>income before extraordinary items</w:t>
      </w:r>
      <w:r>
        <w:rPr>
          <w:rFonts w:ascii="Times New Roman" w:hAnsi="Times New Roman" w:cs="Times New Roman"/>
          <w:b w:val="0"/>
          <w:i w:val="0"/>
          <w:sz w:val="24"/>
        </w:rPr>
        <w:t>, bukan neto pajak (Wolk et al., 2017, PDF hlm. 14).</w:t>
      </w:r>
    </w:p>
    <w:p>
      <w:pPr>
        <w:spacing w:lineRule="exact" w:line="260" w:before="0" w:after="80"/>
        <w:jc w:val="both"/>
      </w:pPr>
      <w:r>
        <w:rPr>
          <w:rFonts w:ascii="Times New Roman" w:hAnsi="Times New Roman" w:cs="Times New Roman"/>
          <w:b w:val="0"/>
          <w:i w:val="0"/>
          <w:sz w:val="24"/>
        </w:rPr>
        <w:t xml:space="preserve">Untuk </w:t>
      </w:r>
      <w:r>
        <w:rPr>
          <w:rFonts w:ascii="Times New Roman" w:hAnsi="Times New Roman" w:cs="Times New Roman"/>
          <w:b w:val="0"/>
          <w:i/>
          <w:sz w:val="24"/>
        </w:rPr>
        <w:t>accounting changes</w:t>
      </w:r>
      <w:r>
        <w:rPr>
          <w:rFonts w:ascii="Times New Roman" w:hAnsi="Times New Roman" w:cs="Times New Roman"/>
          <w:b w:val="0"/>
          <w:i w:val="0"/>
          <w:sz w:val="24"/>
        </w:rPr>
        <w:t xml:space="preserve"> terdapat tiga kategori: </w:t>
      </w:r>
      <w:r>
        <w:rPr>
          <w:rFonts w:ascii="Times New Roman" w:hAnsi="Times New Roman" w:cs="Times New Roman"/>
          <w:b/>
          <w:i w:val="0"/>
          <w:sz w:val="24"/>
        </w:rPr>
        <w:t>perubahan prinsip akuntansi</w:t>
      </w:r>
      <w:r>
        <w:rPr>
          <w:rFonts w:ascii="Times New Roman" w:hAnsi="Times New Roman" w:cs="Times New Roman"/>
          <w:b w:val="0"/>
          <w:i w:val="0"/>
          <w:sz w:val="24"/>
        </w:rPr>
        <w:t xml:space="preserve">, </w:t>
      </w:r>
      <w:r>
        <w:rPr>
          <w:rFonts w:ascii="Times New Roman" w:hAnsi="Times New Roman" w:cs="Times New Roman"/>
          <w:b/>
          <w:i w:val="0"/>
          <w:sz w:val="24"/>
        </w:rPr>
        <w:t>perubahan estimasi akuntansi</w:t>
      </w:r>
      <w:r>
        <w:rPr>
          <w:rFonts w:ascii="Times New Roman" w:hAnsi="Times New Roman" w:cs="Times New Roman"/>
          <w:b w:val="0"/>
          <w:i w:val="0"/>
          <w:sz w:val="24"/>
        </w:rPr>
        <w:t xml:space="preserve"> (umur aset direvisi lebih pendek), dan </w:t>
      </w:r>
      <w:r>
        <w:rPr>
          <w:rFonts w:ascii="Times New Roman" w:hAnsi="Times New Roman" w:cs="Times New Roman"/>
          <w:b/>
          <w:i w:val="0"/>
          <w:sz w:val="24"/>
        </w:rPr>
        <w:t>perubahan entitas pelaporan</w:t>
      </w:r>
      <w:r>
        <w:rPr>
          <w:rFonts w:ascii="Times New Roman" w:hAnsi="Times New Roman" w:cs="Times New Roman"/>
          <w:b w:val="0"/>
          <w:i w:val="0"/>
          <w:sz w:val="24"/>
        </w:rPr>
        <w:t xml:space="preserve"> (Wolk et al., 2017, PDF hlm. 15).</w:t>
      </w:r>
    </w:p>
    <w:p>
      <w:pPr>
        <w:spacing w:lineRule="exact" w:line="260" w:before="0" w:after="0"/>
        <w:jc w:val="center"/>
      </w:pPr>
      <w:r>
        <w:rPr>
          <w:rFonts w:ascii="Times New Roman" w:hAnsi="Times New Roman" w:cs="Times New Roman"/>
          <w:b/>
          <w:i w:val="0"/>
          <w:sz w:val="22"/>
        </w:rPr>
        <w:t xml:space="preserve">Tabel 3. </w:t>
      </w:r>
      <w:r>
        <w:rPr>
          <w:rFonts w:ascii="Times New Roman" w:hAnsi="Times New Roman" w:cs="Times New Roman"/>
          <w:b w:val="0"/>
          <w:i w:val="0"/>
          <w:sz w:val="22"/>
        </w:rPr>
        <w:t>Tiga jenis perubahan akuntansi dan perlakuannya</w:t>
      </w:r>
    </w:p>
    <w:p>
      <w:pPr>
        <w:spacing w:lineRule="exact" w:line="260" w:before="0" w:after="80"/>
        <w:jc w:val="center"/>
      </w:pPr>
      <w:r>
        <w:rPr>
          <w:rFonts w:ascii="Times New Roman" w:hAnsi="Times New Roman" w:cs="Times New Roman"/>
          <w:b w:val="0"/>
          <w:i/>
          <w:sz w:val="22"/>
        </w:rPr>
        <w:t>Sumber: diolah dari Wolk et al. (2017), PDF hlm. 15–16</w:t>
      </w:r>
    </w:p>
    <w:tbl>
      <w:tblPr>
        <w:tblStyle w:val="TableGrid"/>
        <w:tblW w:type="auto" w:w="0"/>
        <w:jc w:val="center"/>
        <w:tblLook w:firstColumn="1" w:firstRow="1" w:lastColumn="0" w:lastRow="0" w:noHBand="0" w:noVBand="1" w:val="04A0"/>
      </w:tblPr>
      <w:tblGrid>
        <w:gridCol w:w="2835"/>
        <w:gridCol w:w="2835"/>
        <w:gridCol w:w="2835"/>
      </w:tblGrid>
      <w:tr>
        <w:tc>
          <w:tcPr>
            <w:tcW w:type="dxa" w:w="2381"/>
          </w:tcPr>
          <w:p>
            <w:r/>
            <w:r>
              <w:rPr>
                <w:rFonts w:ascii="Times New Roman" w:hAnsi="Times New Roman" w:cs="Times New Roman"/>
                <w:b/>
                <w:i w:val="0"/>
                <w:sz w:val="22"/>
              </w:rPr>
              <w:t>Jenis perubahan</w:t>
            </w:r>
          </w:p>
        </w:tc>
        <w:tc>
          <w:tcPr>
            <w:tcW w:type="dxa" w:w="3061"/>
          </w:tcPr>
          <w:p>
            <w:r/>
            <w:r>
              <w:rPr>
                <w:rFonts w:ascii="Times New Roman" w:hAnsi="Times New Roman" w:cs="Times New Roman"/>
                <w:b/>
                <w:i w:val="0"/>
                <w:sz w:val="22"/>
              </w:rPr>
              <w:t>APB Opinion No. 20</w:t>
            </w:r>
          </w:p>
        </w:tc>
        <w:tc>
          <w:tcPr>
            <w:tcW w:type="dxa" w:w="3061"/>
          </w:tcPr>
          <w:p>
            <w:r/>
            <w:r>
              <w:rPr>
                <w:rFonts w:ascii="Times New Roman" w:hAnsi="Times New Roman" w:cs="Times New Roman"/>
                <w:b/>
                <w:i w:val="0"/>
                <w:sz w:val="22"/>
              </w:rPr>
              <w:t>SFAS No. 154</w:t>
            </w:r>
          </w:p>
        </w:tc>
      </w:tr>
      <w:tr>
        <w:tc>
          <w:tcPr>
            <w:tcW w:type="dxa" w:w="2381"/>
          </w:tcPr>
          <w:p>
            <w:pPr>
              <w:spacing w:lineRule="exact" w:line="240"/>
            </w:pPr>
            <w:r/>
            <w:r>
              <w:rPr>
                <w:rFonts w:ascii="Times New Roman" w:hAnsi="Times New Roman" w:cs="Times New Roman"/>
                <w:b w:val="0"/>
                <w:i w:val="0"/>
                <w:sz w:val="22"/>
              </w:rPr>
              <w:t>Change in accounting principle (prinsip GAAP lama → GAAP lain)</w:t>
            </w:r>
          </w:p>
        </w:tc>
        <w:tc>
          <w:tcPr>
            <w:tcW w:type="dxa" w:w="3061"/>
          </w:tcPr>
          <w:p>
            <w:pPr>
              <w:spacing w:lineRule="exact" w:line="240"/>
            </w:pPr>
            <w:r/>
            <w:r>
              <w:rPr>
                <w:rFonts w:ascii="Times New Roman" w:hAnsi="Times New Roman" w:cs="Times New Roman"/>
                <w:b w:val="0"/>
                <w:i w:val="0"/>
                <w:sz w:val="22"/>
              </w:rPr>
              <w:t>Cumulative effect disajikan di laporan laba rugi berjalan, tepat di bawah extraordinary items</w:t>
            </w:r>
          </w:p>
        </w:tc>
        <w:tc>
          <w:tcPr>
            <w:tcW w:type="dxa" w:w="3061"/>
          </w:tcPr>
          <w:p>
            <w:pPr>
              <w:spacing w:lineRule="exact" w:line="240"/>
            </w:pPr>
            <w:r/>
            <w:r>
              <w:rPr>
                <w:rFonts w:ascii="Times New Roman" w:hAnsi="Times New Roman" w:cs="Times New Roman"/>
                <w:b w:val="0"/>
                <w:i w:val="0"/>
                <w:sz w:val="22"/>
              </w:rPr>
              <w:t>Retrospektif ke semua laporan laba rugi terdampak, kecuali impraktis; saldo neraca disesuaikan ke awal periode pertama yang disajikan</w:t>
            </w:r>
          </w:p>
        </w:tc>
      </w:tr>
      <w:tr>
        <w:tc>
          <w:tcPr>
            <w:tcW w:type="dxa" w:w="2381"/>
          </w:tcPr>
          <w:p>
            <w:pPr>
              <w:spacing w:lineRule="exact" w:line="240"/>
            </w:pPr>
            <w:r/>
            <w:r>
              <w:rPr>
                <w:rFonts w:ascii="Times New Roman" w:hAnsi="Times New Roman" w:cs="Times New Roman"/>
                <w:b w:val="0"/>
                <w:i w:val="0"/>
                <w:sz w:val="22"/>
              </w:rPr>
              <w:t>Change in accounting estimate (informasi baru atas estimasi)</w:t>
            </w:r>
          </w:p>
        </w:tc>
        <w:tc>
          <w:tcPr>
            <w:tcW w:type="dxa" w:w="3061"/>
          </w:tcPr>
          <w:p>
            <w:pPr>
              <w:spacing w:lineRule="exact" w:line="240"/>
            </w:pPr>
            <w:r/>
            <w:r>
              <w:rPr>
                <w:rFonts w:ascii="Times New Roman" w:hAnsi="Times New Roman" w:cs="Times New Roman"/>
                <w:b w:val="0"/>
                <w:i w:val="0"/>
                <w:sz w:val="22"/>
              </w:rPr>
              <w:t>Prospektif: periode berjalan dan/atau periode mendatang</w:t>
            </w:r>
          </w:p>
        </w:tc>
        <w:tc>
          <w:tcPr>
            <w:tcW w:type="dxa" w:w="3061"/>
          </w:tcPr>
          <w:p>
            <w:pPr>
              <w:spacing w:lineRule="exact" w:line="240"/>
            </w:pPr>
            <w:r/>
            <w:r>
              <w:rPr>
                <w:rFonts w:ascii="Times New Roman" w:hAnsi="Times New Roman" w:cs="Times New Roman"/>
                <w:b w:val="0"/>
                <w:i w:val="0"/>
                <w:sz w:val="22"/>
              </w:rPr>
              <w:t>Sama (prospektif); perubahan depresiasi/deplesi/amortisasi akibat perubahan prinsip diperlakukan sebagai perubahan estimasi</w:t>
            </w:r>
          </w:p>
        </w:tc>
      </w:tr>
      <w:tr>
        <w:tc>
          <w:tcPr>
            <w:tcW w:type="dxa" w:w="2381"/>
          </w:tcPr>
          <w:p>
            <w:pPr>
              <w:spacing w:lineRule="exact" w:line="240"/>
            </w:pPr>
            <w:r/>
            <w:r>
              <w:rPr>
                <w:rFonts w:ascii="Times New Roman" w:hAnsi="Times New Roman" w:cs="Times New Roman"/>
                <w:b w:val="0"/>
                <w:i w:val="0"/>
                <w:sz w:val="22"/>
              </w:rPr>
              <w:t>Change in reporting entity (komposisi entitas pelapor berubah)</w:t>
            </w:r>
          </w:p>
        </w:tc>
        <w:tc>
          <w:tcPr>
            <w:tcW w:type="dxa" w:w="3061"/>
          </w:tcPr>
          <w:p>
            <w:pPr>
              <w:spacing w:lineRule="exact" w:line="240"/>
            </w:pPr>
            <w:r/>
            <w:r>
              <w:rPr>
                <w:rFonts w:ascii="Times New Roman" w:hAnsi="Times New Roman" w:cs="Times New Roman"/>
                <w:b w:val="0"/>
                <w:i w:val="0"/>
                <w:sz w:val="22"/>
              </w:rPr>
              <w:t>Restate seluruh laporan periode sebelumnya; ungkap sifat, alasan, dan efeknya</w:t>
            </w:r>
          </w:p>
        </w:tc>
        <w:tc>
          <w:tcPr>
            <w:tcW w:type="dxa" w:w="3061"/>
          </w:tcPr>
          <w:p>
            <w:pPr>
              <w:spacing w:lineRule="exact" w:line="240"/>
            </w:pPr>
            <w:r/>
            <w:r>
              <w:rPr>
                <w:rFonts w:ascii="Times New Roman" w:hAnsi="Times New Roman" w:cs="Times New Roman"/>
                <w:b w:val="0"/>
                <w:i w:val="0"/>
                <w:sz w:val="22"/>
              </w:rPr>
              <w:t>Tidak diubah oleh SFAS 154</w:t>
            </w:r>
          </w:p>
        </w:tc>
      </w:tr>
    </w:tbl>
    <w:p>
      <w:pPr>
        <w:spacing w:lineRule="exact" w:line="260" w:before="0" w:after="80"/>
        <w:jc w:val="both"/>
      </w:pPr>
      <w:r>
        <w:rPr>
          <w:rFonts w:ascii="Times New Roman" w:hAnsi="Times New Roman" w:cs="Times New Roman"/>
          <w:b w:val="0"/>
          <w:i w:val="0"/>
          <w:sz w:val="24"/>
        </w:rPr>
        <w:t xml:space="preserve">Di bawah </w:t>
      </w:r>
      <w:r>
        <w:rPr>
          <w:rFonts w:ascii="Times New Roman" w:hAnsi="Times New Roman" w:cs="Times New Roman"/>
          <w:b/>
          <w:i w:val="0"/>
          <w:sz w:val="24"/>
        </w:rPr>
        <w:t>APB Opinion No. 20</w:t>
      </w:r>
      <w:r>
        <w:rPr>
          <w:rFonts w:ascii="Times New Roman" w:hAnsi="Times New Roman" w:cs="Times New Roman"/>
          <w:b w:val="0"/>
          <w:i w:val="0"/>
          <w:sz w:val="24"/>
        </w:rPr>
        <w:t xml:space="preserve">, efek kumulatif perubahan prinsip dimasukkan tepat di bawah pos luar biasa pada laporan periode berjalan; sebaliknya </w:t>
      </w:r>
      <w:r>
        <w:rPr>
          <w:rFonts w:ascii="Times New Roman" w:hAnsi="Times New Roman" w:cs="Times New Roman"/>
          <w:b/>
          <w:i w:val="0"/>
          <w:sz w:val="24"/>
        </w:rPr>
        <w:t>SFAS No. 154</w:t>
      </w:r>
      <w:r>
        <w:rPr>
          <w:rFonts w:ascii="Times New Roman" w:hAnsi="Times New Roman" w:cs="Times New Roman"/>
          <w:b w:val="0"/>
          <w:i w:val="0"/>
          <w:sz w:val="24"/>
        </w:rPr>
        <w:t xml:space="preserve"> mensyaratkan </w:t>
      </w:r>
      <w:r>
        <w:rPr>
          <w:rFonts w:ascii="Times New Roman" w:hAnsi="Times New Roman" w:cs="Times New Roman"/>
          <w:b/>
          <w:i w:val="0"/>
          <w:sz w:val="24"/>
        </w:rPr>
        <w:t>penyajian ulang retrospektif</w:t>
      </w:r>
      <w:r>
        <w:rPr>
          <w:rFonts w:ascii="Times New Roman" w:hAnsi="Times New Roman" w:cs="Times New Roman"/>
          <w:b w:val="0"/>
          <w:i w:val="0"/>
          <w:sz w:val="24"/>
        </w:rPr>
        <w:t xml:space="preserve"> (</w:t>
      </w:r>
      <w:r>
        <w:rPr>
          <w:rFonts w:ascii="Times New Roman" w:hAnsi="Times New Roman" w:cs="Times New Roman"/>
          <w:b w:val="0"/>
          <w:i/>
          <w:sz w:val="24"/>
        </w:rPr>
        <w:t>retrospective restatement</w:t>
      </w:r>
      <w:r>
        <w:rPr>
          <w:rFonts w:ascii="Times New Roman" w:hAnsi="Times New Roman" w:cs="Times New Roman"/>
          <w:b w:val="0"/>
          <w:i w:val="0"/>
          <w:sz w:val="24"/>
        </w:rPr>
        <w:t xml:space="preserve">) atas semua laporan terdampak kecuali tidak praktis. Perubahan estimasi ditangani prospektif—dan menurut SFAS No. 154, perubahan prinsip lewat metode penyusutan kini diperlakukan </w:t>
      </w:r>
      <w:r>
        <w:rPr>
          <w:rFonts w:ascii="Times New Roman" w:hAnsi="Times New Roman" w:cs="Times New Roman"/>
          <w:b/>
          <w:i w:val="0"/>
          <w:sz w:val="24"/>
        </w:rPr>
        <w:t>prospektif sebagai perubahan estimasi</w:t>
      </w:r>
      <w:r>
        <w:rPr>
          <w:rFonts w:ascii="Times New Roman" w:hAnsi="Times New Roman" w:cs="Times New Roman"/>
          <w:b w:val="0"/>
          <w:i w:val="0"/>
          <w:sz w:val="24"/>
        </w:rPr>
        <w:t>. Untuk perubahan entitas, APB Opinion No. 20 mewajibkan penyajian ulang seluruh periode lalu; secara umum FASB memihak penyajian ulang retroaktif (Wolk et al., 2017, PDF hlm. 15).</w:t>
      </w:r>
    </w:p>
    <w:p>
      <w:pPr>
        <w:spacing w:lineRule="exact" w:line="260" w:before="0" w:after="80"/>
        <w:jc w:val="both"/>
      </w:pPr>
      <w:r>
        <w:rPr>
          <w:rFonts w:ascii="Times New Roman" w:hAnsi="Times New Roman" w:cs="Times New Roman"/>
          <w:b w:val="0"/>
          <w:i w:val="0"/>
          <w:sz w:val="24"/>
        </w:rPr>
        <w:t xml:space="preserve">Adapun </w:t>
      </w:r>
      <w:r>
        <w:rPr>
          <w:rFonts w:ascii="Times New Roman" w:hAnsi="Times New Roman" w:cs="Times New Roman"/>
          <w:b w:val="0"/>
          <w:i/>
          <w:sz w:val="24"/>
        </w:rPr>
        <w:t>prior period adjustments</w:t>
      </w:r>
      <w:r>
        <w:rPr>
          <w:rFonts w:ascii="Times New Roman" w:hAnsi="Times New Roman" w:cs="Times New Roman"/>
          <w:b w:val="0"/>
          <w:i w:val="0"/>
          <w:sz w:val="24"/>
        </w:rPr>
        <w:t xml:space="preserve"> dibebankan/dikreditkan ke saldo awal laba ditahan neto pajak, sehingga dikecualikan dari laba bersih periode berjalan. </w:t>
      </w:r>
      <w:r>
        <w:rPr>
          <w:rFonts w:ascii="Times New Roman" w:hAnsi="Times New Roman" w:cs="Times New Roman"/>
          <w:b/>
          <w:i w:val="0"/>
          <w:sz w:val="24"/>
        </w:rPr>
        <w:t>APB Opinion No. 9</w:t>
      </w:r>
      <w:r>
        <w:rPr>
          <w:rFonts w:ascii="Times New Roman" w:hAnsi="Times New Roman" w:cs="Times New Roman"/>
          <w:b w:val="0"/>
          <w:i w:val="0"/>
          <w:sz w:val="24"/>
        </w:rPr>
        <w:t xml:space="preserve"> mula-mula menetapkan kriteria restriktif, tetapi staf </w:t>
      </w:r>
      <w:r>
        <w:rPr>
          <w:rFonts w:ascii="Times New Roman" w:hAnsi="Times New Roman" w:cs="Times New Roman"/>
          <w:b/>
          <w:i w:val="0"/>
          <w:sz w:val="24"/>
        </w:rPr>
        <w:t>SEC</w:t>
      </w:r>
      <w:r>
        <w:rPr>
          <w:rFonts w:ascii="Times New Roman" w:hAnsi="Times New Roman" w:cs="Times New Roman"/>
          <w:b w:val="0"/>
          <w:i w:val="0"/>
          <w:sz w:val="24"/>
        </w:rPr>
        <w:t xml:space="preserve"> melalui </w:t>
      </w:r>
      <w:r>
        <w:rPr>
          <w:rFonts w:ascii="Times New Roman" w:hAnsi="Times New Roman" w:cs="Times New Roman"/>
          <w:b/>
          <w:i w:val="0"/>
          <w:sz w:val="24"/>
        </w:rPr>
        <w:t>Staff Accounting Bulletin No. 8</w:t>
      </w:r>
      <w:r>
        <w:rPr>
          <w:rFonts w:ascii="Times New Roman" w:hAnsi="Times New Roman" w:cs="Times New Roman"/>
          <w:b w:val="0"/>
          <w:i w:val="0"/>
          <w:sz w:val="24"/>
        </w:rPr>
        <w:t xml:space="preserve"> mengeluarkan beban/kredit litigasi—sehingga mendorong </w:t>
      </w:r>
      <w:r>
        <w:rPr>
          <w:rFonts w:ascii="Times New Roman" w:hAnsi="Times New Roman" w:cs="Times New Roman"/>
          <w:b/>
          <w:i w:val="0"/>
          <w:sz w:val="24"/>
        </w:rPr>
        <w:t>SFAS No. 16</w:t>
      </w:r>
      <w:r>
        <w:rPr>
          <w:rFonts w:ascii="Times New Roman" w:hAnsi="Times New Roman" w:cs="Times New Roman"/>
          <w:b w:val="0"/>
          <w:i w:val="0"/>
          <w:sz w:val="24"/>
        </w:rPr>
        <w:t xml:space="preserve"> yang membatasinya hanya pada </w:t>
      </w:r>
      <w:r>
        <w:rPr>
          <w:rFonts w:ascii="Times New Roman" w:hAnsi="Times New Roman" w:cs="Times New Roman"/>
          <w:b/>
          <w:i w:val="0"/>
          <w:sz w:val="24"/>
        </w:rPr>
        <w:t>koreksi kesalahan</w:t>
      </w:r>
      <w:r>
        <w:rPr>
          <w:rFonts w:ascii="Times New Roman" w:hAnsi="Times New Roman" w:cs="Times New Roman"/>
          <w:b w:val="0"/>
          <w:i w:val="0"/>
          <w:sz w:val="24"/>
        </w:rPr>
        <w:t xml:space="preserve"> laporan periode lalu serta realisasi manfaat pajak atas </w:t>
      </w:r>
      <w:r>
        <w:rPr>
          <w:rFonts w:ascii="Times New Roman" w:hAnsi="Times New Roman" w:cs="Times New Roman"/>
          <w:b/>
          <w:i w:val="0"/>
          <w:sz w:val="24"/>
        </w:rPr>
        <w:t>kerugian operasi terbawa</w:t>
      </w:r>
      <w:r>
        <w:rPr>
          <w:rFonts w:ascii="Times New Roman" w:hAnsi="Times New Roman" w:cs="Times New Roman"/>
          <w:b w:val="0"/>
          <w:i w:val="0"/>
          <w:sz w:val="24"/>
        </w:rPr>
        <w:t xml:space="preserve"> (</w:t>
      </w:r>
      <w:r>
        <w:rPr>
          <w:rFonts w:ascii="Times New Roman" w:hAnsi="Times New Roman" w:cs="Times New Roman"/>
          <w:b w:val="0"/>
          <w:i/>
          <w:sz w:val="24"/>
        </w:rPr>
        <w:t>loss carryforward</w:t>
      </w:r>
      <w:r>
        <w:rPr>
          <w:rFonts w:ascii="Times New Roman" w:hAnsi="Times New Roman" w:cs="Times New Roman"/>
          <w:b w:val="0"/>
          <w:i w:val="0"/>
          <w:sz w:val="24"/>
        </w:rPr>
        <w:t xml:space="preserve">) prapenggabungan anak perusahaan yang dibeli (Wolk et al., 2017, PDF hlm. 16). Seluruh arsitektur ini menjernihkan distinksi komponen berulang dan </w:t>
      </w:r>
      <w:r>
        <w:rPr>
          <w:rFonts w:ascii="Times New Roman" w:hAnsi="Times New Roman" w:cs="Times New Roman"/>
          <w:b/>
          <w:i w:val="0"/>
          <w:sz w:val="24"/>
        </w:rPr>
        <w:t>transitori</w:t>
      </w:r>
      <w:r>
        <w:rPr>
          <w:rFonts w:ascii="Times New Roman" w:hAnsi="Times New Roman" w:cs="Times New Roman"/>
          <w:b w:val="0"/>
          <w:i w:val="0"/>
          <w:sz w:val="24"/>
        </w:rPr>
        <w:t xml:space="preserve"> bagi pengguna yang memforecast kinerja—kebutuhan akan ukuran ringkas dan terbandingkan inilah yang melatari </w:t>
      </w:r>
      <w:r>
        <w:rPr>
          <w:rFonts w:ascii="Times New Roman" w:hAnsi="Times New Roman" w:cs="Times New Roman"/>
          <w:b w:val="0"/>
          <w:i/>
          <w:sz w:val="24"/>
        </w:rPr>
        <w:t>earnings per share</w:t>
      </w:r>
      <w:r>
        <w:rPr>
          <w:rFonts w:ascii="Times New Roman" w:hAnsi="Times New Roman" w:cs="Times New Roman"/>
          <w:b w:val="0"/>
          <w:i w:val="0"/>
          <w:sz w:val="24"/>
        </w:rPr>
        <w:t>, Bagian IX.</w:t>
      </w:r>
    </w:p>
    <w:p>
      <w:pPr>
        <w:spacing w:lineRule="exact" w:line="260" w:before="120" w:after="80"/>
        <w:jc w:val="left"/>
      </w:pPr>
      <w:r>
        <w:rPr>
          <w:rFonts w:ascii="Times New Roman" w:hAnsi="Times New Roman" w:cs="Times New Roman"/>
          <w:b/>
          <w:i w:val="0"/>
          <w:sz w:val="26"/>
        </w:rPr>
        <w:t>IX. Earnings per Share</w:t>
      </w:r>
    </w:p>
    <w:p>
      <w:pPr>
        <w:spacing w:lineRule="exact" w:line="260" w:before="0" w:after="80"/>
        <w:jc w:val="both"/>
      </w:pPr>
      <w:r>
        <w:rPr>
          <w:rFonts w:ascii="Times New Roman" w:hAnsi="Times New Roman" w:cs="Times New Roman"/>
          <w:b w:val="0"/>
          <w:i w:val="0"/>
          <w:sz w:val="24"/>
        </w:rPr>
        <w:t xml:space="preserve">Konsep </w:t>
      </w:r>
      <w:r>
        <w:rPr>
          <w:rFonts w:ascii="Times New Roman" w:hAnsi="Times New Roman" w:cs="Times New Roman"/>
          <w:b/>
          <w:i w:val="0"/>
          <w:sz w:val="24"/>
        </w:rPr>
        <w:t>indikator ringkas</w:t>
      </w:r>
      <w:r>
        <w:rPr>
          <w:rFonts w:ascii="Times New Roman" w:hAnsi="Times New Roman" w:cs="Times New Roman"/>
          <w:b w:val="0"/>
          <w:i w:val="0"/>
          <w:sz w:val="24"/>
        </w:rPr>
        <w:t xml:space="preserve"> (</w:t>
      </w:r>
      <w:r>
        <w:rPr>
          <w:rFonts w:ascii="Times New Roman" w:hAnsi="Times New Roman" w:cs="Times New Roman"/>
          <w:b w:val="0"/>
          <w:i/>
          <w:sz w:val="24"/>
        </w:rPr>
        <w:t>summary indicator</w:t>
      </w:r>
      <w:r>
        <w:rPr>
          <w:rFonts w:ascii="Times New Roman" w:hAnsi="Times New Roman" w:cs="Times New Roman"/>
          <w:b w:val="0"/>
          <w:i w:val="0"/>
          <w:sz w:val="24"/>
        </w:rPr>
        <w:t xml:space="preserve">) diperkenalkan FASB dalam memorandum diskusi 1979 </w:t>
      </w:r>
      <w:r>
        <w:rPr>
          <w:rFonts w:ascii="Times New Roman" w:hAnsi="Times New Roman" w:cs="Times New Roman"/>
          <w:b w:val="0"/>
          <w:i/>
          <w:sz w:val="24"/>
        </w:rPr>
        <w:t>Reporting Earnings</w:t>
      </w:r>
      <w:r>
        <w:rPr>
          <w:rFonts w:ascii="Times New Roman" w:hAnsi="Times New Roman" w:cs="Times New Roman"/>
          <w:b w:val="0"/>
          <w:i w:val="0"/>
          <w:sz w:val="24"/>
        </w:rPr>
        <w:t xml:space="preserve">: sebuah pos disebut demikian bila satu angka tunggal mampu mengomunikasikan informasi luas tentang kinerja entitas (Wolk et al., 2017, PDF hlm. 17). </w:t>
      </w:r>
      <w:r>
        <w:rPr>
          <w:rFonts w:ascii="Times New Roman" w:hAnsi="Times New Roman" w:cs="Times New Roman"/>
          <w:b/>
          <w:i w:val="0"/>
          <w:sz w:val="24"/>
        </w:rPr>
        <w:t>Laba per saham</w:t>
      </w:r>
      <w:r>
        <w:rPr>
          <w:rFonts w:ascii="Times New Roman" w:hAnsi="Times New Roman" w:cs="Times New Roman"/>
          <w:b w:val="0"/>
          <w:i w:val="0"/>
          <w:sz w:val="24"/>
        </w:rPr>
        <w:t xml:space="preserve"> (</w:t>
      </w:r>
      <w:r>
        <w:rPr>
          <w:rFonts w:ascii="Times New Roman" w:hAnsi="Times New Roman" w:cs="Times New Roman"/>
          <w:b w:val="0"/>
          <w:i/>
          <w:sz w:val="24"/>
        </w:rPr>
        <w:t>earnings per share</w:t>
      </w:r>
      <w:r>
        <w:rPr>
          <w:rFonts w:ascii="Times New Roman" w:hAnsi="Times New Roman" w:cs="Times New Roman"/>
          <w:b w:val="0"/>
          <w:i w:val="0"/>
          <w:sz w:val="24"/>
        </w:rPr>
        <w:t xml:space="preserve">, EPS) adalah yang paling lazim dipakai. Daya tariknya bagi </w:t>
      </w:r>
      <w:r>
        <w:rPr>
          <w:rFonts w:ascii="Times New Roman" w:hAnsi="Times New Roman" w:cs="Times New Roman"/>
          <w:b w:val="0"/>
          <w:i/>
          <w:sz w:val="24"/>
        </w:rPr>
        <w:t>decision usefulness</w:t>
      </w:r>
      <w:r>
        <w:rPr>
          <w:rFonts w:ascii="Times New Roman" w:hAnsi="Times New Roman" w:cs="Times New Roman"/>
          <w:b w:val="0"/>
          <w:i w:val="0"/>
          <w:sz w:val="24"/>
        </w:rPr>
        <w:t xml:space="preserve"> sekaligus menjelaskan kerawanannya: karena pengguna sangat bersandar pada satu angka, insentif merekayasanya besar.</w:t>
      </w:r>
    </w:p>
    <w:p>
      <w:pPr>
        <w:spacing w:lineRule="exact" w:line="260" w:before="0" w:after="80"/>
        <w:jc w:val="both"/>
      </w:pPr>
      <w:r>
        <w:rPr>
          <w:rFonts w:ascii="Times New Roman" w:hAnsi="Times New Roman" w:cs="Times New Roman"/>
          <w:b w:val="0"/>
          <w:i w:val="0"/>
          <w:sz w:val="24"/>
        </w:rPr>
        <w:t xml:space="preserve">Sebelum APB Opinion No. 9, pelaporan EPS dan cara menghitungnya sepenuhnya berada pada </w:t>
      </w:r>
      <w:r>
        <w:rPr>
          <w:rFonts w:ascii="Times New Roman" w:hAnsi="Times New Roman" w:cs="Times New Roman"/>
          <w:b/>
          <w:i w:val="0"/>
          <w:sz w:val="24"/>
        </w:rPr>
        <w:t>diskresi manajemen</w:t>
      </w:r>
      <w:r>
        <w:rPr>
          <w:rFonts w:ascii="Times New Roman" w:hAnsi="Times New Roman" w:cs="Times New Roman"/>
          <w:b w:val="0"/>
          <w:i w:val="0"/>
          <w:sz w:val="24"/>
        </w:rPr>
        <w:t xml:space="preserve">, sehingga menyesatkan pengguna. Untuk menertibkannya, APB pada 1969 menerbitkan </w:t>
      </w:r>
      <w:r>
        <w:rPr>
          <w:rFonts w:ascii="Times New Roman" w:hAnsi="Times New Roman" w:cs="Times New Roman"/>
          <w:b/>
          <w:i w:val="0"/>
          <w:sz w:val="24"/>
        </w:rPr>
        <w:t>APB Opinion No. 15</w:t>
      </w:r>
      <w:r>
        <w:rPr>
          <w:rFonts w:ascii="Times New Roman" w:hAnsi="Times New Roman" w:cs="Times New Roman"/>
          <w:b w:val="0"/>
          <w:i w:val="0"/>
          <w:sz w:val="24"/>
        </w:rPr>
        <w:t xml:space="preserve">—aturan kaku agar EPS mencerminkan substansi ekonomi struktur modal, namun begitu kompleks hingga butuh buku interpretatif setebal </w:t>
      </w:r>
      <w:r>
        <w:rPr>
          <w:rFonts w:ascii="Times New Roman" w:hAnsi="Times New Roman" w:cs="Times New Roman"/>
          <w:b/>
          <w:i w:val="0"/>
          <w:sz w:val="24"/>
        </w:rPr>
        <w:t>116 halaman</w:t>
      </w:r>
      <w:r>
        <w:rPr>
          <w:rFonts w:ascii="Times New Roman" w:hAnsi="Times New Roman" w:cs="Times New Roman"/>
          <w:b w:val="0"/>
          <w:i w:val="0"/>
          <w:sz w:val="24"/>
        </w:rPr>
        <w:t xml:space="preserve">. FASB kemudian, via </w:t>
      </w:r>
      <w:r>
        <w:rPr>
          <w:rFonts w:ascii="Times New Roman" w:hAnsi="Times New Roman" w:cs="Times New Roman"/>
          <w:b/>
          <w:i w:val="0"/>
          <w:sz w:val="24"/>
        </w:rPr>
        <w:t>SFAS No. 21</w:t>
      </w:r>
      <w:r>
        <w:rPr>
          <w:rFonts w:ascii="Times New Roman" w:hAnsi="Times New Roman" w:cs="Times New Roman"/>
          <w:b w:val="0"/>
          <w:i w:val="0"/>
          <w:sz w:val="24"/>
        </w:rPr>
        <w:t>, menangguhkan APB Opinion No. 15 bagi entitas nonpublik (Wolk et al., 2017, PDF hlm. 17).</w:t>
      </w:r>
    </w:p>
    <w:p>
      <w:pPr>
        <w:spacing w:lineRule="exact" w:line="260" w:before="0" w:after="80"/>
        <w:jc w:val="both"/>
      </w:pPr>
      <w:r>
        <w:rPr>
          <w:rFonts w:ascii="Times New Roman" w:hAnsi="Times New Roman" w:cs="Times New Roman"/>
          <w:b w:val="0"/>
          <w:i w:val="0"/>
          <w:sz w:val="24"/>
        </w:rPr>
        <w:t xml:space="preserve">Atas kerja sama FASB dan IASB, </w:t>
      </w:r>
      <w:r>
        <w:rPr>
          <w:rFonts w:ascii="Times New Roman" w:hAnsi="Times New Roman" w:cs="Times New Roman"/>
          <w:b/>
          <w:i w:val="0"/>
          <w:sz w:val="24"/>
        </w:rPr>
        <w:t>SFAS No. 128</w:t>
      </w:r>
      <w:r>
        <w:rPr>
          <w:rFonts w:ascii="Times New Roman" w:hAnsi="Times New Roman" w:cs="Times New Roman"/>
          <w:b w:val="0"/>
          <w:i w:val="0"/>
          <w:sz w:val="24"/>
        </w:rPr>
        <w:t xml:space="preserve"> terbit dengan tiga rasionalisasi: komparabilitas internasional, penyederhanaan komputasi, dan revisi pengungkapan (Wolk et al., 2017, PDF hlm. 17). Perubahan terbesarnya adalah penghapusan </w:t>
      </w:r>
      <w:r>
        <w:rPr>
          <w:rFonts w:ascii="Times New Roman" w:hAnsi="Times New Roman" w:cs="Times New Roman"/>
          <w:b/>
          <w:i w:val="0"/>
          <w:sz w:val="24"/>
        </w:rPr>
        <w:t>primary EPS</w:t>
      </w:r>
      <w:r>
        <w:rPr>
          <w:rFonts w:ascii="Times New Roman" w:hAnsi="Times New Roman" w:cs="Times New Roman"/>
          <w:b w:val="0"/>
          <w:i w:val="0"/>
          <w:sz w:val="24"/>
        </w:rPr>
        <w:t xml:space="preserve"> (PEPS), kategori "terdilusi sebagian" yang memasukkan efek konvertibel ke penyebut bila </w:t>
      </w:r>
      <w:r>
        <w:rPr>
          <w:rFonts w:ascii="Times New Roman" w:hAnsi="Times New Roman" w:cs="Times New Roman"/>
          <w:b w:val="0"/>
          <w:i/>
          <w:sz w:val="24"/>
        </w:rPr>
        <w:t>effective rate</w:t>
      </w:r>
      <w:r>
        <w:rPr>
          <w:rFonts w:ascii="Times New Roman" w:hAnsi="Times New Roman" w:cs="Times New Roman"/>
          <w:b w:val="0"/>
          <w:i w:val="0"/>
          <w:sz w:val="24"/>
        </w:rPr>
        <w:t xml:space="preserve"> penerbitan tak melebihi dua pertiga </w:t>
      </w:r>
      <w:r>
        <w:rPr>
          <w:rFonts w:ascii="Times New Roman" w:hAnsi="Times New Roman" w:cs="Times New Roman"/>
          <w:b w:val="0"/>
          <w:i/>
          <w:sz w:val="24"/>
        </w:rPr>
        <w:t>Aa bond rate</w:t>
      </w:r>
      <w:r>
        <w:rPr>
          <w:rFonts w:ascii="Times New Roman" w:hAnsi="Times New Roman" w:cs="Times New Roman"/>
          <w:b w:val="0"/>
          <w:i w:val="0"/>
          <w:sz w:val="24"/>
        </w:rPr>
        <w:t xml:space="preserve">. Karena perhitungannya artifisial, penghapusannya merupakan kasus klasik "informasi yang lebih sedikit justru menghasilkan kegunaan lebih besar". </w:t>
      </w:r>
      <w:r>
        <w:rPr>
          <w:rFonts w:ascii="Times New Roman" w:hAnsi="Times New Roman" w:cs="Times New Roman"/>
          <w:b/>
          <w:i w:val="0"/>
          <w:sz w:val="24"/>
        </w:rPr>
        <w:t>Aturan 3%</w:t>
      </w:r>
      <w:r>
        <w:rPr>
          <w:rFonts w:ascii="Times New Roman" w:hAnsi="Times New Roman" w:cs="Times New Roman"/>
          <w:b w:val="0"/>
          <w:i w:val="0"/>
          <w:sz w:val="24"/>
        </w:rPr>
        <w:t>—yang membebaskan entitas dari menyajikan EPS terdilusi penuh bila selisihnya tidak melebihi 3% dari EPS sederhana—juga dieliminasi (Wolk et al., 2017, PDF hlm. 17–18).</w:t>
      </w:r>
    </w:p>
    <w:p>
      <w:pPr>
        <w:spacing w:lineRule="exact" w:line="260" w:before="0" w:after="0"/>
        <w:jc w:val="center"/>
      </w:pPr>
      <w:r>
        <w:rPr>
          <w:rFonts w:ascii="Times New Roman" w:hAnsi="Times New Roman" w:cs="Times New Roman"/>
          <w:b/>
          <w:i w:val="0"/>
          <w:sz w:val="22"/>
        </w:rPr>
        <w:t xml:space="preserve">Tabel 4. </w:t>
      </w:r>
      <w:r>
        <w:rPr>
          <w:rFonts w:ascii="Times New Roman" w:hAnsi="Times New Roman" w:cs="Times New Roman"/>
          <w:b w:val="0"/>
          <w:i w:val="0"/>
          <w:sz w:val="22"/>
        </w:rPr>
        <w:t>Pergeseran APB Opinion No. 15 ke SFAS No. 128 dalam pelaporan EPS</w:t>
      </w:r>
    </w:p>
    <w:p>
      <w:pPr>
        <w:spacing w:lineRule="exact" w:line="260" w:before="0" w:after="80"/>
        <w:jc w:val="center"/>
      </w:pPr>
      <w:r>
        <w:rPr>
          <w:rFonts w:ascii="Times New Roman" w:hAnsi="Times New Roman" w:cs="Times New Roman"/>
          <w:b w:val="0"/>
          <w:i/>
          <w:sz w:val="22"/>
        </w:rPr>
        <w:t>Sumber: diolah dari Wolk et al. (2017), PDF hlm. 17–18</w:t>
      </w:r>
    </w:p>
    <w:tbl>
      <w:tblPr>
        <w:tblStyle w:val="TableGrid"/>
        <w:tblW w:type="auto" w:w="0"/>
        <w:jc w:val="center"/>
        <w:tblLook w:firstColumn="1" w:firstRow="1" w:lastColumn="0" w:lastRow="0" w:noHBand="0" w:noVBand="1" w:val="04A0"/>
      </w:tblPr>
      <w:tblGrid>
        <w:gridCol w:w="2835"/>
        <w:gridCol w:w="2835"/>
        <w:gridCol w:w="2835"/>
      </w:tblGrid>
      <w:tr>
        <w:tc>
          <w:tcPr>
            <w:tcW w:type="dxa" w:w="2041"/>
          </w:tcPr>
          <w:p>
            <w:r/>
            <w:r>
              <w:rPr>
                <w:rFonts w:ascii="Times New Roman" w:hAnsi="Times New Roman" w:cs="Times New Roman"/>
                <w:b/>
                <w:i w:val="0"/>
                <w:sz w:val="22"/>
              </w:rPr>
              <w:t>Aspek</w:t>
            </w:r>
          </w:p>
        </w:tc>
        <w:tc>
          <w:tcPr>
            <w:tcW w:type="dxa" w:w="3231"/>
          </w:tcPr>
          <w:p>
            <w:r/>
            <w:r>
              <w:rPr>
                <w:rFonts w:ascii="Times New Roman" w:hAnsi="Times New Roman" w:cs="Times New Roman"/>
                <w:b/>
                <w:i w:val="0"/>
                <w:sz w:val="22"/>
              </w:rPr>
              <w:t>APB Opinion No. 15</w:t>
            </w:r>
          </w:p>
        </w:tc>
        <w:tc>
          <w:tcPr>
            <w:tcW w:type="dxa" w:w="3231"/>
          </w:tcPr>
          <w:p>
            <w:r/>
            <w:r>
              <w:rPr>
                <w:rFonts w:ascii="Times New Roman" w:hAnsi="Times New Roman" w:cs="Times New Roman"/>
                <w:b/>
                <w:i w:val="0"/>
                <w:sz w:val="22"/>
              </w:rPr>
              <w:t>SFAS No. 128</w:t>
            </w:r>
          </w:p>
        </w:tc>
      </w:tr>
      <w:tr>
        <w:tc>
          <w:tcPr>
            <w:tcW w:type="dxa" w:w="2041"/>
          </w:tcPr>
          <w:p>
            <w:pPr>
              <w:spacing w:lineRule="exact" w:line="240"/>
            </w:pPr>
            <w:r/>
            <w:r>
              <w:rPr>
                <w:rFonts w:ascii="Times New Roman" w:hAnsi="Times New Roman" w:cs="Times New Roman"/>
                <w:b w:val="0"/>
                <w:i w:val="0"/>
                <w:sz w:val="22"/>
              </w:rPr>
              <w:t>Kategori EPS</w:t>
            </w:r>
          </w:p>
        </w:tc>
        <w:tc>
          <w:tcPr>
            <w:tcW w:type="dxa" w:w="3231"/>
          </w:tcPr>
          <w:p>
            <w:pPr>
              <w:spacing w:lineRule="exact" w:line="240"/>
            </w:pPr>
            <w:r/>
            <w:r>
              <w:rPr>
                <w:rFonts w:ascii="Times New Roman" w:hAnsi="Times New Roman" w:cs="Times New Roman"/>
                <w:b w:val="0"/>
                <w:i w:val="0"/>
                <w:sz w:val="22"/>
              </w:rPr>
              <w:t>Primary EPS (PEPS) dan fully diluted EPS</w:t>
            </w:r>
          </w:p>
        </w:tc>
        <w:tc>
          <w:tcPr>
            <w:tcW w:type="dxa" w:w="3231"/>
          </w:tcPr>
          <w:p>
            <w:pPr>
              <w:spacing w:lineRule="exact" w:line="240"/>
            </w:pPr>
            <w:r/>
            <w:r>
              <w:rPr>
                <w:rFonts w:ascii="Times New Roman" w:hAnsi="Times New Roman" w:cs="Times New Roman"/>
                <w:b w:val="0"/>
                <w:i w:val="0"/>
                <w:sz w:val="22"/>
              </w:rPr>
              <w:t>Basic EPS (tanpa dilusi) dan diluted EPS (dilusi maksimum)</w:t>
            </w:r>
          </w:p>
        </w:tc>
      </w:tr>
      <w:tr>
        <w:tc>
          <w:tcPr>
            <w:tcW w:type="dxa" w:w="2041"/>
          </w:tcPr>
          <w:p>
            <w:pPr>
              <w:spacing w:lineRule="exact" w:line="240"/>
            </w:pPr>
            <w:r/>
            <w:r>
              <w:rPr>
                <w:rFonts w:ascii="Times New Roman" w:hAnsi="Times New Roman" w:cs="Times New Roman"/>
                <w:b w:val="0"/>
                <w:i w:val="0"/>
                <w:sz w:val="22"/>
              </w:rPr>
              <w:t>PEPS</w:t>
            </w:r>
          </w:p>
        </w:tc>
        <w:tc>
          <w:tcPr>
            <w:tcW w:type="dxa" w:w="3231"/>
          </w:tcPr>
          <w:p>
            <w:pPr>
              <w:spacing w:lineRule="exact" w:line="240"/>
            </w:pPr>
            <w:r/>
            <w:r>
              <w:rPr>
                <w:rFonts w:ascii="Times New Roman" w:hAnsi="Times New Roman" w:cs="Times New Roman"/>
                <w:b w:val="0"/>
                <w:i w:val="0"/>
                <w:sz w:val="22"/>
              </w:rPr>
              <w:t>Wajib: memasukkan convertible securities bila effective rate ≤ 2/3 Aa bond rate saat terbit</w:t>
            </w:r>
          </w:p>
        </w:tc>
        <w:tc>
          <w:tcPr>
            <w:tcW w:type="dxa" w:w="3231"/>
          </w:tcPr>
          <w:p>
            <w:pPr>
              <w:spacing w:lineRule="exact" w:line="240"/>
            </w:pPr>
            <w:r/>
            <w:r>
              <w:rPr>
                <w:rFonts w:ascii="Times New Roman" w:hAnsi="Times New Roman" w:cs="Times New Roman"/>
                <w:b w:val="0"/>
                <w:i w:val="0"/>
                <w:sz w:val="22"/>
              </w:rPr>
              <w:t>Dieliminasi — perhitungan artifisial yang sulit dipahami pengguna</w:t>
            </w:r>
          </w:p>
        </w:tc>
      </w:tr>
      <w:tr>
        <w:tc>
          <w:tcPr>
            <w:tcW w:type="dxa" w:w="2041"/>
          </w:tcPr>
          <w:p>
            <w:pPr>
              <w:spacing w:lineRule="exact" w:line="240"/>
            </w:pPr>
            <w:r/>
            <w:r>
              <w:rPr>
                <w:rFonts w:ascii="Times New Roman" w:hAnsi="Times New Roman" w:cs="Times New Roman"/>
                <w:b w:val="0"/>
                <w:i w:val="0"/>
                <w:sz w:val="22"/>
              </w:rPr>
              <w:t>Aturan 3%</w:t>
            </w:r>
          </w:p>
        </w:tc>
        <w:tc>
          <w:tcPr>
            <w:tcW w:type="dxa" w:w="3231"/>
          </w:tcPr>
          <w:p>
            <w:pPr>
              <w:spacing w:lineRule="exact" w:line="240"/>
            </w:pPr>
            <w:r/>
            <w:r>
              <w:rPr>
                <w:rFonts w:ascii="Times New Roman" w:hAnsi="Times New Roman" w:cs="Times New Roman"/>
                <w:b w:val="0"/>
                <w:i w:val="0"/>
                <w:sz w:val="22"/>
              </w:rPr>
              <w:t>Bila dilusi penuh ≤ 3% dari simple EPS, cukup simple EPS</w:t>
            </w:r>
          </w:p>
        </w:tc>
        <w:tc>
          <w:tcPr>
            <w:tcW w:type="dxa" w:w="3231"/>
          </w:tcPr>
          <w:p>
            <w:pPr>
              <w:spacing w:lineRule="exact" w:line="240"/>
            </w:pPr>
            <w:r/>
            <w:r>
              <w:rPr>
                <w:rFonts w:ascii="Times New Roman" w:hAnsi="Times New Roman" w:cs="Times New Roman"/>
                <w:b w:val="0"/>
                <w:i w:val="0"/>
                <w:sz w:val="22"/>
              </w:rPr>
              <w:t>Dieliminasi — basic dan diluted selalu disajikan</w:t>
            </w:r>
          </w:p>
        </w:tc>
      </w:tr>
      <w:tr>
        <w:tc>
          <w:tcPr>
            <w:tcW w:type="dxa" w:w="2041"/>
          </w:tcPr>
          <w:p>
            <w:pPr>
              <w:spacing w:lineRule="exact" w:line="240"/>
            </w:pPr>
            <w:r/>
            <w:r>
              <w:rPr>
                <w:rFonts w:ascii="Times New Roman" w:hAnsi="Times New Roman" w:cs="Times New Roman"/>
                <w:b w:val="0"/>
                <w:i w:val="0"/>
                <w:sz w:val="22"/>
              </w:rPr>
              <w:t>Rekonsiliasi</w:t>
            </w:r>
          </w:p>
        </w:tc>
        <w:tc>
          <w:tcPr>
            <w:tcW w:type="dxa" w:w="3231"/>
          </w:tcPr>
          <w:p>
            <w:pPr>
              <w:spacing w:lineRule="exact" w:line="240"/>
            </w:pPr>
            <w:r/>
            <w:r>
              <w:rPr>
                <w:rFonts w:ascii="Times New Roman" w:hAnsi="Times New Roman" w:cs="Times New Roman"/>
                <w:b w:val="0"/>
                <w:i w:val="0"/>
                <w:sz w:val="22"/>
              </w:rPr>
              <w:t>Tidak diwajibkan</w:t>
            </w:r>
          </w:p>
        </w:tc>
        <w:tc>
          <w:tcPr>
            <w:tcW w:type="dxa" w:w="3231"/>
          </w:tcPr>
          <w:p>
            <w:pPr>
              <w:spacing w:lineRule="exact" w:line="240"/>
            </w:pPr>
            <w:r/>
            <w:r>
              <w:rPr>
                <w:rFonts w:ascii="Times New Roman" w:hAnsi="Times New Roman" w:cs="Times New Roman"/>
                <w:b w:val="0"/>
                <w:i w:val="0"/>
                <w:sz w:val="22"/>
              </w:rPr>
              <w:t>Wajib: rekonsiliasi pembilang dan penyebut basic ↔ diluted</w:t>
            </w:r>
          </w:p>
        </w:tc>
      </w:tr>
      <w:tr>
        <w:tc>
          <w:tcPr>
            <w:tcW w:type="dxa" w:w="2041"/>
          </w:tcPr>
          <w:p>
            <w:pPr>
              <w:spacing w:lineRule="exact" w:line="240"/>
            </w:pPr>
            <w:r/>
            <w:r>
              <w:rPr>
                <w:rFonts w:ascii="Times New Roman" w:hAnsi="Times New Roman" w:cs="Times New Roman"/>
                <w:b w:val="0"/>
                <w:i w:val="0"/>
                <w:sz w:val="22"/>
              </w:rPr>
              <w:t>Penyajian</w:t>
            </w:r>
          </w:p>
        </w:tc>
        <w:tc>
          <w:tcPr>
            <w:tcW w:type="dxa" w:w="3231"/>
          </w:tcPr>
          <w:p>
            <w:pPr>
              <w:spacing w:lineRule="exact" w:line="240"/>
            </w:pPr>
            <w:r/>
            <w:r>
              <w:rPr>
                <w:rFonts w:ascii="Times New Roman" w:hAnsi="Times New Roman" w:cs="Times New Roman"/>
                <w:b w:val="0"/>
                <w:i w:val="0"/>
                <w:sz w:val="22"/>
              </w:rPr>
              <w:t>Direkomendasikan kuat di laporan laba rugi</w:t>
            </w:r>
          </w:p>
        </w:tc>
        <w:tc>
          <w:tcPr>
            <w:tcW w:type="dxa" w:w="3231"/>
          </w:tcPr>
          <w:p>
            <w:pPr>
              <w:spacing w:lineRule="exact" w:line="240"/>
            </w:pPr>
            <w:r/>
            <w:r>
              <w:rPr>
                <w:rFonts w:ascii="Times New Roman" w:hAnsi="Times New Roman" w:cs="Times New Roman"/>
                <w:b w:val="0"/>
                <w:i w:val="0"/>
                <w:sz w:val="22"/>
              </w:rPr>
              <w:t>Wajib di muka laporan laba rugi, untuk income before discontinued operations/extraordinary items dan net income; tidak untuk comprehensive income</w:t>
            </w:r>
          </w:p>
        </w:tc>
      </w:tr>
    </w:tbl>
    <w:p>
      <w:pPr>
        <w:spacing w:lineRule="exact" w:line="260" w:before="0" w:after="80"/>
        <w:jc w:val="both"/>
      </w:pPr>
      <w:r>
        <w:rPr>
          <w:rFonts w:ascii="Times New Roman" w:hAnsi="Times New Roman" w:cs="Times New Roman"/>
          <w:b w:val="0"/>
          <w:i w:val="0"/>
          <w:sz w:val="24"/>
        </w:rPr>
        <w:t xml:space="preserve">Di bawah SFAS No. 128, kini diwajibkan </w:t>
      </w:r>
      <w:r>
        <w:rPr>
          <w:rFonts w:ascii="Times New Roman" w:hAnsi="Times New Roman" w:cs="Times New Roman"/>
          <w:b/>
          <w:i w:val="0"/>
          <w:sz w:val="24"/>
        </w:rPr>
        <w:t>basic EPS</w:t>
      </w:r>
      <w:r>
        <w:rPr>
          <w:rFonts w:ascii="Times New Roman" w:hAnsi="Times New Roman" w:cs="Times New Roman"/>
          <w:b w:val="0"/>
          <w:i w:val="0"/>
          <w:sz w:val="24"/>
        </w:rPr>
        <w:t xml:space="preserve"> (tanpa dilusi) dan </w:t>
      </w:r>
      <w:r>
        <w:rPr>
          <w:rFonts w:ascii="Times New Roman" w:hAnsi="Times New Roman" w:cs="Times New Roman"/>
          <w:b/>
          <w:i w:val="0"/>
          <w:sz w:val="24"/>
        </w:rPr>
        <w:t>diluted EPS</w:t>
      </w:r>
      <w:r>
        <w:rPr>
          <w:rFonts w:ascii="Times New Roman" w:hAnsi="Times New Roman" w:cs="Times New Roman"/>
          <w:b w:val="0"/>
          <w:i w:val="0"/>
          <w:sz w:val="24"/>
        </w:rPr>
        <w:t xml:space="preserve"> (dilusi maksimum), keduanya disajikan langsung </w:t>
      </w:r>
      <w:r>
        <w:rPr>
          <w:rFonts w:ascii="Times New Roman" w:hAnsi="Times New Roman" w:cs="Times New Roman"/>
          <w:b/>
          <w:i w:val="0"/>
          <w:sz w:val="24"/>
        </w:rPr>
        <w:t>di muka laporan laba rugi</w:t>
      </w:r>
      <w:r>
        <w:rPr>
          <w:rFonts w:ascii="Times New Roman" w:hAnsi="Times New Roman" w:cs="Times New Roman"/>
          <w:b w:val="0"/>
          <w:i w:val="0"/>
          <w:sz w:val="24"/>
        </w:rPr>
        <w:t xml:space="preserve">—untuk laba sebelum operasi yang dihentikan dan pos luar biasa maupun laba bersih, tetapi </w:t>
      </w:r>
      <w:r>
        <w:rPr>
          <w:rFonts w:ascii="Times New Roman" w:hAnsi="Times New Roman" w:cs="Times New Roman"/>
          <w:b/>
          <w:i w:val="0"/>
          <w:sz w:val="24"/>
        </w:rPr>
        <w:t>bukan</w:t>
      </w:r>
      <w:r>
        <w:rPr>
          <w:rFonts w:ascii="Times New Roman" w:hAnsi="Times New Roman" w:cs="Times New Roman"/>
          <w:b w:val="0"/>
          <w:i w:val="0"/>
          <w:sz w:val="24"/>
        </w:rPr>
        <w:t xml:space="preserve"> laba komprehensif. Standar ini turut mensyaratkan </w:t>
      </w:r>
      <w:r>
        <w:rPr>
          <w:rFonts w:ascii="Times New Roman" w:hAnsi="Times New Roman" w:cs="Times New Roman"/>
          <w:b/>
          <w:i w:val="0"/>
          <w:sz w:val="24"/>
        </w:rPr>
        <w:t>rekonsiliasi</w:t>
      </w:r>
      <w:r>
        <w:rPr>
          <w:rFonts w:ascii="Times New Roman" w:hAnsi="Times New Roman" w:cs="Times New Roman"/>
          <w:b w:val="0"/>
          <w:i w:val="0"/>
          <w:sz w:val="24"/>
        </w:rPr>
        <w:t xml:space="preserve"> pembilang dan penyebut antara basic dan diluted EPS sehingga pengguna dapat menilai efek penuh dilusi (Wolk et al., 2017, PDF hlm. 18). Tampak gema dilema </w:t>
      </w:r>
      <w:r>
        <w:rPr>
          <w:rFonts w:ascii="Times New Roman" w:hAnsi="Times New Roman" w:cs="Times New Roman"/>
          <w:b/>
          <w:i w:val="0"/>
          <w:sz w:val="24"/>
        </w:rPr>
        <w:t>keseragaman terhingga</w:t>
      </w:r>
      <w:r>
        <w:rPr>
          <w:rFonts w:ascii="Times New Roman" w:hAnsi="Times New Roman" w:cs="Times New Roman"/>
          <w:b w:val="0"/>
          <w:i w:val="0"/>
          <w:sz w:val="24"/>
        </w:rPr>
        <w:t xml:space="preserve"> (</w:t>
      </w:r>
      <w:r>
        <w:rPr>
          <w:rFonts w:ascii="Times New Roman" w:hAnsi="Times New Roman" w:cs="Times New Roman"/>
          <w:b w:val="0"/>
          <w:i/>
          <w:sz w:val="24"/>
        </w:rPr>
        <w:t>finite uniformity</w:t>
      </w:r>
      <w:r>
        <w:rPr>
          <w:rFonts w:ascii="Times New Roman" w:hAnsi="Times New Roman" w:cs="Times New Roman"/>
          <w:b w:val="0"/>
          <w:i w:val="0"/>
          <w:sz w:val="24"/>
        </w:rPr>
        <w:t xml:space="preserve">) versus </w:t>
      </w:r>
      <w:r>
        <w:rPr>
          <w:rFonts w:ascii="Times New Roman" w:hAnsi="Times New Roman" w:cs="Times New Roman"/>
          <w:b/>
          <w:i w:val="0"/>
          <w:sz w:val="24"/>
        </w:rPr>
        <w:t>keseragaman kaku</w:t>
      </w:r>
      <w:r>
        <w:rPr>
          <w:rFonts w:ascii="Times New Roman" w:hAnsi="Times New Roman" w:cs="Times New Roman"/>
          <w:b w:val="0"/>
          <w:i w:val="0"/>
          <w:sz w:val="24"/>
        </w:rPr>
        <w:t xml:space="preserve"> (</w:t>
      </w:r>
      <w:r>
        <w:rPr>
          <w:rFonts w:ascii="Times New Roman" w:hAnsi="Times New Roman" w:cs="Times New Roman"/>
          <w:b w:val="0"/>
          <w:i/>
          <w:sz w:val="24"/>
        </w:rPr>
        <w:t>rigid uniformity</w:t>
      </w:r>
      <w:r>
        <w:rPr>
          <w:rFonts w:ascii="Times New Roman" w:hAnsi="Times New Roman" w:cs="Times New Roman"/>
          <w:b w:val="0"/>
          <w:i w:val="0"/>
          <w:sz w:val="24"/>
        </w:rPr>
        <w:t>): dengan menghapus PEPS dan aturan 3%, penyusun standar memangkas keluwesan demi komparabilitas lintas negara. Pelajaran bahwa kompleksitas dan diskresi manajemen menggerus kegunaan angka ringkas diperdalam pada Bagian X.</w:t>
      </w:r>
    </w:p>
    <w:p>
      <w:pPr>
        <w:spacing w:lineRule="exact" w:line="260" w:before="120" w:after="80"/>
        <w:jc w:val="left"/>
      </w:pPr>
      <w:r>
        <w:rPr>
          <w:rFonts w:ascii="Times New Roman" w:hAnsi="Times New Roman" w:cs="Times New Roman"/>
          <w:b/>
          <w:i w:val="0"/>
          <w:sz w:val="26"/>
        </w:rPr>
        <w:t>X. Topik Khusus dalam Pengukuran Laba</w:t>
      </w:r>
    </w:p>
    <w:p>
      <w:pPr>
        <w:spacing w:lineRule="exact" w:line="260" w:before="0" w:after="80"/>
        <w:jc w:val="both"/>
      </w:pPr>
      <w:r>
        <w:rPr>
          <w:rFonts w:ascii="Times New Roman" w:hAnsi="Times New Roman" w:cs="Times New Roman"/>
          <w:b w:val="0"/>
          <w:i w:val="0"/>
          <w:sz w:val="24"/>
        </w:rPr>
        <w:t xml:space="preserve">Sejumlah topik khusus mengilustrasikan bagaimana konsensus standar berevolusi lambat dan berdampak material, serta bagaimana ketiadaan kerangka teori konsisten menghambatnya (Wolk et al., 2017, PDF hlm. 18). Keempat kasus berikut adalah laboratorium tarik-menarik </w:t>
      </w:r>
      <w:r>
        <w:rPr>
          <w:rFonts w:ascii="Times New Roman" w:hAnsi="Times New Roman" w:cs="Times New Roman"/>
          <w:b w:val="0"/>
          <w:i/>
          <w:sz w:val="24"/>
        </w:rPr>
        <w:t>decision usefulness</w:t>
      </w:r>
      <w:r>
        <w:rPr>
          <w:rFonts w:ascii="Times New Roman" w:hAnsi="Times New Roman" w:cs="Times New Roman"/>
          <w:b w:val="0"/>
          <w:i w:val="0"/>
          <w:sz w:val="24"/>
        </w:rPr>
        <w:t>, kesetiaan representasional (</w:t>
      </w:r>
      <w:r>
        <w:rPr>
          <w:rFonts w:ascii="Times New Roman" w:hAnsi="Times New Roman" w:cs="Times New Roman"/>
          <w:b w:val="0"/>
          <w:i/>
          <w:sz w:val="24"/>
        </w:rPr>
        <w:t>representational faithfulness</w:t>
      </w:r>
      <w:r>
        <w:rPr>
          <w:rFonts w:ascii="Times New Roman" w:hAnsi="Times New Roman" w:cs="Times New Roman"/>
          <w:b w:val="0"/>
          <w:i w:val="0"/>
          <w:sz w:val="24"/>
        </w:rPr>
        <w:t>), dan konsekuensi ekonomi (</w:t>
      </w:r>
      <w:r>
        <w:rPr>
          <w:rFonts w:ascii="Times New Roman" w:hAnsi="Times New Roman" w:cs="Times New Roman"/>
          <w:b w:val="0"/>
          <w:i/>
          <w:sz w:val="24"/>
        </w:rPr>
        <w:t>economic consequences</w:t>
      </w:r>
      <w:r>
        <w:rPr>
          <w:rFonts w:ascii="Times New Roman" w:hAnsi="Times New Roman" w:cs="Times New Roman"/>
          <w:b w:val="0"/>
          <w:i w:val="0"/>
          <w:sz w:val="24"/>
        </w:rPr>
        <w:t>).</w:t>
      </w:r>
    </w:p>
    <w:p>
      <w:pPr>
        <w:spacing w:lineRule="exact" w:line="260" w:before="80" w:after="40"/>
        <w:jc w:val="left"/>
      </w:pPr>
      <w:r>
        <w:rPr>
          <w:rFonts w:ascii="Times New Roman" w:hAnsi="Times New Roman" w:cs="Times New Roman"/>
          <w:b/>
          <w:i/>
          <w:sz w:val="24"/>
        </w:rPr>
        <w:t>Development Stage Enterprises</w:t>
      </w:r>
    </w:p>
    <w:p>
      <w:pPr>
        <w:spacing w:lineRule="exact" w:line="260" w:before="0" w:after="80"/>
        <w:jc w:val="both"/>
      </w:pPr>
      <w:r>
        <w:rPr>
          <w:rFonts w:ascii="Times New Roman" w:hAnsi="Times New Roman" w:cs="Times New Roman"/>
          <w:b w:val="0"/>
          <w:i w:val="0"/>
          <w:sz w:val="24"/>
        </w:rPr>
        <w:t xml:space="preserve">Sebuah </w:t>
      </w:r>
      <w:r>
        <w:rPr>
          <w:rFonts w:ascii="Times New Roman" w:hAnsi="Times New Roman" w:cs="Times New Roman"/>
          <w:b/>
          <w:i w:val="0"/>
          <w:sz w:val="24"/>
        </w:rPr>
        <w:t>entitas tahap pengembangan</w:t>
      </w:r>
      <w:r>
        <w:rPr>
          <w:rFonts w:ascii="Times New Roman" w:hAnsi="Times New Roman" w:cs="Times New Roman"/>
          <w:b w:val="0"/>
          <w:i w:val="0"/>
          <w:sz w:val="24"/>
        </w:rPr>
        <w:t xml:space="preserve"> (</w:t>
      </w:r>
      <w:r>
        <w:rPr>
          <w:rFonts w:ascii="Times New Roman" w:hAnsi="Times New Roman" w:cs="Times New Roman"/>
          <w:b w:val="0"/>
          <w:i/>
          <w:sz w:val="24"/>
        </w:rPr>
        <w:t>development stage enterprise</w:t>
      </w:r>
      <w:r>
        <w:rPr>
          <w:rFonts w:ascii="Times New Roman" w:hAnsi="Times New Roman" w:cs="Times New Roman"/>
          <w:b w:val="0"/>
          <w:i w:val="0"/>
          <w:sz w:val="24"/>
        </w:rPr>
        <w:t xml:space="preserve">) merintis usaha baru dan belum menghasilkan pendapatan berarti (Wolk et al., 2017, PDF hlm. 18). Sebelum 1976, entitas semacam ini menangguhkan biaya sementara entitas operasional membebankannya, melahirkan dua standar paralel. </w:t>
      </w:r>
      <w:r>
        <w:rPr>
          <w:rFonts w:ascii="Times New Roman" w:hAnsi="Times New Roman" w:cs="Times New Roman"/>
          <w:b/>
          <w:i w:val="0"/>
          <w:sz w:val="24"/>
        </w:rPr>
        <w:t>SFAS No. 7</w:t>
      </w:r>
      <w:r>
        <w:rPr>
          <w:rFonts w:ascii="Times New Roman" w:hAnsi="Times New Roman" w:cs="Times New Roman"/>
          <w:b w:val="0"/>
          <w:i w:val="0"/>
          <w:sz w:val="24"/>
        </w:rPr>
        <w:t xml:space="preserve"> menetapkan bahwa </w:t>
      </w:r>
      <w:r>
        <w:rPr>
          <w:rFonts w:ascii="Times New Roman" w:hAnsi="Times New Roman" w:cs="Times New Roman"/>
          <w:b/>
          <w:i w:val="0"/>
          <w:sz w:val="24"/>
        </w:rPr>
        <w:t>sifat biaya, bukan sifat entitas</w:t>
      </w:r>
      <w:r>
        <w:rPr>
          <w:rFonts w:ascii="Times New Roman" w:hAnsi="Times New Roman" w:cs="Times New Roman"/>
          <w:b w:val="0"/>
          <w:i w:val="0"/>
          <w:sz w:val="24"/>
        </w:rPr>
        <w:t xml:space="preserve">, yang menentukan perlakuan—pilihan </w:t>
      </w:r>
      <w:r>
        <w:rPr>
          <w:rFonts w:ascii="Times New Roman" w:hAnsi="Times New Roman" w:cs="Times New Roman"/>
          <w:b/>
          <w:i w:val="0"/>
          <w:sz w:val="24"/>
        </w:rPr>
        <w:t>keseragaman kaku</w:t>
      </w:r>
      <w:r>
        <w:rPr>
          <w:rFonts w:ascii="Times New Roman" w:hAnsi="Times New Roman" w:cs="Times New Roman"/>
          <w:b w:val="0"/>
          <w:i w:val="0"/>
          <w:sz w:val="24"/>
        </w:rPr>
        <w:t xml:space="preserve"> (</w:t>
      </w:r>
      <w:r>
        <w:rPr>
          <w:rFonts w:ascii="Times New Roman" w:hAnsi="Times New Roman" w:cs="Times New Roman"/>
          <w:b w:val="0"/>
          <w:i/>
          <w:sz w:val="24"/>
        </w:rPr>
        <w:t>rigid uniformity</w:t>
      </w:r>
      <w:r>
        <w:rPr>
          <w:rFonts w:ascii="Times New Roman" w:hAnsi="Times New Roman" w:cs="Times New Roman"/>
          <w:b w:val="0"/>
          <w:i w:val="0"/>
          <w:sz w:val="24"/>
        </w:rPr>
        <w:t>) di atas keseragaman terhingga (</w:t>
      </w:r>
      <w:r>
        <w:rPr>
          <w:rFonts w:ascii="Times New Roman" w:hAnsi="Times New Roman" w:cs="Times New Roman"/>
          <w:b w:val="0"/>
          <w:i/>
          <w:sz w:val="24"/>
        </w:rPr>
        <w:t>finite uniformity</w:t>
      </w:r>
      <w:r>
        <w:rPr>
          <w:rFonts w:ascii="Times New Roman" w:hAnsi="Times New Roman" w:cs="Times New Roman"/>
          <w:b w:val="0"/>
          <w:i w:val="0"/>
          <w:sz w:val="24"/>
        </w:rPr>
        <w:t>) (Wolk et al., 2017, PDF hlm. 18–19).</w:t>
      </w:r>
    </w:p>
    <w:p>
      <w:pPr>
        <w:spacing w:lineRule="exact" w:line="260" w:before="80" w:after="40"/>
        <w:jc w:val="left"/>
      </w:pPr>
      <w:r>
        <w:rPr>
          <w:rFonts w:ascii="Times New Roman" w:hAnsi="Times New Roman" w:cs="Times New Roman"/>
          <w:b/>
          <w:i/>
          <w:sz w:val="24"/>
        </w:rPr>
        <w:t>Troubled Debt Restructuring</w:t>
      </w:r>
    </w:p>
    <w:p>
      <w:pPr>
        <w:spacing w:lineRule="exact" w:line="260" w:before="0" w:after="80"/>
        <w:jc w:val="both"/>
      </w:pPr>
      <w:r>
        <w:rPr>
          <w:rFonts w:ascii="Times New Roman" w:hAnsi="Times New Roman" w:cs="Times New Roman"/>
          <w:b/>
          <w:i w:val="0"/>
          <w:sz w:val="24"/>
        </w:rPr>
        <w:t>Restrukturisasi utang bermasalah</w:t>
      </w:r>
      <w:r>
        <w:rPr>
          <w:rFonts w:ascii="Times New Roman" w:hAnsi="Times New Roman" w:cs="Times New Roman"/>
          <w:b w:val="0"/>
          <w:i w:val="0"/>
          <w:sz w:val="24"/>
        </w:rPr>
        <w:t xml:space="preserve"> (</w:t>
      </w:r>
      <w:r>
        <w:rPr>
          <w:rFonts w:ascii="Times New Roman" w:hAnsi="Times New Roman" w:cs="Times New Roman"/>
          <w:b w:val="0"/>
          <w:i/>
          <w:sz w:val="24"/>
        </w:rPr>
        <w:t>troubled debt restructuring</w:t>
      </w:r>
      <w:r>
        <w:rPr>
          <w:rFonts w:ascii="Times New Roman" w:hAnsi="Times New Roman" w:cs="Times New Roman"/>
          <w:b w:val="0"/>
          <w:i w:val="0"/>
          <w:sz w:val="24"/>
        </w:rPr>
        <w:t xml:space="preserve">) terjadi ketika kreditor memberi konsesi yang normalnya tak diberikan karena kesulitan keuangan debitor (Wolk et al., 2017, PDF hlm. 19). </w:t>
      </w:r>
      <w:r>
        <w:rPr>
          <w:rFonts w:ascii="Times New Roman" w:hAnsi="Times New Roman" w:cs="Times New Roman"/>
          <w:b/>
          <w:i w:val="0"/>
          <w:sz w:val="24"/>
        </w:rPr>
        <w:t>SFAS No. 15</w:t>
      </w:r>
      <w:r>
        <w:rPr>
          <w:rFonts w:ascii="Times New Roman" w:hAnsi="Times New Roman" w:cs="Times New Roman"/>
          <w:b w:val="0"/>
          <w:i w:val="0"/>
          <w:sz w:val="24"/>
        </w:rPr>
        <w:t xml:space="preserve"> disebut Wolk "kemenangan konsekuensi ekonomi atas kesetiaan representasional": selama arus kas masa depan </w:t>
      </w:r>
      <w:r>
        <w:rPr>
          <w:rFonts w:ascii="Times New Roman" w:hAnsi="Times New Roman" w:cs="Times New Roman"/>
          <w:b/>
          <w:i w:val="0"/>
          <w:sz w:val="24"/>
        </w:rPr>
        <w:t>tanpa didiskontokan</w:t>
      </w:r>
      <w:r>
        <w:rPr>
          <w:rFonts w:ascii="Times New Roman" w:hAnsi="Times New Roman" w:cs="Times New Roman"/>
          <w:b w:val="0"/>
          <w:i w:val="0"/>
          <w:sz w:val="24"/>
        </w:rPr>
        <w:t xml:space="preserve"> menutup nilai tercatat kewajiban, tidak ada untung-rugi diakui—padahal APB Opinion No. 21 telah menjadikan pendiskontoan praktik baku. </w:t>
      </w:r>
      <w:r>
        <w:rPr>
          <w:rFonts w:ascii="Times New Roman" w:hAnsi="Times New Roman" w:cs="Times New Roman"/>
          <w:b/>
          <w:i w:val="0"/>
          <w:sz w:val="24"/>
        </w:rPr>
        <w:t>SFAS No. 114</w:t>
      </w:r>
      <w:r>
        <w:rPr>
          <w:rFonts w:ascii="Times New Roman" w:hAnsi="Times New Roman" w:cs="Times New Roman"/>
          <w:b w:val="0"/>
          <w:i w:val="0"/>
          <w:sz w:val="24"/>
        </w:rPr>
        <w:t xml:space="preserve"> mengubah sisi kreditor: arus kas didiskontokan dengan </w:t>
      </w:r>
      <w:r>
        <w:rPr>
          <w:rFonts w:ascii="Times New Roman" w:hAnsi="Times New Roman" w:cs="Times New Roman"/>
          <w:b/>
          <w:i w:val="0"/>
          <w:sz w:val="24"/>
        </w:rPr>
        <w:t>suku bunga efektif awal</w:t>
      </w:r>
      <w:r>
        <w:rPr>
          <w:rFonts w:ascii="Times New Roman" w:hAnsi="Times New Roman" w:cs="Times New Roman"/>
          <w:b w:val="0"/>
          <w:i w:val="0"/>
          <w:sz w:val="24"/>
        </w:rPr>
        <w:t xml:space="preserve"> (</w:t>
      </w:r>
      <w:r>
        <w:rPr>
          <w:rFonts w:ascii="Times New Roman" w:hAnsi="Times New Roman" w:cs="Times New Roman"/>
          <w:b w:val="0"/>
          <w:i/>
          <w:sz w:val="24"/>
        </w:rPr>
        <w:t>original effective rate</w:t>
      </w:r>
      <w:r>
        <w:rPr>
          <w:rFonts w:ascii="Times New Roman" w:hAnsi="Times New Roman" w:cs="Times New Roman"/>
          <w:b w:val="0"/>
          <w:i w:val="0"/>
          <w:sz w:val="24"/>
        </w:rPr>
        <w:t xml:space="preserve">) dan penurunan nilai dibebankan sebagai </w:t>
      </w:r>
      <w:r>
        <w:rPr>
          <w:rFonts w:ascii="Times New Roman" w:hAnsi="Times New Roman" w:cs="Times New Roman"/>
          <w:b/>
          <w:i w:val="0"/>
          <w:sz w:val="24"/>
        </w:rPr>
        <w:t>beban piutang tak tertagih</w:t>
      </w:r>
      <w:r>
        <w:rPr>
          <w:rFonts w:ascii="Times New Roman" w:hAnsi="Times New Roman" w:cs="Times New Roman"/>
          <w:b w:val="0"/>
          <w:i w:val="0"/>
          <w:sz w:val="24"/>
        </w:rPr>
        <w:t xml:space="preserve"> (</w:t>
      </w:r>
      <w:r>
        <w:rPr>
          <w:rFonts w:ascii="Times New Roman" w:hAnsi="Times New Roman" w:cs="Times New Roman"/>
          <w:b w:val="0"/>
          <w:i/>
          <w:sz w:val="24"/>
        </w:rPr>
        <w:t>bad debt expense</w:t>
      </w:r>
      <w:r>
        <w:rPr>
          <w:rFonts w:ascii="Times New Roman" w:hAnsi="Times New Roman" w:cs="Times New Roman"/>
          <w:b w:val="0"/>
          <w:i w:val="0"/>
          <w:sz w:val="24"/>
        </w:rPr>
        <w:t xml:space="preserve">). Dua anggota FASB menolak, mengusulkan </w:t>
      </w:r>
      <w:r>
        <w:rPr>
          <w:rFonts w:ascii="Times New Roman" w:hAnsi="Times New Roman" w:cs="Times New Roman"/>
          <w:b/>
          <w:i w:val="0"/>
          <w:sz w:val="24"/>
        </w:rPr>
        <w:t>suku bunga pasar terkini</w:t>
      </w:r>
      <w:r>
        <w:rPr>
          <w:rFonts w:ascii="Times New Roman" w:hAnsi="Times New Roman" w:cs="Times New Roman"/>
          <w:b w:val="0"/>
          <w:i w:val="0"/>
          <w:sz w:val="24"/>
        </w:rPr>
        <w:t xml:space="preserve">. Karena SFAS No. 114 hanya mengikat kreditor sedangkan debitor tetap tunduk pada SFAS No. 15, muncul </w:t>
      </w:r>
      <w:r>
        <w:rPr>
          <w:rFonts w:ascii="Times New Roman" w:hAnsi="Times New Roman" w:cs="Times New Roman"/>
          <w:b/>
          <w:i w:val="0"/>
          <w:sz w:val="24"/>
        </w:rPr>
        <w:t>asimetri debitor–kreditor</w:t>
      </w:r>
      <w:r>
        <w:rPr>
          <w:rFonts w:ascii="Times New Roman" w:hAnsi="Times New Roman" w:cs="Times New Roman"/>
          <w:b w:val="0"/>
          <w:i w:val="0"/>
          <w:sz w:val="24"/>
        </w:rPr>
        <w:t xml:space="preserve"> yang total—bukti, kata Wolk, bahwa "evolusi bisa menjadi proses yang lambat dan menyakitkan" (Wolk et al., 2017, PDF hlm. 19–20).</w:t>
      </w:r>
    </w:p>
    <w:p>
      <w:pPr>
        <w:spacing w:lineRule="exact" w:line="260" w:before="80" w:after="40"/>
        <w:jc w:val="left"/>
      </w:pPr>
      <w:r>
        <w:rPr>
          <w:rFonts w:ascii="Times New Roman" w:hAnsi="Times New Roman" w:cs="Times New Roman"/>
          <w:b/>
          <w:i/>
          <w:sz w:val="24"/>
        </w:rPr>
        <w:t>Early Extinguishment of Debt</w:t>
      </w:r>
    </w:p>
    <w:p>
      <w:pPr>
        <w:spacing w:lineRule="exact" w:line="260" w:before="0" w:after="80"/>
        <w:jc w:val="both"/>
      </w:pPr>
      <w:r>
        <w:rPr>
          <w:rFonts w:ascii="Times New Roman" w:hAnsi="Times New Roman" w:cs="Times New Roman"/>
          <w:b w:val="0"/>
          <w:i w:val="0"/>
          <w:sz w:val="24"/>
        </w:rPr>
        <w:t xml:space="preserve">Untuk </w:t>
      </w:r>
      <w:r>
        <w:rPr>
          <w:rFonts w:ascii="Times New Roman" w:hAnsi="Times New Roman" w:cs="Times New Roman"/>
          <w:b/>
          <w:i w:val="0"/>
          <w:sz w:val="24"/>
        </w:rPr>
        <w:t>pelunasan dini utang</w:t>
      </w:r>
      <w:r>
        <w:rPr>
          <w:rFonts w:ascii="Times New Roman" w:hAnsi="Times New Roman" w:cs="Times New Roman"/>
          <w:b w:val="0"/>
          <w:i w:val="0"/>
          <w:sz w:val="24"/>
        </w:rPr>
        <w:t xml:space="preserve"> (</w:t>
      </w:r>
      <w:r>
        <w:rPr>
          <w:rFonts w:ascii="Times New Roman" w:hAnsi="Times New Roman" w:cs="Times New Roman"/>
          <w:b w:val="0"/>
          <w:i/>
          <w:sz w:val="24"/>
        </w:rPr>
        <w:t>early extinguishment of debt</w:t>
      </w:r>
      <w:r>
        <w:rPr>
          <w:rFonts w:ascii="Times New Roman" w:hAnsi="Times New Roman" w:cs="Times New Roman"/>
          <w:b w:val="0"/>
          <w:i w:val="0"/>
          <w:sz w:val="24"/>
        </w:rPr>
        <w:t xml:space="preserve">), </w:t>
      </w:r>
      <w:r>
        <w:rPr>
          <w:rFonts w:ascii="Times New Roman" w:hAnsi="Times New Roman" w:cs="Times New Roman"/>
          <w:b/>
          <w:i w:val="0"/>
          <w:sz w:val="24"/>
        </w:rPr>
        <w:t>APB Opinion No. 26</w:t>
      </w:r>
      <w:r>
        <w:rPr>
          <w:rFonts w:ascii="Times New Roman" w:hAnsi="Times New Roman" w:cs="Times New Roman"/>
          <w:b w:val="0"/>
          <w:i w:val="0"/>
          <w:sz w:val="24"/>
        </w:rPr>
        <w:t xml:space="preserve"> memilih </w:t>
      </w:r>
      <w:r>
        <w:rPr>
          <w:rFonts w:ascii="Times New Roman" w:hAnsi="Times New Roman" w:cs="Times New Roman"/>
          <w:b/>
          <w:i w:val="0"/>
          <w:sz w:val="24"/>
        </w:rPr>
        <w:t>pengakuan kini</w:t>
      </w:r>
      <w:r>
        <w:rPr>
          <w:rFonts w:ascii="Times New Roman" w:hAnsi="Times New Roman" w:cs="Times New Roman"/>
          <w:b w:val="0"/>
          <w:i w:val="0"/>
          <w:sz w:val="24"/>
        </w:rPr>
        <w:t xml:space="preserve"> dan semula menggolongkannya luar biasa, tetapi sembilan bulan kemudian </w:t>
      </w:r>
      <w:r>
        <w:rPr>
          <w:rFonts w:ascii="Times New Roman" w:hAnsi="Times New Roman" w:cs="Times New Roman"/>
          <w:b/>
          <w:i w:val="0"/>
          <w:sz w:val="24"/>
        </w:rPr>
        <w:t>APB Opinion No. 30</w:t>
      </w:r>
      <w:r>
        <w:rPr>
          <w:rFonts w:ascii="Times New Roman" w:hAnsi="Times New Roman" w:cs="Times New Roman"/>
          <w:b w:val="0"/>
          <w:i w:val="0"/>
          <w:sz w:val="24"/>
        </w:rPr>
        <w:t xml:space="preserve"> membaliknya menjadi </w:t>
      </w:r>
      <w:r>
        <w:rPr>
          <w:rFonts w:ascii="Times New Roman" w:hAnsi="Times New Roman" w:cs="Times New Roman"/>
          <w:b/>
          <w:i w:val="0"/>
          <w:sz w:val="24"/>
        </w:rPr>
        <w:t>bukan</w:t>
      </w:r>
      <w:r>
        <w:rPr>
          <w:rFonts w:ascii="Times New Roman" w:hAnsi="Times New Roman" w:cs="Times New Roman"/>
          <w:b w:val="0"/>
          <w:i w:val="0"/>
          <w:sz w:val="24"/>
        </w:rPr>
        <w:t xml:space="preserve"> luar biasa (Wolk et al., 2017, PDF hlm. 20). Akhirnya </w:t>
      </w:r>
      <w:r>
        <w:rPr>
          <w:rFonts w:ascii="Times New Roman" w:hAnsi="Times New Roman" w:cs="Times New Roman"/>
          <w:b/>
          <w:i w:val="0"/>
          <w:sz w:val="24"/>
        </w:rPr>
        <w:t>SFAS No. 4</w:t>
      </w:r>
      <w:r>
        <w:rPr>
          <w:rFonts w:ascii="Times New Roman" w:hAnsi="Times New Roman" w:cs="Times New Roman"/>
          <w:b w:val="0"/>
          <w:i w:val="0"/>
          <w:sz w:val="24"/>
        </w:rPr>
        <w:t xml:space="preserve"> mewajibkan—bila material—pelaporan layaknya pos luar biasa, </w:t>
      </w:r>
      <w:r>
        <w:rPr>
          <w:rFonts w:ascii="Times New Roman" w:hAnsi="Times New Roman" w:cs="Times New Roman"/>
          <w:b/>
          <w:i w:val="0"/>
          <w:sz w:val="24"/>
        </w:rPr>
        <w:t>neto setelah pajak</w:t>
      </w:r>
      <w:r>
        <w:rPr>
          <w:rFonts w:ascii="Times New Roman" w:hAnsi="Times New Roman" w:cs="Times New Roman"/>
          <w:b w:val="0"/>
          <w:i w:val="0"/>
          <w:sz w:val="24"/>
        </w:rPr>
        <w:t xml:space="preserve">: penyusun standar mengalah kepada konstituennya atas </w:t>
      </w:r>
      <w:r>
        <w:rPr>
          <w:rFonts w:ascii="Times New Roman" w:hAnsi="Times New Roman" w:cs="Times New Roman"/>
          <w:b/>
          <w:i w:val="0"/>
          <w:sz w:val="24"/>
        </w:rPr>
        <w:t>satu pos baris</w:t>
      </w:r>
      <w:r>
        <w:rPr>
          <w:rFonts w:ascii="Times New Roman" w:hAnsi="Times New Roman" w:cs="Times New Roman"/>
          <w:b w:val="0"/>
          <w:i w:val="0"/>
          <w:sz w:val="24"/>
        </w:rPr>
        <w:t xml:space="preserve"> karena besarnya angka terlibat (Wolk et al., 2017, PDF hlm. 20).</w:t>
      </w:r>
    </w:p>
    <w:p>
      <w:pPr>
        <w:spacing w:lineRule="exact" w:line="260" w:before="80" w:after="40"/>
        <w:jc w:val="left"/>
      </w:pPr>
      <w:r>
        <w:rPr>
          <w:rFonts w:ascii="Times New Roman" w:hAnsi="Times New Roman" w:cs="Times New Roman"/>
          <w:b/>
          <w:i/>
          <w:sz w:val="24"/>
        </w:rPr>
        <w:t>Stock Options</w:t>
      </w:r>
    </w:p>
    <w:p>
      <w:pPr>
        <w:spacing w:lineRule="exact" w:line="260" w:before="0" w:after="80"/>
        <w:jc w:val="both"/>
      </w:pPr>
      <w:r>
        <w:rPr>
          <w:rFonts w:ascii="Times New Roman" w:hAnsi="Times New Roman" w:cs="Times New Roman"/>
          <w:b/>
          <w:i w:val="0"/>
          <w:sz w:val="24"/>
        </w:rPr>
        <w:t>Opsi saham</w:t>
      </w:r>
      <w:r>
        <w:rPr>
          <w:rFonts w:ascii="Times New Roman" w:hAnsi="Times New Roman" w:cs="Times New Roman"/>
          <w:b w:val="0"/>
          <w:i w:val="0"/>
          <w:sz w:val="24"/>
        </w:rPr>
        <w:t xml:space="preserve"> (</w:t>
      </w:r>
      <w:r>
        <w:rPr>
          <w:rFonts w:ascii="Times New Roman" w:hAnsi="Times New Roman" w:cs="Times New Roman"/>
          <w:b w:val="0"/>
          <w:i/>
          <w:sz w:val="24"/>
        </w:rPr>
        <w:t>stock options</w:t>
      </w:r>
      <w:r>
        <w:rPr>
          <w:rFonts w:ascii="Times New Roman" w:hAnsi="Times New Roman" w:cs="Times New Roman"/>
          <w:b w:val="0"/>
          <w:i w:val="0"/>
          <w:sz w:val="24"/>
        </w:rPr>
        <w:t xml:space="preserve">) dirancang untuk </w:t>
      </w:r>
      <w:r>
        <w:rPr>
          <w:rFonts w:ascii="Times New Roman" w:hAnsi="Times New Roman" w:cs="Times New Roman"/>
          <w:b/>
          <w:i w:val="0"/>
          <w:sz w:val="24"/>
        </w:rPr>
        <w:t>menyelaraskan</w:t>
      </w:r>
      <w:r>
        <w:rPr>
          <w:rFonts w:ascii="Times New Roman" w:hAnsi="Times New Roman" w:cs="Times New Roman"/>
          <w:b w:val="0"/>
          <w:i w:val="0"/>
          <w:sz w:val="24"/>
        </w:rPr>
        <w:t xml:space="preserve"> kepentingan manajemen dan pemegang saham (teori keagenan), namun mendorong manipulasi laba—kasus terburuknya </w:t>
      </w:r>
      <w:r>
        <w:rPr>
          <w:rFonts w:ascii="Times New Roman" w:hAnsi="Times New Roman" w:cs="Times New Roman"/>
          <w:b/>
          <w:i w:val="0"/>
          <w:sz w:val="24"/>
        </w:rPr>
        <w:t>WorldCom</w:t>
      </w:r>
      <w:r>
        <w:rPr>
          <w:rFonts w:ascii="Times New Roman" w:hAnsi="Times New Roman" w:cs="Times New Roman"/>
          <w:b w:val="0"/>
          <w:i w:val="0"/>
          <w:sz w:val="24"/>
        </w:rPr>
        <w:t xml:space="preserve"> yang mengapitalisasi beban biasa setidaknya </w:t>
      </w:r>
      <w:r>
        <w:rPr>
          <w:rFonts w:ascii="Times New Roman" w:hAnsi="Times New Roman" w:cs="Times New Roman"/>
          <w:b/>
          <w:i w:val="0"/>
          <w:sz w:val="24"/>
        </w:rPr>
        <w:t>US$7 miliar</w:t>
      </w:r>
      <w:r>
        <w:rPr>
          <w:rFonts w:ascii="Times New Roman" w:hAnsi="Times New Roman" w:cs="Times New Roman"/>
          <w:b w:val="0"/>
          <w:i w:val="0"/>
          <w:sz w:val="24"/>
        </w:rPr>
        <w:t xml:space="preserve"> (Wolk et al., 2017, PDF hlm. 20). </w:t>
      </w:r>
      <w:r>
        <w:rPr>
          <w:rFonts w:ascii="Times New Roman" w:hAnsi="Times New Roman" w:cs="Times New Roman"/>
          <w:b/>
          <w:i w:val="0"/>
          <w:sz w:val="24"/>
        </w:rPr>
        <w:t>APB Opinion No. 25</w:t>
      </w:r>
      <w:r>
        <w:rPr>
          <w:rFonts w:ascii="Times New Roman" w:hAnsi="Times New Roman" w:cs="Times New Roman"/>
          <w:b w:val="0"/>
          <w:i w:val="0"/>
          <w:sz w:val="24"/>
        </w:rPr>
        <w:t xml:space="preserve"> membebankan </w:t>
      </w:r>
      <w:r>
        <w:rPr>
          <w:rFonts w:ascii="Times New Roman" w:hAnsi="Times New Roman" w:cs="Times New Roman"/>
          <w:b/>
          <w:i w:val="0"/>
          <w:sz w:val="24"/>
        </w:rPr>
        <w:t>opsi saham nonkualifikasi</w:t>
      </w:r>
      <w:r>
        <w:rPr>
          <w:rFonts w:ascii="Times New Roman" w:hAnsi="Times New Roman" w:cs="Times New Roman"/>
          <w:b w:val="0"/>
          <w:i w:val="0"/>
          <w:sz w:val="24"/>
        </w:rPr>
        <w:t xml:space="preserve"> (</w:t>
      </w:r>
      <w:r>
        <w:rPr>
          <w:rFonts w:ascii="Times New Roman" w:hAnsi="Times New Roman" w:cs="Times New Roman"/>
          <w:b w:val="0"/>
          <w:i/>
          <w:sz w:val="24"/>
        </w:rPr>
        <w:t>nonqualified stock options</w:t>
      </w:r>
      <w:r>
        <w:rPr>
          <w:rFonts w:ascii="Times New Roman" w:hAnsi="Times New Roman" w:cs="Times New Roman"/>
          <w:b w:val="0"/>
          <w:i w:val="0"/>
          <w:sz w:val="24"/>
        </w:rPr>
        <w:t xml:space="preserve">) sebesar selisih nilai pasar dan harga pelaksanaan pada </w:t>
      </w:r>
      <w:r>
        <w:rPr>
          <w:rFonts w:ascii="Times New Roman" w:hAnsi="Times New Roman" w:cs="Times New Roman"/>
          <w:b/>
          <w:i w:val="0"/>
          <w:sz w:val="24"/>
        </w:rPr>
        <w:t>tanggal pengukuran</w:t>
      </w:r>
      <w:r>
        <w:rPr>
          <w:rFonts w:ascii="Times New Roman" w:hAnsi="Times New Roman" w:cs="Times New Roman"/>
          <w:b w:val="0"/>
          <w:i w:val="0"/>
          <w:sz w:val="24"/>
        </w:rPr>
        <w:t xml:space="preserve"> (</w:t>
      </w:r>
      <w:r>
        <w:rPr>
          <w:rFonts w:ascii="Times New Roman" w:hAnsi="Times New Roman" w:cs="Times New Roman"/>
          <w:b w:val="0"/>
          <w:i/>
          <w:sz w:val="24"/>
        </w:rPr>
        <w:t>measurement date</w:t>
      </w:r>
      <w:r>
        <w:rPr>
          <w:rFonts w:ascii="Times New Roman" w:hAnsi="Times New Roman" w:cs="Times New Roman"/>
          <w:b w:val="0"/>
          <w:i w:val="0"/>
          <w:sz w:val="24"/>
        </w:rPr>
        <w:t xml:space="preserve">) (Wolk et al., 2017, PDF hlm. 21). Pada Juni 1993 FASB menerbitkan </w:t>
      </w:r>
      <w:r>
        <w:rPr>
          <w:rFonts w:ascii="Times New Roman" w:hAnsi="Times New Roman" w:cs="Times New Roman"/>
          <w:b/>
          <w:i w:val="0"/>
          <w:sz w:val="24"/>
        </w:rPr>
        <w:t>exposure draft</w:t>
      </w:r>
      <w:r>
        <w:rPr>
          <w:rFonts w:ascii="Times New Roman" w:hAnsi="Times New Roman" w:cs="Times New Roman"/>
          <w:b w:val="0"/>
          <w:i w:val="0"/>
          <w:sz w:val="24"/>
        </w:rPr>
        <w:t xml:space="preserve"> berbasis </w:t>
      </w:r>
      <w:r>
        <w:rPr>
          <w:rFonts w:ascii="Times New Roman" w:hAnsi="Times New Roman" w:cs="Times New Roman"/>
          <w:b/>
          <w:i w:val="0"/>
          <w:sz w:val="24"/>
        </w:rPr>
        <w:t>Black-Scholes</w:t>
      </w:r>
      <w:r>
        <w:rPr>
          <w:rFonts w:ascii="Times New Roman" w:hAnsi="Times New Roman" w:cs="Times New Roman"/>
          <w:b w:val="0"/>
          <w:i w:val="0"/>
          <w:sz w:val="24"/>
        </w:rPr>
        <w:t xml:space="preserve">, namun kritik kesetiaan representasional dan pertempuran konsekuensi ekonomi dengan eksekutif keuangan menariknya pada </w:t>
      </w:r>
      <w:r>
        <w:rPr>
          <w:rFonts w:ascii="Times New Roman" w:hAnsi="Times New Roman" w:cs="Times New Roman"/>
          <w:b/>
          <w:i w:val="0"/>
          <w:sz w:val="24"/>
        </w:rPr>
        <w:t>Desember 1994</w:t>
      </w:r>
      <w:r>
        <w:rPr>
          <w:rFonts w:ascii="Times New Roman" w:hAnsi="Times New Roman" w:cs="Times New Roman"/>
          <w:b w:val="0"/>
          <w:i w:val="0"/>
          <w:sz w:val="24"/>
        </w:rPr>
        <w:t xml:space="preserve"> (Wolk et al., 2017, PDF hlm. 22). FASB lalu mundur ke pengungkapan catatan kaki via </w:t>
      </w:r>
      <w:r>
        <w:rPr>
          <w:rFonts w:ascii="Times New Roman" w:hAnsi="Times New Roman" w:cs="Times New Roman"/>
          <w:b/>
          <w:i w:val="0"/>
          <w:sz w:val="24"/>
        </w:rPr>
        <w:t>SFAS No. 123</w:t>
      </w:r>
      <w:r>
        <w:rPr>
          <w:rFonts w:ascii="Times New Roman" w:hAnsi="Times New Roman" w:cs="Times New Roman"/>
          <w:b w:val="0"/>
          <w:i w:val="0"/>
          <w:sz w:val="24"/>
        </w:rPr>
        <w:t xml:space="preserve">, sebelum </w:t>
      </w:r>
      <w:r>
        <w:rPr>
          <w:rFonts w:ascii="Times New Roman" w:hAnsi="Times New Roman" w:cs="Times New Roman"/>
          <w:b/>
          <w:i w:val="0"/>
          <w:sz w:val="24"/>
        </w:rPr>
        <w:t>SFAS No. 123R</w:t>
      </w:r>
      <w:r>
        <w:rPr>
          <w:rFonts w:ascii="Times New Roman" w:hAnsi="Times New Roman" w:cs="Times New Roman"/>
          <w:b w:val="0"/>
          <w:i w:val="0"/>
          <w:sz w:val="24"/>
        </w:rPr>
        <w:t xml:space="preserve"> (2004) mewajibkan pengakuan beban berdasarkan </w:t>
      </w:r>
      <w:r>
        <w:rPr>
          <w:rFonts w:ascii="Times New Roman" w:hAnsi="Times New Roman" w:cs="Times New Roman"/>
          <w:b/>
          <w:i w:val="0"/>
          <w:sz w:val="24"/>
        </w:rPr>
        <w:t>nilai wajar tanggal pemberian</w:t>
      </w:r>
      <w:r>
        <w:rPr>
          <w:rFonts w:ascii="Times New Roman" w:hAnsi="Times New Roman" w:cs="Times New Roman"/>
          <w:b w:val="0"/>
          <w:i w:val="0"/>
          <w:sz w:val="24"/>
        </w:rPr>
        <w:t xml:space="preserve"> (</w:t>
      </w:r>
      <w:r>
        <w:rPr>
          <w:rFonts w:ascii="Times New Roman" w:hAnsi="Times New Roman" w:cs="Times New Roman"/>
          <w:b w:val="0"/>
          <w:i/>
          <w:sz w:val="24"/>
        </w:rPr>
        <w:t>grant-date fair value</w:t>
      </w:r>
      <w:r>
        <w:rPr>
          <w:rFonts w:ascii="Times New Roman" w:hAnsi="Times New Roman" w:cs="Times New Roman"/>
          <w:b w:val="0"/>
          <w:i w:val="0"/>
          <w:sz w:val="24"/>
        </w:rPr>
        <w:t xml:space="preserve">)—sangat dekat dengan </w:t>
      </w:r>
      <w:r>
        <w:rPr>
          <w:rFonts w:ascii="Times New Roman" w:hAnsi="Times New Roman" w:cs="Times New Roman"/>
          <w:b/>
          <w:i w:val="0"/>
          <w:sz w:val="24"/>
        </w:rPr>
        <w:t>IFRS 2</w:t>
      </w:r>
      <w:r>
        <w:rPr>
          <w:rFonts w:ascii="Times New Roman" w:hAnsi="Times New Roman" w:cs="Times New Roman"/>
          <w:b w:val="0"/>
          <w:i w:val="0"/>
          <w:sz w:val="24"/>
        </w:rPr>
        <w:t xml:space="preserve"> (Wolk et al., 2017, PDF hlm. 23). Praktik </w:t>
      </w:r>
      <w:r>
        <w:rPr>
          <w:rFonts w:ascii="Times New Roman" w:hAnsi="Times New Roman" w:cs="Times New Roman"/>
          <w:b/>
          <w:i w:val="0"/>
          <w:sz w:val="24"/>
        </w:rPr>
        <w:t>backdating</w:t>
      </w:r>
      <w:r>
        <w:rPr>
          <w:rFonts w:ascii="Times New Roman" w:hAnsi="Times New Roman" w:cs="Times New Roman"/>
          <w:b w:val="0"/>
          <w:i w:val="0"/>
          <w:sz w:val="24"/>
        </w:rPr>
        <w:t xml:space="preserve"> ke titik harga terendah tahun itu menambah problem; Efendi et al. (2012) menemukan </w:t>
      </w:r>
      <w:r>
        <w:rPr>
          <w:rFonts w:ascii="Times New Roman" w:hAnsi="Times New Roman" w:cs="Times New Roman"/>
          <w:b/>
          <w:i w:val="0"/>
          <w:sz w:val="24"/>
        </w:rPr>
        <w:t>pergantian paksa CEO dan CFO</w:t>
      </w:r>
      <w:r>
        <w:rPr>
          <w:rFonts w:ascii="Times New Roman" w:hAnsi="Times New Roman" w:cs="Times New Roman"/>
          <w:b w:val="0"/>
          <w:i w:val="0"/>
          <w:sz w:val="24"/>
        </w:rPr>
        <w:t xml:space="preserve"> lebih tinggi setelahnya (Wolk et al., 2017, PDF hlm. 23).</w:t>
      </w:r>
    </w:p>
    <w:p>
      <w:pPr>
        <w:spacing w:before="40" w:after="40"/>
        <w:jc w:val="center"/>
      </w:pPr>
      <w:r>
        <w:drawing>
          <wp:inline xmlns:a="http://schemas.openxmlformats.org/drawingml/2006/main" xmlns:pic="http://schemas.openxmlformats.org/drawingml/2006/picture">
            <wp:extent cx="5220000" cy="1585514"/>
            <wp:docPr id="5" name="Picture 5"/>
            <wp:cNvGraphicFramePr>
              <a:graphicFrameLocks noChangeAspect="1"/>
            </wp:cNvGraphicFramePr>
            <a:graphic>
              <a:graphicData uri="http://schemas.openxmlformats.org/drawingml/2006/picture">
                <pic:pic>
                  <pic:nvPicPr>
                    <pic:cNvPr id="0" name="gambar5_stock_options.png"/>
                    <pic:cNvPicPr/>
                  </pic:nvPicPr>
                  <pic:blipFill>
                    <a:blip r:embed="rId14"/>
                    <a:stretch>
                      <a:fillRect/>
                    </a:stretch>
                  </pic:blipFill>
                  <pic:spPr>
                    <a:xfrm>
                      <a:off x="0" y="0"/>
                      <a:ext cx="5220000" cy="1585514"/>
                    </a:xfrm>
                    <a:prstGeom prst="rect"/>
                  </pic:spPr>
                </pic:pic>
              </a:graphicData>
            </a:graphic>
          </wp:inline>
        </w:drawing>
      </w:r>
    </w:p>
    <w:p>
      <w:pPr>
        <w:spacing w:lineRule="exact" w:line="260" w:before="0" w:after="0"/>
        <w:jc w:val="center"/>
      </w:pPr>
      <w:r>
        <w:rPr>
          <w:rFonts w:ascii="Times New Roman" w:hAnsi="Times New Roman" w:cs="Times New Roman"/>
          <w:b/>
          <w:i w:val="0"/>
          <w:sz w:val="22"/>
        </w:rPr>
        <w:t xml:space="preserve">Gambar 5. </w:t>
      </w:r>
      <w:r>
        <w:rPr>
          <w:rFonts w:ascii="Times New Roman" w:hAnsi="Times New Roman" w:cs="Times New Roman"/>
          <w:b w:val="0"/>
          <w:i w:val="0"/>
          <w:sz w:val="22"/>
        </w:rPr>
        <w:t>Lini masa standar kompensasi opsi saham</w:t>
      </w:r>
    </w:p>
    <w:p>
      <w:pPr>
        <w:spacing w:lineRule="exact" w:line="260" w:before="0" w:after="120"/>
        <w:jc w:val="center"/>
      </w:pPr>
      <w:r>
        <w:rPr>
          <w:rFonts w:ascii="Times New Roman" w:hAnsi="Times New Roman" w:cs="Times New Roman"/>
          <w:b w:val="0"/>
          <w:i/>
          <w:sz w:val="22"/>
        </w:rPr>
        <w:t>Sumber: diolah dari Wolk et al. (2017), PDF hlm. 20–24</w:t>
      </w:r>
    </w:p>
    <w:p>
      <w:pPr>
        <w:spacing w:lineRule="exact" w:line="260" w:before="0" w:after="80"/>
        <w:jc w:val="both"/>
      </w:pPr>
      <w:r>
        <w:rPr>
          <w:rFonts w:ascii="Times New Roman" w:hAnsi="Times New Roman" w:cs="Times New Roman"/>
          <w:b w:val="0"/>
          <w:i w:val="0"/>
          <w:sz w:val="24"/>
        </w:rPr>
        <w:t xml:space="preserve">Secara teoretis, jawabannya bergantung pada lensa teori ekuitas. Di bawah </w:t>
      </w:r>
      <w:r>
        <w:rPr>
          <w:rFonts w:ascii="Times New Roman" w:hAnsi="Times New Roman" w:cs="Times New Roman"/>
          <w:b/>
          <w:i w:val="0"/>
          <w:sz w:val="24"/>
        </w:rPr>
        <w:t>teori entitas</w:t>
      </w:r>
      <w:r>
        <w:rPr>
          <w:rFonts w:ascii="Times New Roman" w:hAnsi="Times New Roman" w:cs="Times New Roman"/>
          <w:b w:val="0"/>
          <w:i w:val="0"/>
          <w:sz w:val="24"/>
        </w:rPr>
        <w:t xml:space="preserve"> (</w:t>
      </w:r>
      <w:r>
        <w:rPr>
          <w:rFonts w:ascii="Times New Roman" w:hAnsi="Times New Roman" w:cs="Times New Roman"/>
          <w:b w:val="0"/>
          <w:i/>
          <w:sz w:val="24"/>
        </w:rPr>
        <w:t>entity theory</w:t>
      </w:r>
      <w:r>
        <w:rPr>
          <w:rFonts w:ascii="Times New Roman" w:hAnsi="Times New Roman" w:cs="Times New Roman"/>
          <w:b w:val="0"/>
          <w:i w:val="0"/>
          <w:sz w:val="24"/>
        </w:rPr>
        <w:t xml:space="preserve">), penerima opsi adalah pemilik sehingga biayanya hanya biaya peluang yang tidak dipandang beban; di bawah </w:t>
      </w:r>
      <w:r>
        <w:rPr>
          <w:rFonts w:ascii="Times New Roman" w:hAnsi="Times New Roman" w:cs="Times New Roman"/>
          <w:b/>
          <w:i w:val="0"/>
          <w:sz w:val="24"/>
        </w:rPr>
        <w:t>teori proprietari</w:t>
      </w:r>
      <w:r>
        <w:rPr>
          <w:rFonts w:ascii="Times New Roman" w:hAnsi="Times New Roman" w:cs="Times New Roman"/>
          <w:b w:val="0"/>
          <w:i w:val="0"/>
          <w:sz w:val="24"/>
        </w:rPr>
        <w:t xml:space="preserve"> (</w:t>
      </w:r>
      <w:r>
        <w:rPr>
          <w:rFonts w:ascii="Times New Roman" w:hAnsi="Times New Roman" w:cs="Times New Roman"/>
          <w:b w:val="0"/>
          <w:i/>
          <w:sz w:val="24"/>
        </w:rPr>
        <w:t>proprietary theory</w:t>
      </w:r>
      <w:r>
        <w:rPr>
          <w:rFonts w:ascii="Times New Roman" w:hAnsi="Times New Roman" w:cs="Times New Roman"/>
          <w:b w:val="0"/>
          <w:i w:val="0"/>
          <w:sz w:val="24"/>
        </w:rPr>
        <w:t xml:space="preserve">), opsi adalah biaya riil karena saham pemegang luar terdilusi. Wolk mengusulkan </w:t>
      </w:r>
      <w:r>
        <w:rPr>
          <w:rFonts w:ascii="Times New Roman" w:hAnsi="Times New Roman" w:cs="Times New Roman"/>
          <w:b/>
          <w:i w:val="0"/>
          <w:sz w:val="24"/>
        </w:rPr>
        <w:t>reformat laporan laba rugi</w:t>
      </w:r>
      <w:r>
        <w:rPr>
          <w:rFonts w:ascii="Times New Roman" w:hAnsi="Times New Roman" w:cs="Times New Roman"/>
          <w:b w:val="0"/>
          <w:i w:val="0"/>
          <w:sz w:val="24"/>
        </w:rPr>
        <w:t xml:space="preserve">: </w:t>
      </w:r>
      <w:r>
        <w:rPr>
          <w:rFonts w:ascii="Times New Roman" w:hAnsi="Times New Roman" w:cs="Times New Roman"/>
          <w:b/>
          <w:i w:val="0"/>
          <w:sz w:val="24"/>
        </w:rPr>
        <w:t>laba entitas</w:t>
      </w:r>
      <w:r>
        <w:rPr>
          <w:rFonts w:ascii="Times New Roman" w:hAnsi="Times New Roman" w:cs="Times New Roman"/>
          <w:b w:val="0"/>
          <w:i w:val="0"/>
          <w:sz w:val="24"/>
        </w:rPr>
        <w:t xml:space="preserve"> (</w:t>
      </w:r>
      <w:r>
        <w:rPr>
          <w:rFonts w:ascii="Times New Roman" w:hAnsi="Times New Roman" w:cs="Times New Roman"/>
          <w:b w:val="0"/>
          <w:i/>
          <w:sz w:val="24"/>
        </w:rPr>
        <w:t>entity income</w:t>
      </w:r>
      <w:r>
        <w:rPr>
          <w:rFonts w:ascii="Times New Roman" w:hAnsi="Times New Roman" w:cs="Times New Roman"/>
          <w:b w:val="0"/>
          <w:i w:val="0"/>
          <w:sz w:val="24"/>
        </w:rPr>
        <w:t xml:space="preserve">) dihitung tanpa beban bunga, lalu dikurangi biaya bunga dan biaya opsi menjadi </w:t>
      </w:r>
      <w:r>
        <w:rPr>
          <w:rFonts w:ascii="Times New Roman" w:hAnsi="Times New Roman" w:cs="Times New Roman"/>
          <w:b/>
          <w:i w:val="0"/>
          <w:sz w:val="24"/>
        </w:rPr>
        <w:t>laba proprietari</w:t>
      </w:r>
      <w:r>
        <w:rPr>
          <w:rFonts w:ascii="Times New Roman" w:hAnsi="Times New Roman" w:cs="Times New Roman"/>
          <w:b w:val="0"/>
          <w:i w:val="0"/>
          <w:sz w:val="24"/>
        </w:rPr>
        <w:t xml:space="preserve"> (</w:t>
      </w:r>
      <w:r>
        <w:rPr>
          <w:rFonts w:ascii="Times New Roman" w:hAnsi="Times New Roman" w:cs="Times New Roman"/>
          <w:b w:val="0"/>
          <w:i/>
          <w:sz w:val="24"/>
        </w:rPr>
        <w:t>proprietary income</w:t>
      </w:r>
      <w:r>
        <w:rPr>
          <w:rFonts w:ascii="Times New Roman" w:hAnsi="Times New Roman" w:cs="Times New Roman"/>
          <w:b w:val="0"/>
          <w:i w:val="0"/>
          <w:sz w:val="24"/>
        </w:rPr>
        <w:t xml:space="preserve">), sekaligus memberi </w:t>
      </w:r>
      <w:r>
        <w:rPr>
          <w:rFonts w:ascii="Times New Roman" w:hAnsi="Times New Roman" w:cs="Times New Roman"/>
          <w:b/>
          <w:i w:val="0"/>
          <w:sz w:val="24"/>
        </w:rPr>
        <w:t>artikulasi</w:t>
      </w:r>
      <w:r>
        <w:rPr>
          <w:rFonts w:ascii="Times New Roman" w:hAnsi="Times New Roman" w:cs="Times New Roman"/>
          <w:b w:val="0"/>
          <w:i w:val="0"/>
          <w:sz w:val="24"/>
        </w:rPr>
        <w:t xml:space="preserve"> dengan arus kas (Wolk et al., 2017, PDF hlm. 23–24). Ketika diskresi dibiarkan terbuka, pengukuran laba menjelma menjadi alat </w:t>
      </w:r>
      <w:r>
        <w:rPr>
          <w:rFonts w:ascii="Times New Roman" w:hAnsi="Times New Roman" w:cs="Times New Roman"/>
          <w:b/>
          <w:i w:val="0"/>
          <w:sz w:val="24"/>
        </w:rPr>
        <w:t>manajemen laba</w:t>
      </w:r>
      <w:r>
        <w:rPr>
          <w:rFonts w:ascii="Times New Roman" w:hAnsi="Times New Roman" w:cs="Times New Roman"/>
          <w:b w:val="0"/>
          <w:i w:val="0"/>
          <w:sz w:val="24"/>
        </w:rPr>
        <w:t>—pokok Bagian XI.</w:t>
      </w:r>
    </w:p>
    <w:p>
      <w:pPr>
        <w:spacing w:lineRule="exact" w:line="260" w:before="120" w:after="80"/>
        <w:jc w:val="left"/>
      </w:pPr>
      <w:r>
        <w:rPr>
          <w:rFonts w:ascii="Times New Roman" w:hAnsi="Times New Roman" w:cs="Times New Roman"/>
          <w:b/>
          <w:i w:val="0"/>
          <w:sz w:val="26"/>
        </w:rPr>
        <w:t>XI. Earnings Management dan Income Smoothing</w:t>
      </w:r>
    </w:p>
    <w:p>
      <w:pPr>
        <w:spacing w:lineRule="exact" w:line="260" w:before="0" w:after="80"/>
        <w:jc w:val="both"/>
      </w:pPr>
      <w:r>
        <w:rPr>
          <w:rFonts w:ascii="Times New Roman" w:hAnsi="Times New Roman" w:cs="Times New Roman"/>
          <w:b/>
          <w:i w:val="0"/>
          <w:sz w:val="24"/>
        </w:rPr>
        <w:t>Manajemen laba</w:t>
      </w:r>
      <w:r>
        <w:rPr>
          <w:rFonts w:ascii="Times New Roman" w:hAnsi="Times New Roman" w:cs="Times New Roman"/>
          <w:b w:val="0"/>
          <w:i w:val="0"/>
          <w:sz w:val="24"/>
        </w:rPr>
        <w:t xml:space="preserve"> (</w:t>
      </w:r>
      <w:r>
        <w:rPr>
          <w:rFonts w:ascii="Times New Roman" w:hAnsi="Times New Roman" w:cs="Times New Roman"/>
          <w:b w:val="0"/>
          <w:i/>
          <w:sz w:val="24"/>
        </w:rPr>
        <w:t>earnings management</w:t>
      </w:r>
      <w:r>
        <w:rPr>
          <w:rFonts w:ascii="Times New Roman" w:hAnsi="Times New Roman" w:cs="Times New Roman"/>
          <w:b w:val="0"/>
          <w:i w:val="0"/>
          <w:sz w:val="24"/>
        </w:rPr>
        <w:t xml:space="preserve">) didefinisikan Schipper sebagai "intervensi yang disengaja dalam proses pelaporan keuangan eksternal dengan maksud memperoleh keuntungan privat" (Wolk et al., 2017, PDF hlm. 24). Definisi ini menautkannya ke </w:t>
      </w:r>
      <w:r>
        <w:rPr>
          <w:rFonts w:ascii="Times New Roman" w:hAnsi="Times New Roman" w:cs="Times New Roman"/>
          <w:b/>
          <w:i w:val="0"/>
          <w:sz w:val="24"/>
        </w:rPr>
        <w:t>teori keagenan</w:t>
      </w:r>
      <w:r>
        <w:rPr>
          <w:rFonts w:ascii="Times New Roman" w:hAnsi="Times New Roman" w:cs="Times New Roman"/>
          <w:b w:val="0"/>
          <w:i w:val="0"/>
          <w:sz w:val="24"/>
        </w:rPr>
        <w:t xml:space="preserve"> (</w:t>
      </w:r>
      <w:r>
        <w:rPr>
          <w:rFonts w:ascii="Times New Roman" w:hAnsi="Times New Roman" w:cs="Times New Roman"/>
          <w:b w:val="0"/>
          <w:i/>
          <w:sz w:val="24"/>
        </w:rPr>
        <w:t>agency theory</w:t>
      </w:r>
      <w:r>
        <w:rPr>
          <w:rFonts w:ascii="Times New Roman" w:hAnsi="Times New Roman" w:cs="Times New Roman"/>
          <w:b w:val="0"/>
          <w:i w:val="0"/>
          <w:sz w:val="24"/>
        </w:rPr>
        <w:t xml:space="preserve">): manajemen dapat memengaruhi laba untuk (a) </w:t>
      </w:r>
      <w:r>
        <w:rPr>
          <w:rFonts w:ascii="Times New Roman" w:hAnsi="Times New Roman" w:cs="Times New Roman"/>
          <w:b/>
          <w:i w:val="0"/>
          <w:sz w:val="24"/>
        </w:rPr>
        <w:t>memaksimalkan kompensasinya</w:t>
      </w:r>
      <w:r>
        <w:rPr>
          <w:rFonts w:ascii="Times New Roman" w:hAnsi="Times New Roman" w:cs="Times New Roman"/>
          <w:b w:val="0"/>
          <w:i w:val="0"/>
          <w:sz w:val="24"/>
        </w:rPr>
        <w:t xml:space="preserve">, (b) </w:t>
      </w:r>
      <w:r>
        <w:rPr>
          <w:rFonts w:ascii="Times New Roman" w:hAnsi="Times New Roman" w:cs="Times New Roman"/>
          <w:b/>
          <w:i w:val="0"/>
          <w:sz w:val="24"/>
        </w:rPr>
        <w:t>menghindari pelanggaran perjanjian utang</w:t>
      </w:r>
      <w:r>
        <w:rPr>
          <w:rFonts w:ascii="Times New Roman" w:hAnsi="Times New Roman" w:cs="Times New Roman"/>
          <w:b w:val="0"/>
          <w:i w:val="0"/>
          <w:sz w:val="24"/>
        </w:rPr>
        <w:t xml:space="preserve"> (</w:t>
      </w:r>
      <w:r>
        <w:rPr>
          <w:rFonts w:ascii="Times New Roman" w:hAnsi="Times New Roman" w:cs="Times New Roman"/>
          <w:b w:val="0"/>
          <w:i/>
          <w:sz w:val="24"/>
        </w:rPr>
        <w:t>debt covenants</w:t>
      </w:r>
      <w:r>
        <w:rPr>
          <w:rFonts w:ascii="Times New Roman" w:hAnsi="Times New Roman" w:cs="Times New Roman"/>
          <w:b w:val="0"/>
          <w:i w:val="0"/>
          <w:sz w:val="24"/>
        </w:rPr>
        <w:t xml:space="preserve">), dan (c) </w:t>
      </w:r>
      <w:r>
        <w:rPr>
          <w:rFonts w:ascii="Times New Roman" w:hAnsi="Times New Roman" w:cs="Times New Roman"/>
          <w:b/>
          <w:i w:val="0"/>
          <w:sz w:val="24"/>
        </w:rPr>
        <w:t>meminimalkan laba yang dilaporkan</w:t>
      </w:r>
      <w:r>
        <w:rPr>
          <w:rFonts w:ascii="Times New Roman" w:hAnsi="Times New Roman" w:cs="Times New Roman"/>
          <w:b w:val="0"/>
          <w:i w:val="0"/>
          <w:sz w:val="24"/>
        </w:rPr>
        <w:t xml:space="preserve"> guna mengurangi campur tangan pemerintah bila visibilitas politiknya tinggi. Terdapat pula asimetri mencolok di sekitar </w:t>
      </w:r>
      <w:r>
        <w:rPr>
          <w:rFonts w:ascii="Times New Roman" w:hAnsi="Times New Roman" w:cs="Times New Roman"/>
          <w:b/>
          <w:i w:val="0"/>
          <w:sz w:val="24"/>
        </w:rPr>
        <w:t>prediksi laba analis</w:t>
      </w:r>
      <w:r>
        <w:rPr>
          <w:rFonts w:ascii="Times New Roman" w:hAnsi="Times New Roman" w:cs="Times New Roman"/>
          <w:b w:val="0"/>
          <w:i w:val="0"/>
          <w:sz w:val="24"/>
        </w:rPr>
        <w:t xml:space="preserve">: jauh lebih banyak laba kuartalan yang tepat melampaui ekspektasi ketimbang yang sedikit meleset di bawahnya—menegaskan dimensi </w:t>
      </w:r>
      <w:r>
        <w:rPr>
          <w:rFonts w:ascii="Times New Roman" w:hAnsi="Times New Roman" w:cs="Times New Roman"/>
          <w:b/>
          <w:i w:val="0"/>
          <w:sz w:val="24"/>
        </w:rPr>
        <w:t>informasi asimetris</w:t>
      </w:r>
      <w:r>
        <w:rPr>
          <w:rFonts w:ascii="Times New Roman" w:hAnsi="Times New Roman" w:cs="Times New Roman"/>
          <w:b w:val="0"/>
          <w:i w:val="0"/>
          <w:sz w:val="24"/>
        </w:rPr>
        <w:t>, sebab laba yang dikelola pada hakikatnya informasi orang dalam (Wolk et al., 2017, PDF hlm. 24).</w:t>
      </w:r>
    </w:p>
    <w:p>
      <w:pPr>
        <w:spacing w:before="40" w:after="40"/>
        <w:jc w:val="center"/>
      </w:pPr>
      <w:r>
        <w:drawing>
          <wp:inline xmlns:a="http://schemas.openxmlformats.org/drawingml/2006/main" xmlns:pic="http://schemas.openxmlformats.org/drawingml/2006/picture">
            <wp:extent cx="5220000" cy="1951402"/>
            <wp:docPr id="6" name="Picture 6"/>
            <wp:cNvGraphicFramePr>
              <a:graphicFrameLocks noChangeAspect="1"/>
            </wp:cNvGraphicFramePr>
            <a:graphic>
              <a:graphicData uri="http://schemas.openxmlformats.org/drawingml/2006/picture">
                <pic:pic>
                  <pic:nvPicPr>
                    <pic:cNvPr id="0" name="gambar6_taksonomi_em.png"/>
                    <pic:cNvPicPr/>
                  </pic:nvPicPr>
                  <pic:blipFill>
                    <a:blip r:embed="rId15"/>
                    <a:stretch>
                      <a:fillRect/>
                    </a:stretch>
                  </pic:blipFill>
                  <pic:spPr>
                    <a:xfrm>
                      <a:off x="0" y="0"/>
                      <a:ext cx="5220000" cy="1951402"/>
                    </a:xfrm>
                    <a:prstGeom prst="rect"/>
                  </pic:spPr>
                </pic:pic>
              </a:graphicData>
            </a:graphic>
          </wp:inline>
        </w:drawing>
      </w:r>
    </w:p>
    <w:p>
      <w:pPr>
        <w:spacing w:lineRule="exact" w:line="260" w:before="0" w:after="0"/>
        <w:jc w:val="center"/>
      </w:pPr>
      <w:r>
        <w:rPr>
          <w:rFonts w:ascii="Times New Roman" w:hAnsi="Times New Roman" w:cs="Times New Roman"/>
          <w:b/>
          <w:i w:val="0"/>
          <w:sz w:val="22"/>
        </w:rPr>
        <w:t xml:space="preserve">Gambar 6. </w:t>
      </w:r>
      <w:r>
        <w:rPr>
          <w:rFonts w:ascii="Times New Roman" w:hAnsi="Times New Roman" w:cs="Times New Roman"/>
          <w:b w:val="0"/>
          <w:i w:val="0"/>
          <w:sz w:val="22"/>
        </w:rPr>
        <w:t>Taksonomi earnings management dan tiga mekanisme income smoothing</w:t>
      </w:r>
    </w:p>
    <w:p>
      <w:pPr>
        <w:spacing w:lineRule="exact" w:line="260" w:before="0" w:after="120"/>
        <w:jc w:val="center"/>
      </w:pPr>
      <w:r>
        <w:rPr>
          <w:rFonts w:ascii="Times New Roman" w:hAnsi="Times New Roman" w:cs="Times New Roman"/>
          <w:b w:val="0"/>
          <w:i/>
          <w:sz w:val="22"/>
        </w:rPr>
        <w:t>Sumber: diolah dari Wolk et al. (2017), PDF hlm. 24–28</w:t>
      </w:r>
    </w:p>
    <w:p>
      <w:pPr>
        <w:spacing w:lineRule="exact" w:line="260" w:before="0" w:after="80"/>
        <w:jc w:val="both"/>
      </w:pPr>
      <w:r>
        <w:rPr>
          <w:rFonts w:ascii="Times New Roman" w:hAnsi="Times New Roman" w:cs="Times New Roman"/>
          <w:b w:val="0"/>
          <w:i w:val="0"/>
          <w:sz w:val="24"/>
        </w:rPr>
        <w:t xml:space="preserve">McVay mengidentifikasi bentuk halus </w:t>
      </w:r>
      <w:r>
        <w:rPr>
          <w:rFonts w:ascii="Times New Roman" w:hAnsi="Times New Roman" w:cs="Times New Roman"/>
          <w:b/>
          <w:i w:val="0"/>
          <w:sz w:val="24"/>
        </w:rPr>
        <w:t>pergeseran klasifikasi</w:t>
      </w:r>
      <w:r>
        <w:rPr>
          <w:rFonts w:ascii="Times New Roman" w:hAnsi="Times New Roman" w:cs="Times New Roman"/>
          <w:b w:val="0"/>
          <w:i w:val="0"/>
          <w:sz w:val="24"/>
        </w:rPr>
        <w:t xml:space="preserve"> (</w:t>
      </w:r>
      <w:r>
        <w:rPr>
          <w:rFonts w:ascii="Times New Roman" w:hAnsi="Times New Roman" w:cs="Times New Roman"/>
          <w:b w:val="0"/>
          <w:i/>
          <w:sz w:val="24"/>
        </w:rPr>
        <w:t>classification shifting</w:t>
      </w:r>
      <w:r>
        <w:rPr>
          <w:rFonts w:ascii="Times New Roman" w:hAnsi="Times New Roman" w:cs="Times New Roman"/>
          <w:b w:val="0"/>
          <w:i w:val="0"/>
          <w:sz w:val="24"/>
        </w:rPr>
        <w:t xml:space="preserve">): komponen biaya inti digeser ke segmen bawah laporan laba rugi sehingga marjin laba kotor membaik sementara total laba tetap; contoh anekdotalnya pengajuan SEC Borden Incorporated 1992 ketika </w:t>
      </w:r>
      <w:r>
        <w:rPr>
          <w:rFonts w:ascii="Times New Roman" w:hAnsi="Times New Roman" w:cs="Times New Roman"/>
          <w:b/>
          <w:i w:val="0"/>
          <w:sz w:val="24"/>
        </w:rPr>
        <w:t>US$192 juta</w:t>
      </w:r>
      <w:r>
        <w:rPr>
          <w:rFonts w:ascii="Times New Roman" w:hAnsi="Times New Roman" w:cs="Times New Roman"/>
          <w:b w:val="0"/>
          <w:i w:val="0"/>
          <w:sz w:val="24"/>
        </w:rPr>
        <w:t xml:space="preserve"> beban pemasaran muncul sebagai </w:t>
      </w:r>
      <w:r>
        <w:rPr>
          <w:rFonts w:ascii="Times New Roman" w:hAnsi="Times New Roman" w:cs="Times New Roman"/>
          <w:b w:val="0"/>
          <w:i/>
          <w:sz w:val="24"/>
        </w:rPr>
        <w:t>restructuring charge</w:t>
      </w:r>
      <w:r>
        <w:rPr>
          <w:rFonts w:ascii="Times New Roman" w:hAnsi="Times New Roman" w:cs="Times New Roman"/>
          <w:b w:val="0"/>
          <w:i w:val="0"/>
          <w:sz w:val="24"/>
        </w:rPr>
        <w:t xml:space="preserve"> (Wolk et al., 2017, PDF hlm. 24–25). Beragam motif lain terdokumentasi: Erickson dan Wang menemukan pengakuisisi menaikkan laba sebelum akuisisi saham agar saham yang ditukar berkurang, sementara Wu menemukan laba dimanipulasi turun menjelang </w:t>
      </w:r>
      <w:r>
        <w:rPr>
          <w:rFonts w:ascii="Times New Roman" w:hAnsi="Times New Roman" w:cs="Times New Roman"/>
          <w:b/>
          <w:i w:val="0"/>
          <w:sz w:val="24"/>
        </w:rPr>
        <w:t>management buyout</w:t>
      </w:r>
      <w:r>
        <w:rPr>
          <w:rFonts w:ascii="Times New Roman" w:hAnsi="Times New Roman" w:cs="Times New Roman"/>
          <w:b w:val="0"/>
          <w:i w:val="0"/>
          <w:sz w:val="24"/>
        </w:rPr>
        <w:t xml:space="preserve">—berlawanan dengan DeAngelo yang tidak menemukan understatement. Kasznik menemukan perusahaan yang memberi prakiraan laba sukarela cenderung menaikkan laba dengan menurunkan </w:t>
      </w:r>
      <w:r>
        <w:rPr>
          <w:rFonts w:ascii="Times New Roman" w:hAnsi="Times New Roman" w:cs="Times New Roman"/>
          <w:b/>
          <w:i w:val="0"/>
          <w:sz w:val="24"/>
        </w:rPr>
        <w:t>akrual diskresioner</w:t>
      </w:r>
      <w:r>
        <w:rPr>
          <w:rFonts w:ascii="Times New Roman" w:hAnsi="Times New Roman" w:cs="Times New Roman"/>
          <w:b w:val="0"/>
          <w:i w:val="0"/>
          <w:sz w:val="24"/>
        </w:rPr>
        <w:t xml:space="preserve"> bila prakiraan terlalu tinggi (Wolk et al., 2017, PDF hlm. 25). Deteksinya sukar, namun SEC memandangnya masalah serius. Studi Nelson, Elliott, dan Tarpley—menanyai auditor sebuah firma Big Five—menunjukkan tegangan regulatoris: </w:t>
      </w:r>
      <w:r>
        <w:rPr>
          <w:rFonts w:ascii="Times New Roman" w:hAnsi="Times New Roman" w:cs="Times New Roman"/>
          <w:b/>
          <w:i w:val="0"/>
          <w:sz w:val="24"/>
        </w:rPr>
        <w:t>standar yang tidak presisi</w:t>
      </w:r>
      <w:r>
        <w:rPr>
          <w:rFonts w:ascii="Times New Roman" w:hAnsi="Times New Roman" w:cs="Times New Roman"/>
          <w:b w:val="0"/>
          <w:i w:val="0"/>
          <w:sz w:val="24"/>
        </w:rPr>
        <w:t xml:space="preserve"> mengundang manipulasi cadangan, sedangkan </w:t>
      </w:r>
      <w:r>
        <w:rPr>
          <w:rFonts w:ascii="Times New Roman" w:hAnsi="Times New Roman" w:cs="Times New Roman"/>
          <w:b/>
          <w:i w:val="0"/>
          <w:sz w:val="24"/>
        </w:rPr>
        <w:t>standar yang presisi</w:t>
      </w:r>
      <w:r>
        <w:rPr>
          <w:rFonts w:ascii="Times New Roman" w:hAnsi="Times New Roman" w:cs="Times New Roman"/>
          <w:b w:val="0"/>
          <w:i w:val="0"/>
          <w:sz w:val="24"/>
        </w:rPr>
        <w:t xml:space="preserve"> mengundang penstrukturan transaksi (Wolk et al., 2017, PDF hlm. 25).</w:t>
      </w:r>
    </w:p>
    <w:p>
      <w:pPr>
        <w:spacing w:lineRule="exact" w:line="260" w:before="0" w:after="80"/>
        <w:jc w:val="both"/>
      </w:pPr>
      <w:r>
        <w:rPr>
          <w:rFonts w:ascii="Times New Roman" w:hAnsi="Times New Roman" w:cs="Times New Roman"/>
          <w:b w:val="0"/>
          <w:i w:val="0"/>
          <w:sz w:val="24"/>
        </w:rPr>
        <w:t xml:space="preserve">Wilayah yang paling sering muncul adalah kompensasi manajemen dan perataan laba. Bonus berbasis laba lazimnya memiliki </w:t>
      </w:r>
      <w:r>
        <w:rPr>
          <w:rFonts w:ascii="Times New Roman" w:hAnsi="Times New Roman" w:cs="Times New Roman"/>
          <w:b/>
          <w:i w:val="0"/>
          <w:sz w:val="24"/>
        </w:rPr>
        <w:t>batas atas</w:t>
      </w:r>
      <w:r>
        <w:rPr>
          <w:rFonts w:ascii="Times New Roman" w:hAnsi="Times New Roman" w:cs="Times New Roman"/>
          <w:b w:val="0"/>
          <w:i w:val="0"/>
          <w:sz w:val="24"/>
        </w:rPr>
        <w:t xml:space="preserve"> (</w:t>
      </w:r>
      <w:r>
        <w:rPr>
          <w:rFonts w:ascii="Times New Roman" w:hAnsi="Times New Roman" w:cs="Times New Roman"/>
          <w:b w:val="0"/>
          <w:i/>
          <w:sz w:val="24"/>
        </w:rPr>
        <w:t>ceiling</w:t>
      </w:r>
      <w:r>
        <w:rPr>
          <w:rFonts w:ascii="Times New Roman" w:hAnsi="Times New Roman" w:cs="Times New Roman"/>
          <w:b w:val="0"/>
          <w:i w:val="0"/>
          <w:sz w:val="24"/>
        </w:rPr>
        <w:t xml:space="preserve">) dan </w:t>
      </w:r>
      <w:r>
        <w:rPr>
          <w:rFonts w:ascii="Times New Roman" w:hAnsi="Times New Roman" w:cs="Times New Roman"/>
          <w:b/>
          <w:i w:val="0"/>
          <w:sz w:val="24"/>
        </w:rPr>
        <w:t>batas bawah</w:t>
      </w:r>
      <w:r>
        <w:rPr>
          <w:rFonts w:ascii="Times New Roman" w:hAnsi="Times New Roman" w:cs="Times New Roman"/>
          <w:b w:val="0"/>
          <w:i w:val="0"/>
          <w:sz w:val="24"/>
        </w:rPr>
        <w:t xml:space="preserve"> (</w:t>
      </w:r>
      <w:r>
        <w:rPr>
          <w:rFonts w:ascii="Times New Roman" w:hAnsi="Times New Roman" w:cs="Times New Roman"/>
          <w:b w:val="0"/>
          <w:i/>
          <w:sz w:val="24"/>
        </w:rPr>
        <w:t>floor</w:t>
      </w:r>
      <w:r>
        <w:rPr>
          <w:rFonts w:ascii="Times New Roman" w:hAnsi="Times New Roman" w:cs="Times New Roman"/>
          <w:b w:val="0"/>
          <w:i w:val="0"/>
          <w:sz w:val="24"/>
        </w:rPr>
        <w:t xml:space="preserve">)—di antara keduanya bonus adalah persentase laba, di atas plafon bonus maksimal, dan di bawah lantai tak ada bonus (Wolk et al., 2017, PDF hlm. 26). Healy, dalam studi yang kerap dikutip, menemukan bahwa di atas plafon dan di bawah lantai, laba </w:t>
      </w:r>
      <w:r>
        <w:rPr>
          <w:rFonts w:ascii="Times New Roman" w:hAnsi="Times New Roman" w:cs="Times New Roman"/>
          <w:b/>
          <w:i w:val="0"/>
          <w:sz w:val="24"/>
        </w:rPr>
        <w:t>ditangguhkan</w:t>
      </w:r>
      <w:r>
        <w:rPr>
          <w:rFonts w:ascii="Times New Roman" w:hAnsi="Times New Roman" w:cs="Times New Roman"/>
          <w:b w:val="0"/>
          <w:i w:val="0"/>
          <w:sz w:val="24"/>
        </w:rPr>
        <w:t xml:space="preserve"> ke periode berikut melalui akrual akhir tahun. </w:t>
      </w:r>
      <w:r>
        <w:rPr>
          <w:rFonts w:ascii="Times New Roman" w:hAnsi="Times New Roman" w:cs="Times New Roman"/>
          <w:b/>
          <w:i w:val="0"/>
          <w:sz w:val="24"/>
        </w:rPr>
        <w:t>Akrual diskresioner</w:t>
      </w:r>
      <w:r>
        <w:rPr>
          <w:rFonts w:ascii="Times New Roman" w:hAnsi="Times New Roman" w:cs="Times New Roman"/>
          <w:b w:val="0"/>
          <w:i w:val="0"/>
          <w:sz w:val="24"/>
        </w:rPr>
        <w:t xml:space="preserve"> (</w:t>
      </w:r>
      <w:r>
        <w:rPr>
          <w:rFonts w:ascii="Times New Roman" w:hAnsi="Times New Roman" w:cs="Times New Roman"/>
          <w:b w:val="0"/>
          <w:i/>
          <w:sz w:val="24"/>
        </w:rPr>
        <w:t>discretionary accruals</w:t>
      </w:r>
      <w:r>
        <w:rPr>
          <w:rFonts w:ascii="Times New Roman" w:hAnsi="Times New Roman" w:cs="Times New Roman"/>
          <w:b w:val="0"/>
          <w:i w:val="0"/>
          <w:sz w:val="24"/>
        </w:rPr>
        <w:t xml:space="preserve">)—seperti beban piutang tak tertagih, penambahan produksi untuk menyerap overhead manufaktur tetap, dan estimasi beban garansi—dapat dikendalikan jangka pendek tetapi sulit dibedakan dari </w:t>
      </w:r>
      <w:r>
        <w:rPr>
          <w:rFonts w:ascii="Times New Roman" w:hAnsi="Times New Roman" w:cs="Times New Roman"/>
          <w:b/>
          <w:i w:val="0"/>
          <w:sz w:val="24"/>
        </w:rPr>
        <w:t>akrual nondiskresioner</w:t>
      </w:r>
      <w:r>
        <w:rPr>
          <w:rFonts w:ascii="Times New Roman" w:hAnsi="Times New Roman" w:cs="Times New Roman"/>
          <w:b w:val="0"/>
          <w:i w:val="0"/>
          <w:sz w:val="24"/>
        </w:rPr>
        <w:t>; di luar itu ada pengendalian biaya riil seperti iklan dan litbang (Wolk et al., 2017, PDF hlm. 26).</w:t>
      </w:r>
    </w:p>
    <w:p>
      <w:pPr>
        <w:spacing w:lineRule="exact" w:line="260" w:before="0" w:after="80"/>
        <w:jc w:val="both"/>
      </w:pPr>
      <w:r>
        <w:rPr>
          <w:rFonts w:ascii="Times New Roman" w:hAnsi="Times New Roman" w:cs="Times New Roman"/>
          <w:b/>
          <w:i w:val="0"/>
          <w:sz w:val="24"/>
        </w:rPr>
        <w:t>Perataan laba</w:t>
      </w:r>
      <w:r>
        <w:rPr>
          <w:rFonts w:ascii="Times New Roman" w:hAnsi="Times New Roman" w:cs="Times New Roman"/>
          <w:b w:val="0"/>
          <w:i w:val="0"/>
          <w:sz w:val="24"/>
        </w:rPr>
        <w:t xml:space="preserve"> (</w:t>
      </w:r>
      <w:r>
        <w:rPr>
          <w:rFonts w:ascii="Times New Roman" w:hAnsi="Times New Roman" w:cs="Times New Roman"/>
          <w:b w:val="0"/>
          <w:i/>
          <w:sz w:val="24"/>
        </w:rPr>
        <w:t>income smoothing</w:t>
      </w:r>
      <w:r>
        <w:rPr>
          <w:rFonts w:ascii="Times New Roman" w:hAnsi="Times New Roman" w:cs="Times New Roman"/>
          <w:b w:val="0"/>
          <w:i w:val="0"/>
          <w:sz w:val="24"/>
        </w:rPr>
        <w:t xml:space="preserve">) bertumpu pada hipotesis bahwa aliran laba lebih stabil menghasilkan </w:t>
      </w:r>
      <w:r>
        <w:rPr>
          <w:rFonts w:ascii="Times New Roman" w:hAnsi="Times New Roman" w:cs="Times New Roman"/>
          <w:b/>
          <w:i w:val="0"/>
          <w:sz w:val="24"/>
        </w:rPr>
        <w:t>penilaian perusahaan</w:t>
      </w:r>
      <w:r>
        <w:rPr>
          <w:rFonts w:ascii="Times New Roman" w:hAnsi="Times New Roman" w:cs="Times New Roman"/>
          <w:b w:val="0"/>
          <w:i w:val="0"/>
          <w:sz w:val="24"/>
        </w:rPr>
        <w:t xml:space="preserve"> (</w:t>
      </w:r>
      <w:r>
        <w:rPr>
          <w:rFonts w:ascii="Times New Roman" w:hAnsi="Times New Roman" w:cs="Times New Roman"/>
          <w:b w:val="0"/>
          <w:i/>
          <w:sz w:val="24"/>
        </w:rPr>
        <w:t>firm valuation</w:t>
      </w:r>
      <w:r>
        <w:rPr>
          <w:rFonts w:ascii="Times New Roman" w:hAnsi="Times New Roman" w:cs="Times New Roman"/>
          <w:b w:val="0"/>
          <w:i w:val="0"/>
          <w:sz w:val="24"/>
        </w:rPr>
        <w:t xml:space="preserve">) lebih tinggi—mengandaikan pasar saham naif; alternatifnya, Ronen dan Sadan menafsirkannya sebagai upaya </w:t>
      </w:r>
      <w:r>
        <w:rPr>
          <w:rFonts w:ascii="Times New Roman" w:hAnsi="Times New Roman" w:cs="Times New Roman"/>
          <w:b/>
          <w:i w:val="0"/>
          <w:sz w:val="24"/>
        </w:rPr>
        <w:t>memfasilitasi prediksi</w:t>
      </w:r>
      <w:r>
        <w:rPr>
          <w:rFonts w:ascii="Times New Roman" w:hAnsi="Times New Roman" w:cs="Times New Roman"/>
          <w:b w:val="0"/>
          <w:i w:val="0"/>
          <w:sz w:val="24"/>
        </w:rPr>
        <w:t xml:space="preserve"> arus kas masa depan oleh pihak luar (Wolk et al., 2017, PDF hlm. 26). Perataan dicapai melalui tiga mekanisme: </w:t>
      </w:r>
      <w:r>
        <w:rPr>
          <w:rFonts w:ascii="Times New Roman" w:hAnsi="Times New Roman" w:cs="Times New Roman"/>
          <w:b/>
          <w:i w:val="0"/>
          <w:sz w:val="24"/>
        </w:rPr>
        <w:t>pengaturan waktu transaksi</w:t>
      </w:r>
      <w:r>
        <w:rPr>
          <w:rFonts w:ascii="Times New Roman" w:hAnsi="Times New Roman" w:cs="Times New Roman"/>
          <w:b w:val="0"/>
          <w:i w:val="0"/>
          <w:sz w:val="24"/>
        </w:rPr>
        <w:t xml:space="preserve"> (paling langsung), </w:t>
      </w:r>
      <w:r>
        <w:rPr>
          <w:rFonts w:ascii="Times New Roman" w:hAnsi="Times New Roman" w:cs="Times New Roman"/>
          <w:b/>
          <w:i w:val="0"/>
          <w:sz w:val="24"/>
        </w:rPr>
        <w:t>pemilihan metode alokasi</w:t>
      </w:r>
      <w:r>
        <w:rPr>
          <w:rFonts w:ascii="Times New Roman" w:hAnsi="Times New Roman" w:cs="Times New Roman"/>
          <w:b w:val="0"/>
          <w:i w:val="0"/>
          <w:sz w:val="24"/>
        </w:rPr>
        <w:t xml:space="preserve">, dan </w:t>
      </w:r>
      <w:r>
        <w:rPr>
          <w:rFonts w:ascii="Times New Roman" w:hAnsi="Times New Roman" w:cs="Times New Roman"/>
          <w:b/>
          <w:i w:val="0"/>
          <w:sz w:val="24"/>
        </w:rPr>
        <w:t>perataan klasifikatori</w:t>
      </w:r>
      <w:r>
        <w:rPr>
          <w:rFonts w:ascii="Times New Roman" w:hAnsi="Times New Roman" w:cs="Times New Roman"/>
          <w:b w:val="0"/>
          <w:i w:val="0"/>
          <w:sz w:val="24"/>
        </w:rPr>
        <w:t xml:space="preserve"> antara laba operasi dan nonoperasi—yang setelah APB Opinion No. 30 nyaris tak menyisakan diskresi (Wolk et al., 2017, PDF hlm. 27). Chaney dan Jeter menemukan perusahaan perata cenderung lebih besar dengan akrual diskresioner absolut lebih besar, sementara DeFond dan Park menemukan pola "</w:t>
      </w:r>
      <w:r>
        <w:rPr>
          <w:rFonts w:ascii="Times New Roman" w:hAnsi="Times New Roman" w:cs="Times New Roman"/>
          <w:b/>
          <w:i w:val="0"/>
          <w:sz w:val="24"/>
        </w:rPr>
        <w:t>meminjam</w:t>
      </w:r>
      <w:r>
        <w:rPr>
          <w:rFonts w:ascii="Times New Roman" w:hAnsi="Times New Roman" w:cs="Times New Roman"/>
          <w:b w:val="0"/>
          <w:i w:val="0"/>
          <w:sz w:val="24"/>
        </w:rPr>
        <w:t>" laba dari masa depan saat laba kini buruk dan "</w:t>
      </w:r>
      <w:r>
        <w:rPr>
          <w:rFonts w:ascii="Times New Roman" w:hAnsi="Times New Roman" w:cs="Times New Roman"/>
          <w:b/>
          <w:i w:val="0"/>
          <w:sz w:val="24"/>
        </w:rPr>
        <w:t>menyimpan</w:t>
      </w:r>
      <w:r>
        <w:rPr>
          <w:rFonts w:ascii="Times New Roman" w:hAnsi="Times New Roman" w:cs="Times New Roman"/>
          <w:b w:val="0"/>
          <w:i w:val="0"/>
          <w:sz w:val="24"/>
        </w:rPr>
        <w:t xml:space="preserve">" laba saat prospek suram. Namun literatur ini menyimpan tiga masalah: motivasi perataan tidak cukup tegas untuk memprediksi rupa laba teratakan, laba </w:t>
      </w:r>
      <w:r>
        <w:rPr>
          <w:rFonts w:ascii="Times New Roman" w:hAnsi="Times New Roman" w:cs="Times New Roman"/>
          <w:b/>
          <w:i w:val="0"/>
          <w:sz w:val="24"/>
        </w:rPr>
        <w:t>tak teratakan</w:t>
      </w:r>
      <w:r>
        <w:rPr>
          <w:rFonts w:ascii="Times New Roman" w:hAnsi="Times New Roman" w:cs="Times New Roman"/>
          <w:b w:val="0"/>
          <w:i w:val="0"/>
          <w:sz w:val="24"/>
        </w:rPr>
        <w:t xml:space="preserve"> tidak dapat dihitung, dan inflasi menimbulkan drift naik yang melebih-lebihkan perataan (Wolk et al., 2017, PDF hlm. 27). Studi </w:t>
      </w:r>
      <w:r>
        <w:rPr>
          <w:rFonts w:ascii="Times New Roman" w:hAnsi="Times New Roman" w:cs="Times New Roman"/>
          <w:b w:val="0"/>
          <w:i/>
          <w:sz w:val="24"/>
        </w:rPr>
        <w:t>time-series</w:t>
      </w:r>
      <w:r>
        <w:rPr>
          <w:rFonts w:ascii="Times New Roman" w:hAnsi="Times New Roman" w:cs="Times New Roman"/>
          <w:b w:val="0"/>
          <w:i w:val="0"/>
          <w:sz w:val="24"/>
        </w:rPr>
        <w:t xml:space="preserve"> mendeskripsikan laba sebagai </w:t>
      </w:r>
      <w:r>
        <w:rPr>
          <w:rFonts w:ascii="Times New Roman" w:hAnsi="Times New Roman" w:cs="Times New Roman"/>
          <w:b/>
          <w:i w:val="0"/>
          <w:sz w:val="24"/>
        </w:rPr>
        <w:t>random walk</w:t>
      </w:r>
      <w:r>
        <w:rPr>
          <w:rFonts w:ascii="Times New Roman" w:hAnsi="Times New Roman" w:cs="Times New Roman"/>
          <w:b w:val="0"/>
          <w:i w:val="0"/>
          <w:sz w:val="24"/>
        </w:rPr>
        <w:t xml:space="preserve"> dengan sedikit drift naik—prediksi terbaik laba kini adalah laba periode lalu—dan ini </w:t>
      </w:r>
      <w:r>
        <w:rPr>
          <w:rFonts w:ascii="Times New Roman" w:hAnsi="Times New Roman" w:cs="Times New Roman"/>
          <w:b/>
          <w:i w:val="0"/>
          <w:sz w:val="24"/>
        </w:rPr>
        <w:t>tidak mendukung</w:t>
      </w:r>
      <w:r>
        <w:rPr>
          <w:rFonts w:ascii="Times New Roman" w:hAnsi="Times New Roman" w:cs="Times New Roman"/>
          <w:b w:val="0"/>
          <w:i w:val="0"/>
          <w:sz w:val="24"/>
        </w:rPr>
        <w:t xml:space="preserve"> hipotesis perataan, sebab jika perataan masif, model rata-rata bergerak semestinya mengungguli random walk (Wolk et al., 2017, PDF hlm. 27). Dengan demikian, manajemen laba dan perataan menutup pembahasan kualitas pengukuran laba sekaligus menyiapkan Bagian XII tentang pengakuan dan penyajiannya.</w:t>
      </w:r>
    </w:p>
    <w:p>
      <w:pPr>
        <w:spacing w:lineRule="exact" w:line="260" w:before="120" w:after="80"/>
        <w:jc w:val="left"/>
      </w:pPr>
      <w:r>
        <w:rPr>
          <w:rFonts w:ascii="Times New Roman" w:hAnsi="Times New Roman" w:cs="Times New Roman"/>
          <w:b/>
          <w:i w:val="0"/>
          <w:sz w:val="26"/>
        </w:rPr>
        <w:t>XII. Perkembangan dalam Income Statement</w:t>
      </w:r>
    </w:p>
    <w:p>
      <w:pPr>
        <w:spacing w:lineRule="exact" w:line="260" w:before="0" w:after="80"/>
        <w:jc w:val="both"/>
      </w:pPr>
      <w:r>
        <w:rPr>
          <w:rFonts w:ascii="Times New Roman" w:hAnsi="Times New Roman" w:cs="Times New Roman"/>
          <w:b w:val="0"/>
          <w:i w:val="0"/>
          <w:sz w:val="24"/>
        </w:rPr>
        <w:t>Sejumlah perkembangan terbaru mengangkat kembali ketegangan klasik antara tujuan prediktif dan keandalan pengukuran laba (Wolk et al., 2017, PDF hlm. 28).</w:t>
      </w:r>
    </w:p>
    <w:p>
      <w:pPr>
        <w:spacing w:lineRule="exact" w:line="260" w:before="80" w:after="40"/>
        <w:jc w:val="left"/>
      </w:pPr>
      <w:r>
        <w:rPr>
          <w:rFonts w:ascii="Times New Roman" w:hAnsi="Times New Roman" w:cs="Times New Roman"/>
          <w:b/>
          <w:i/>
          <w:sz w:val="24"/>
        </w:rPr>
        <w:t>Cash Earnings</w:t>
      </w:r>
    </w:p>
    <w:p>
      <w:pPr>
        <w:spacing w:lineRule="exact" w:line="260" w:before="0" w:after="80"/>
        <w:jc w:val="both"/>
      </w:pPr>
      <w:r>
        <w:rPr>
          <w:rFonts w:ascii="Times New Roman" w:hAnsi="Times New Roman" w:cs="Times New Roman"/>
          <w:b w:val="0"/>
          <w:i w:val="0"/>
          <w:sz w:val="24"/>
        </w:rPr>
        <w:t xml:space="preserve">Howell mengusulkan laporan laba rugi digantikan laporan operasi berbasis </w:t>
      </w:r>
      <w:r>
        <w:rPr>
          <w:rFonts w:ascii="Times New Roman" w:hAnsi="Times New Roman" w:cs="Times New Roman"/>
          <w:b/>
          <w:i w:val="0"/>
          <w:sz w:val="24"/>
        </w:rPr>
        <w:t>cash earnings</w:t>
      </w:r>
      <w:r>
        <w:rPr>
          <w:rFonts w:ascii="Times New Roman" w:hAnsi="Times New Roman" w:cs="Times New Roman"/>
          <w:b w:val="0"/>
          <w:i w:val="0"/>
          <w:sz w:val="24"/>
        </w:rPr>
        <w:t xml:space="preserve">: </w:t>
      </w:r>
      <w:r>
        <w:rPr>
          <w:rFonts w:ascii="Times New Roman" w:hAnsi="Times New Roman" w:cs="Times New Roman"/>
          <w:b w:val="0"/>
          <w:i/>
          <w:sz w:val="24"/>
        </w:rPr>
        <w:t>operating income</w:t>
      </w:r>
      <w:r>
        <w:rPr>
          <w:rFonts w:ascii="Times New Roman" w:hAnsi="Times New Roman" w:cs="Times New Roman"/>
          <w:b w:val="0"/>
          <w:i w:val="0"/>
          <w:sz w:val="24"/>
        </w:rPr>
        <w:t xml:space="preserve"> berupa pendapatan tunai dikurangi arus kas keluar operasi, lalu beban dan akrual nonkas—</w:t>
      </w:r>
      <w:r>
        <w:rPr>
          <w:rFonts w:ascii="Times New Roman" w:hAnsi="Times New Roman" w:cs="Times New Roman"/>
          <w:b/>
          <w:i w:val="0"/>
          <w:sz w:val="24"/>
        </w:rPr>
        <w:t>depresiasi</w:t>
      </w:r>
      <w:r>
        <w:rPr>
          <w:rFonts w:ascii="Times New Roman" w:hAnsi="Times New Roman" w:cs="Times New Roman"/>
          <w:b w:val="0"/>
          <w:i w:val="0"/>
          <w:sz w:val="24"/>
        </w:rPr>
        <w:t xml:space="preserve">, amortisasi, keuntungan dan kerugian—dikurangkan untuk sampai pada "cash earnings", penamaan kurang tepat karena unsur nonkas tetap dikurangkan. Beban bunga diperlakukan sebagai </w:t>
      </w:r>
      <w:r>
        <w:rPr>
          <w:rFonts w:ascii="Times New Roman" w:hAnsi="Times New Roman" w:cs="Times New Roman"/>
          <w:b w:val="0"/>
          <w:i/>
          <w:sz w:val="24"/>
        </w:rPr>
        <w:t>financing cost</w:t>
      </w:r>
      <w:r>
        <w:rPr>
          <w:rFonts w:ascii="Times New Roman" w:hAnsi="Times New Roman" w:cs="Times New Roman"/>
          <w:b w:val="0"/>
          <w:i w:val="0"/>
          <w:sz w:val="24"/>
        </w:rPr>
        <w:t xml:space="preserve">, sehingga </w:t>
      </w:r>
      <w:r>
        <w:rPr>
          <w:rFonts w:ascii="Times New Roman" w:hAnsi="Times New Roman" w:cs="Times New Roman"/>
          <w:b w:val="0"/>
          <w:i/>
          <w:sz w:val="24"/>
        </w:rPr>
        <w:t>operating income</w:t>
      </w:r>
      <w:r>
        <w:rPr>
          <w:rFonts w:ascii="Times New Roman" w:hAnsi="Times New Roman" w:cs="Times New Roman"/>
          <w:b w:val="0"/>
          <w:i w:val="0"/>
          <w:sz w:val="24"/>
        </w:rPr>
        <w:t xml:space="preserve"> sejalan dengan bagian pertama </w:t>
      </w:r>
      <w:r>
        <w:rPr>
          <w:rFonts w:ascii="Times New Roman" w:hAnsi="Times New Roman" w:cs="Times New Roman"/>
          <w:b w:val="0"/>
          <w:i/>
          <w:sz w:val="24"/>
        </w:rPr>
        <w:t>statement of cash flows</w:t>
      </w:r>
      <w:r>
        <w:rPr>
          <w:rFonts w:ascii="Times New Roman" w:hAnsi="Times New Roman" w:cs="Times New Roman"/>
          <w:b w:val="0"/>
          <w:i w:val="0"/>
          <w:sz w:val="24"/>
        </w:rPr>
        <w:t xml:space="preserve"> (Wolk et al., 2017, PDF hlm. 28). Para penulis menyepakati penekanan pada arus kas, tetapi akrual tetap relevan untuk memprediksi laba masa depan; jalan lebih baik bukan membuangnya, melainkan menyempurnakan metode penghapusan aset jangka panjang yang terlampau fleksibel—usulan Howell dipandang terlalu mahal (Wolk et al., 2017, PDF hlm. 28).</w:t>
      </w:r>
    </w:p>
    <w:p>
      <w:pPr>
        <w:spacing w:lineRule="exact" w:line="260" w:before="80" w:after="40"/>
        <w:jc w:val="left"/>
      </w:pPr>
      <w:r>
        <w:rPr>
          <w:rFonts w:ascii="Times New Roman" w:hAnsi="Times New Roman" w:cs="Times New Roman"/>
          <w:b/>
          <w:i/>
          <w:sz w:val="24"/>
        </w:rPr>
        <w:t>Pro Forma Earnings</w:t>
      </w:r>
    </w:p>
    <w:p>
      <w:pPr>
        <w:spacing w:lineRule="exact" w:line="260" w:before="0" w:after="80"/>
        <w:jc w:val="both"/>
      </w:pPr>
      <w:r>
        <w:rPr>
          <w:rFonts w:ascii="Times New Roman" w:hAnsi="Times New Roman" w:cs="Times New Roman"/>
          <w:b/>
          <w:i w:val="0"/>
          <w:sz w:val="24"/>
        </w:rPr>
        <w:t>Pro forma earnings</w:t>
      </w:r>
      <w:r>
        <w:rPr>
          <w:rFonts w:ascii="Times New Roman" w:hAnsi="Times New Roman" w:cs="Times New Roman"/>
          <w:b w:val="0"/>
          <w:i w:val="0"/>
          <w:sz w:val="24"/>
        </w:rPr>
        <w:t xml:space="preserve"> adalah ukuran pelengkap atas laba GAAP bagi analis; rasionalnya prediktif, mengeluarkan peristiwa sekali waktu. Sayangnya manajemen kerap menyalahgunakannya untuk menyingkirkan </w:t>
      </w:r>
      <w:r>
        <w:rPr>
          <w:rFonts w:ascii="Times New Roman" w:hAnsi="Times New Roman" w:cs="Times New Roman"/>
          <w:b w:val="0"/>
          <w:i/>
          <w:sz w:val="24"/>
        </w:rPr>
        <w:t>bad news</w:t>
      </w:r>
      <w:r>
        <w:rPr>
          <w:rFonts w:ascii="Times New Roman" w:hAnsi="Times New Roman" w:cs="Times New Roman"/>
          <w:b w:val="0"/>
          <w:i w:val="0"/>
          <w:sz w:val="24"/>
        </w:rPr>
        <w:t xml:space="preserve"> sambil mempertahankan unsur menguntungkan, sehingga laporan bias (Wolk et al., 2017, PDF hlm. 28–29). Keadaan berubah ketika SEC memberi saran kehati-hatian pada 2001 dan menerbitkan </w:t>
      </w:r>
      <w:r>
        <w:rPr>
          <w:rFonts w:ascii="Times New Roman" w:hAnsi="Times New Roman" w:cs="Times New Roman"/>
          <w:b/>
          <w:i w:val="0"/>
          <w:sz w:val="24"/>
        </w:rPr>
        <w:t>Regulation G</w:t>
      </w:r>
      <w:r>
        <w:rPr>
          <w:rFonts w:ascii="Times New Roman" w:hAnsi="Times New Roman" w:cs="Times New Roman"/>
          <w:b w:val="0"/>
          <w:i w:val="0"/>
          <w:sz w:val="24"/>
        </w:rPr>
        <w:t xml:space="preserve"> pada 2002, yang mensyaratkan informasi GAAP disajikan dengan keutamaan setara informasi non-GAAP serta menuntut rekonsiliasi pro forma terhadap laba GAAP—sejak itu pelaporannya membaik (Wolk et al., 2017, PDF hlm. 29).</w:t>
      </w:r>
    </w:p>
    <w:p>
      <w:pPr>
        <w:spacing w:lineRule="exact" w:line="260" w:before="80" w:after="40"/>
        <w:jc w:val="left"/>
      </w:pPr>
      <w:r>
        <w:rPr>
          <w:rFonts w:ascii="Times New Roman" w:hAnsi="Times New Roman" w:cs="Times New Roman"/>
          <w:b/>
          <w:i/>
          <w:sz w:val="24"/>
        </w:rPr>
        <w:t>Laporan G4+1 dan Pendekatan Matrix</w:t>
      </w:r>
    </w:p>
    <w:p>
      <w:pPr>
        <w:spacing w:lineRule="exact" w:line="260" w:before="0" w:after="80"/>
        <w:jc w:val="both"/>
      </w:pPr>
      <w:r>
        <w:rPr>
          <w:rFonts w:ascii="Times New Roman" w:hAnsi="Times New Roman" w:cs="Times New Roman"/>
          <w:b w:val="0"/>
          <w:i w:val="0"/>
          <w:sz w:val="24"/>
        </w:rPr>
        <w:t xml:space="preserve">Laporan </w:t>
      </w:r>
      <w:r>
        <w:rPr>
          <w:rFonts w:ascii="Times New Roman" w:hAnsi="Times New Roman" w:cs="Times New Roman"/>
          <w:b/>
          <w:i w:val="0"/>
          <w:sz w:val="24"/>
        </w:rPr>
        <w:t>G4+1</w:t>
      </w:r>
      <w:r>
        <w:rPr>
          <w:rFonts w:ascii="Times New Roman" w:hAnsi="Times New Roman" w:cs="Times New Roman"/>
          <w:b w:val="0"/>
          <w:i w:val="0"/>
          <w:sz w:val="24"/>
        </w:rPr>
        <w:t xml:space="preserve"> menempuh arah berseberangan namun bertujuan sama, mengusulkan satu laporan laba rugi tunggal dengan tiga komponen—hasil aktivitas operasi/perdagangan; hasil aktivitas pendanaan dan </w:t>
      </w:r>
      <w:r>
        <w:rPr>
          <w:rFonts w:ascii="Times New Roman" w:hAnsi="Times New Roman" w:cs="Times New Roman"/>
          <w:b w:val="0"/>
          <w:i/>
          <w:sz w:val="24"/>
        </w:rPr>
        <w:t>treasury</w:t>
      </w:r>
      <w:r>
        <w:rPr>
          <w:rFonts w:ascii="Times New Roman" w:hAnsi="Times New Roman" w:cs="Times New Roman"/>
          <w:b w:val="0"/>
          <w:i w:val="0"/>
          <w:sz w:val="24"/>
        </w:rPr>
        <w:t xml:space="preserve">; serta keuntungan dan kerugian lain-lain—demi </w:t>
      </w:r>
      <w:r>
        <w:rPr>
          <w:rFonts w:ascii="Times New Roman" w:hAnsi="Times New Roman" w:cs="Times New Roman"/>
          <w:b/>
          <w:i w:val="0"/>
          <w:sz w:val="24"/>
        </w:rPr>
        <w:t>*earnings sustainability</w:t>
      </w:r>
      <w:r>
        <w:rPr>
          <w:rFonts w:ascii="Times New Roman" w:hAnsi="Times New Roman" w:cs="Times New Roman"/>
          <w:b w:val="0"/>
          <w:i/>
          <w:sz w:val="24"/>
        </w:rPr>
        <w:t xml:space="preserve"> yang memisahkan unsur permanen dari transitori, meski restrukturisasi sulit diklasifikasikan (Wolk et al., 2017, PDF hlm. 29). Barker menempuh orientasi serupa lewat format </w:t>
      </w:r>
      <w:r>
        <w:rPr>
          <w:rFonts w:ascii="Times New Roman" w:hAnsi="Times New Roman" w:cs="Times New Roman"/>
          <w:b w:val="0"/>
          <w:i/>
          <w:sz w:val="24"/>
        </w:rPr>
        <w:t>matrix</w:t>
      </w:r>
      <w:r>
        <w:rPr>
          <w:rFonts w:ascii="Times New Roman" w:hAnsi="Times New Roman" w:cs="Times New Roman"/>
          <w:b w:val="0"/>
          <w:i/>
          <w:sz w:val="24"/>
        </w:rPr>
        <w:t xml:space="preserve">, memisahkan kolom keberlanjutan dari kolom </w:t>
      </w:r>
      <w:r>
        <w:rPr>
          <w:rFonts w:ascii="Times New Roman" w:hAnsi="Times New Roman" w:cs="Times New Roman"/>
          <w:b/>
          <w:i w:val="0"/>
          <w:sz w:val="24"/>
        </w:rPr>
        <w:t>remeasurement</w:t>
      </w:r>
      <w:r>
        <w:rPr>
          <w:rFonts w:ascii="Times New Roman" w:hAnsi="Times New Roman" w:cs="Times New Roman"/>
          <w:b w:val="0"/>
          <w:i/>
          <w:sz w:val="24"/>
        </w:rPr>
        <w:t xml:space="preserve"> (pos tidak berulang seperti perubahan nilai wajar). Glover et al. menawarkan matrix berbasis distingsi </w:t>
      </w:r>
      <w:r>
        <w:rPr>
          <w:rFonts w:ascii="Times New Roman" w:hAnsi="Times New Roman" w:cs="Times New Roman"/>
          <w:b/>
          <w:i w:val="0"/>
          <w:sz w:val="24"/>
        </w:rPr>
        <w:t>fact versus forecast</w:t>
      </w:r>
      <w:r>
        <w:rPr>
          <w:rFonts w:ascii="Times New Roman" w:hAnsi="Times New Roman" w:cs="Times New Roman"/>
          <w:b w:val="0"/>
          <w:i/>
          <w:sz w:val="24"/>
        </w:rPr>
        <w:t xml:space="preserve">, namun mengakui kesulitannya pada nilai wajar. Dari keduanya, distingsi </w:t>
      </w:r>
      <w:r>
        <w:rPr>
          <w:rFonts w:ascii="Times New Roman" w:hAnsi="Times New Roman" w:cs="Times New Roman"/>
          <w:b w:val="0"/>
          <w:i w:val="0"/>
          <w:sz w:val="24"/>
        </w:rPr>
        <w:t>recurring–nonrecurring* dinilai paling menjanjikan (Wolk et al., 2017, PDF hlm. 29–30).</w:t>
      </w:r>
    </w:p>
    <w:p>
      <w:pPr>
        <w:spacing w:lineRule="exact" w:line="260" w:before="80" w:after="40"/>
        <w:jc w:val="left"/>
      </w:pPr>
      <w:r>
        <w:rPr>
          <w:rFonts w:ascii="Times New Roman" w:hAnsi="Times New Roman" w:cs="Times New Roman"/>
          <w:b/>
          <w:i/>
          <w:sz w:val="24"/>
        </w:rPr>
        <w:t>Retrospective Reports, Quality of Earnings, dan Restatements</w:t>
      </w:r>
    </w:p>
    <w:p>
      <w:pPr>
        <w:spacing w:lineRule="exact" w:line="260" w:before="0" w:after="80"/>
        <w:jc w:val="both"/>
      </w:pPr>
      <w:r>
        <w:rPr>
          <w:rFonts w:ascii="Times New Roman" w:hAnsi="Times New Roman" w:cs="Times New Roman"/>
          <w:b w:val="0"/>
          <w:i w:val="0"/>
          <w:sz w:val="24"/>
        </w:rPr>
        <w:t xml:space="preserve">Lundholm mengusulkan </w:t>
      </w:r>
      <w:r>
        <w:rPr>
          <w:rFonts w:ascii="Times New Roman" w:hAnsi="Times New Roman" w:cs="Times New Roman"/>
          <w:b/>
          <w:i w:val="0"/>
          <w:sz w:val="24"/>
        </w:rPr>
        <w:t>retrospective reports</w:t>
      </w:r>
      <w:r>
        <w:rPr>
          <w:rFonts w:ascii="Times New Roman" w:hAnsi="Times New Roman" w:cs="Times New Roman"/>
          <w:b w:val="0"/>
          <w:i w:val="0"/>
          <w:sz w:val="24"/>
        </w:rPr>
        <w:t xml:space="preserve">, yakni pelaporan akurasi </w:t>
      </w:r>
      <w:r>
        <w:rPr>
          <w:rFonts w:ascii="Times New Roman" w:hAnsi="Times New Roman" w:cs="Times New Roman"/>
          <w:b w:val="0"/>
          <w:i/>
          <w:sz w:val="24"/>
        </w:rPr>
        <w:t>ex post</w:t>
      </w:r>
      <w:r>
        <w:rPr>
          <w:rFonts w:ascii="Times New Roman" w:hAnsi="Times New Roman" w:cs="Times New Roman"/>
          <w:b w:val="0"/>
          <w:i w:val="0"/>
          <w:sz w:val="24"/>
        </w:rPr>
        <w:t xml:space="preserve"> atas estimasi demi akuntabilitas manajemen, meski terkendala akrual yang baru tuntas lebih dari satu tahun (Wolk et al., 2017, PDF hlm. 30). Istilah </w:t>
      </w:r>
      <w:r>
        <w:rPr>
          <w:rFonts w:ascii="Times New Roman" w:hAnsi="Times New Roman" w:cs="Times New Roman"/>
          <w:b/>
          <w:i w:val="0"/>
          <w:sz w:val="24"/>
        </w:rPr>
        <w:t>*quality of earnings</w:t>
      </w:r>
      <w:r>
        <w:rPr>
          <w:rFonts w:ascii="Times New Roman" w:hAnsi="Times New Roman" w:cs="Times New Roman"/>
          <w:b w:val="0"/>
          <w:i/>
          <w:sz w:val="24"/>
        </w:rPr>
        <w:t xml:space="preserve"> bermakna ganda: laba yang berkelanjutan, dan kebalikan dari </w:t>
      </w:r>
      <w:r>
        <w:rPr>
          <w:rFonts w:ascii="Times New Roman" w:hAnsi="Times New Roman" w:cs="Times New Roman"/>
          <w:b w:val="0"/>
          <w:i w:val="0"/>
          <w:sz w:val="24"/>
        </w:rPr>
        <w:t>earnings management</w:t>
      </w:r>
      <w:r>
        <w:rPr>
          <w:rFonts w:ascii="Times New Roman" w:hAnsi="Times New Roman" w:cs="Times New Roman"/>
          <w:b w:val="0"/>
          <w:i/>
          <w:sz w:val="24"/>
        </w:rPr>
        <w:t xml:space="preserve">; keduanya bermuara pada persoalan uniformitas dan kemustahilan merepresentasikan "true income". Akhirnya, </w:t>
      </w:r>
      <w:r>
        <w:rPr>
          <w:rFonts w:ascii="Times New Roman" w:hAnsi="Times New Roman" w:cs="Times New Roman"/>
          <w:b/>
          <w:i w:val="0"/>
          <w:sz w:val="24"/>
        </w:rPr>
        <w:t>financial statement restatements</w:t>
      </w:r>
      <w:r>
        <w:rPr>
          <w:rFonts w:ascii="Times New Roman" w:hAnsi="Times New Roman" w:cs="Times New Roman"/>
          <w:b w:val="0"/>
          <w:i/>
          <w:sz w:val="24"/>
        </w:rPr>
        <w:t xml:space="preserve"> tumbuh mengkhawatirkan hingga 1.420 pada 2006, dipicu kelemahan pengendalian internal yang terungkap lewat Section 404 </w:t>
      </w:r>
      <w:r>
        <w:rPr>
          <w:rFonts w:ascii="Times New Roman" w:hAnsi="Times New Roman" w:cs="Times New Roman"/>
          <w:b w:val="0"/>
          <w:i w:val="0"/>
          <w:sz w:val="24"/>
        </w:rPr>
        <w:t>Sarbanes-Oxley*, kerumitan standar (terutama sewa), serta SAB 99 yang menghapus ambang materialitas 5% dari laba bersih (Wolk et al., 2017, PDF hlm. 30–31). Perkembangan ini menyiapkan landasan bagi sintesis pada Bagian XIII.</w:t>
      </w:r>
    </w:p>
    <w:p>
      <w:pPr>
        <w:spacing w:lineRule="exact" w:line="260" w:before="120" w:after="80"/>
        <w:jc w:val="left"/>
      </w:pPr>
      <w:r>
        <w:rPr>
          <w:rFonts w:ascii="Times New Roman" w:hAnsi="Times New Roman" w:cs="Times New Roman"/>
          <w:b/>
          <w:i w:val="0"/>
          <w:sz w:val="26"/>
        </w:rPr>
        <w:t>XIII. Sintesis</w:t>
      </w:r>
    </w:p>
    <w:p>
      <w:pPr>
        <w:spacing w:lineRule="exact" w:line="260" w:before="0" w:after="80"/>
        <w:jc w:val="both"/>
      </w:pPr>
      <w:r>
        <w:rPr>
          <w:rFonts w:ascii="Times New Roman" w:hAnsi="Times New Roman" w:cs="Times New Roman"/>
          <w:b w:val="0"/>
          <w:i w:val="0"/>
          <w:sz w:val="24"/>
        </w:rPr>
        <w:t>Bab ini bertumpu pada satu fondasi: laporan laba rugi berakar pada model biaya historis berupa pengakuan pendapatan dan penandingan beban (</w:t>
      </w:r>
      <w:r>
        <w:rPr>
          <w:rFonts w:ascii="Times New Roman" w:hAnsi="Times New Roman" w:cs="Times New Roman"/>
          <w:b w:val="0"/>
          <w:i/>
          <w:sz w:val="24"/>
        </w:rPr>
        <w:t>matching</w:t>
      </w:r>
      <w:r>
        <w:rPr>
          <w:rFonts w:ascii="Times New Roman" w:hAnsi="Times New Roman" w:cs="Times New Roman"/>
          <w:b w:val="0"/>
          <w:i w:val="0"/>
          <w:sz w:val="24"/>
        </w:rPr>
        <w:t xml:space="preserve">). Dari fondasi itu Wolk et al. membaca arah perkembangan FASB sebagai kecenderungan menuju </w:t>
      </w:r>
      <w:r>
        <w:rPr>
          <w:rFonts w:ascii="Times New Roman" w:hAnsi="Times New Roman" w:cs="Times New Roman"/>
          <w:b w:val="0"/>
          <w:i/>
          <w:sz w:val="24"/>
        </w:rPr>
        <w:t>rigid uniformity</w:t>
      </w:r>
      <w:r>
        <w:rPr>
          <w:rFonts w:ascii="Times New Roman" w:hAnsi="Times New Roman" w:cs="Times New Roman"/>
          <w:b w:val="0"/>
          <w:i w:val="0"/>
          <w:sz w:val="24"/>
        </w:rPr>
        <w:t xml:space="preserve">, baik dalam pengakuan pendapatan maupun pengakuan beban yang sebagian besar berbasis alokasi arbitrer (Wolk et al., 2017, PDF hlm. 31). Pada saat yang sama, persyaratan </w:t>
      </w:r>
      <w:r>
        <w:rPr>
          <w:rFonts w:ascii="Times New Roman" w:hAnsi="Times New Roman" w:cs="Times New Roman"/>
          <w:b w:val="0"/>
          <w:i/>
          <w:sz w:val="24"/>
        </w:rPr>
        <w:t>comprehensive income</w:t>
      </w:r>
      <w:r>
        <w:rPr>
          <w:rFonts w:ascii="Times New Roman" w:hAnsi="Times New Roman" w:cs="Times New Roman"/>
          <w:b w:val="0"/>
          <w:i w:val="0"/>
          <w:sz w:val="24"/>
        </w:rPr>
        <w:t xml:space="preserve"> mendorong jalur </w:t>
      </w:r>
      <w:r>
        <w:rPr>
          <w:rFonts w:ascii="Times New Roman" w:hAnsi="Times New Roman" w:cs="Times New Roman"/>
          <w:b w:val="0"/>
          <w:i/>
          <w:sz w:val="24"/>
        </w:rPr>
        <w:t>all-inclusive</w:t>
      </w:r>
      <w:r>
        <w:rPr>
          <w:rFonts w:ascii="Times New Roman" w:hAnsi="Times New Roman" w:cs="Times New Roman"/>
          <w:b w:val="0"/>
          <w:i w:val="0"/>
          <w:sz w:val="24"/>
        </w:rPr>
        <w:t xml:space="preserve">, sementara pro forma, salah satu pandangan </w:t>
      </w:r>
      <w:r>
        <w:rPr>
          <w:rFonts w:ascii="Times New Roman" w:hAnsi="Times New Roman" w:cs="Times New Roman"/>
          <w:b w:val="0"/>
          <w:i/>
          <w:sz w:val="24"/>
        </w:rPr>
        <w:t>quality of earnings</w:t>
      </w:r>
      <w:r>
        <w:rPr>
          <w:rFonts w:ascii="Times New Roman" w:hAnsi="Times New Roman" w:cs="Times New Roman"/>
          <w:b w:val="0"/>
          <w:i w:val="0"/>
          <w:sz w:val="24"/>
        </w:rPr>
        <w:t xml:space="preserve">, dan laporan G4+1 justru mengarah ke pandangan </w:t>
      </w:r>
      <w:r>
        <w:rPr>
          <w:rFonts w:ascii="Times New Roman" w:hAnsi="Times New Roman" w:cs="Times New Roman"/>
          <w:b w:val="0"/>
          <w:i/>
          <w:sz w:val="24"/>
        </w:rPr>
        <w:t>current operating</w:t>
      </w:r>
      <w:r>
        <w:rPr>
          <w:rFonts w:ascii="Times New Roman" w:hAnsi="Times New Roman" w:cs="Times New Roman"/>
          <w:b w:val="0"/>
          <w:i w:val="0"/>
          <w:sz w:val="24"/>
        </w:rPr>
        <w:t xml:space="preserve"> demi tujuan prediktif (Wolk et al., 2017, PDF hlm. 31). Dialektika kedua aliran ini tetap belum terselesaikan.</w:t>
      </w:r>
    </w:p>
    <w:p>
      <w:pPr>
        <w:spacing w:lineRule="exact" w:line="260" w:before="0" w:after="80"/>
        <w:jc w:val="both"/>
      </w:pPr>
      <w:r>
        <w:rPr>
          <w:rFonts w:ascii="Times New Roman" w:hAnsi="Times New Roman" w:cs="Times New Roman"/>
          <w:b w:val="0"/>
          <w:i w:val="0"/>
          <w:sz w:val="24"/>
        </w:rPr>
        <w:t xml:space="preserve">Pergeseran historis menegaskan arah tersebut. Selama lima dekade laporan laba rugi diperlakukan sebagai laporan dominan, namun sejak FASB berdiri tampak gerak "membersihkan" neraca dan beralih ke pendekatan </w:t>
      </w:r>
      <w:r>
        <w:rPr>
          <w:rFonts w:ascii="Times New Roman" w:hAnsi="Times New Roman" w:cs="Times New Roman"/>
          <w:b w:val="0"/>
          <w:i/>
          <w:sz w:val="24"/>
        </w:rPr>
        <w:t>asset–liability</w:t>
      </w:r>
      <w:r>
        <w:rPr>
          <w:rFonts w:ascii="Times New Roman" w:hAnsi="Times New Roman" w:cs="Times New Roman"/>
          <w:b w:val="0"/>
          <w:i w:val="0"/>
          <w:sz w:val="24"/>
        </w:rPr>
        <w:t xml:space="preserve"> yang konsisten dengan proyek kerangka konseptual (Wolk et al., 2017, PDF hlm. 31)—benang merah yang berartikulasi balik dengan pembahasan kerangka konseptual pada Pertemuan VIII.</w:t>
      </w:r>
    </w:p>
    <w:p>
      <w:pPr>
        <w:spacing w:lineRule="exact" w:line="260" w:before="0" w:after="80"/>
        <w:jc w:val="both"/>
      </w:pPr>
      <w:r>
        <w:rPr>
          <w:rFonts w:ascii="Times New Roman" w:hAnsi="Times New Roman" w:cs="Times New Roman"/>
          <w:b w:val="0"/>
          <w:i w:val="0"/>
          <w:sz w:val="24"/>
        </w:rPr>
        <w:t xml:space="preserve">Perkembangan ini berbicara langsung kepada tema-tema kuliah. Dari sisi </w:t>
      </w:r>
      <w:r>
        <w:rPr>
          <w:rFonts w:ascii="Times New Roman" w:hAnsi="Times New Roman" w:cs="Times New Roman"/>
          <w:b w:val="0"/>
          <w:i/>
          <w:sz w:val="24"/>
        </w:rPr>
        <w:t>decision usefulness</w:t>
      </w:r>
      <w:r>
        <w:rPr>
          <w:rFonts w:ascii="Times New Roman" w:hAnsi="Times New Roman" w:cs="Times New Roman"/>
          <w:b w:val="0"/>
          <w:i w:val="0"/>
          <w:sz w:val="24"/>
        </w:rPr>
        <w:t xml:space="preserve">, angka laba mempertahankan kandungan informasinya kendati sarat alokasi arbitrer. Dari sisi </w:t>
      </w:r>
      <w:r>
        <w:rPr>
          <w:rFonts w:ascii="Times New Roman" w:hAnsi="Times New Roman" w:cs="Times New Roman"/>
          <w:b w:val="0"/>
          <w:i/>
          <w:sz w:val="24"/>
        </w:rPr>
        <w:t>information asymmetry</w:t>
      </w:r>
      <w:r>
        <w:rPr>
          <w:rFonts w:ascii="Times New Roman" w:hAnsi="Times New Roman" w:cs="Times New Roman"/>
          <w:b w:val="0"/>
          <w:i w:val="0"/>
          <w:sz w:val="24"/>
        </w:rPr>
        <w:t xml:space="preserve"> dan teori keagenan, </w:t>
      </w:r>
      <w:r>
        <w:rPr>
          <w:rFonts w:ascii="Times New Roman" w:hAnsi="Times New Roman" w:cs="Times New Roman"/>
          <w:b w:val="0"/>
          <w:i/>
          <w:sz w:val="24"/>
        </w:rPr>
        <w:t>earnings management</w:t>
      </w:r>
      <w:r>
        <w:rPr>
          <w:rFonts w:ascii="Times New Roman" w:hAnsi="Times New Roman" w:cs="Times New Roman"/>
          <w:b w:val="0"/>
          <w:i w:val="0"/>
          <w:sz w:val="24"/>
        </w:rPr>
        <w:t xml:space="preserve"> mencerminkan informasi orang dalam dan kontrak kompensasi yang melekat pada angka laba, tempat keleluasaan penyusun bersinggungan dengan kepentingan pemegang saham. Dari sudut </w:t>
      </w:r>
      <w:r>
        <w:rPr>
          <w:rFonts w:ascii="Times New Roman" w:hAnsi="Times New Roman" w:cs="Times New Roman"/>
          <w:b w:val="0"/>
          <w:i/>
          <w:sz w:val="24"/>
        </w:rPr>
        <w:t>efficient markets</w:t>
      </w:r>
      <w:r>
        <w:rPr>
          <w:rFonts w:ascii="Times New Roman" w:hAnsi="Times New Roman" w:cs="Times New Roman"/>
          <w:b w:val="0"/>
          <w:i w:val="0"/>
          <w:sz w:val="24"/>
        </w:rPr>
        <w:t xml:space="preserve">, reaksi pasar atas </w:t>
      </w:r>
      <w:r>
        <w:rPr>
          <w:rFonts w:ascii="Times New Roman" w:hAnsi="Times New Roman" w:cs="Times New Roman"/>
          <w:b w:val="0"/>
          <w:i/>
          <w:sz w:val="24"/>
        </w:rPr>
        <w:t>big bath</w:t>
      </w:r>
      <w:r>
        <w:rPr>
          <w:rFonts w:ascii="Times New Roman" w:hAnsi="Times New Roman" w:cs="Times New Roman"/>
          <w:b w:val="0"/>
          <w:i w:val="0"/>
          <w:sz w:val="24"/>
        </w:rPr>
        <w:t xml:space="preserve"> dan relevansi nilai laba menunjukkan laba tetap dihargai meski tidak sempurna. Adapun ketegangan </w:t>
      </w:r>
      <w:r>
        <w:rPr>
          <w:rFonts w:ascii="Times New Roman" w:hAnsi="Times New Roman" w:cs="Times New Roman"/>
          <w:b w:val="0"/>
          <w:i/>
          <w:sz w:val="24"/>
        </w:rPr>
        <w:t>historical cost versus fair value</w:t>
      </w:r>
      <w:r>
        <w:rPr>
          <w:rFonts w:ascii="Times New Roman" w:hAnsi="Times New Roman" w:cs="Times New Roman"/>
          <w:b w:val="0"/>
          <w:i w:val="0"/>
          <w:sz w:val="24"/>
        </w:rPr>
        <w:t xml:space="preserve"> mengemuka pada arbitrasi alokasi beban dan pada perbatasan </w:t>
      </w:r>
      <w:r>
        <w:rPr>
          <w:rFonts w:ascii="Times New Roman" w:hAnsi="Times New Roman" w:cs="Times New Roman"/>
          <w:b w:val="0"/>
          <w:i/>
          <w:sz w:val="24"/>
        </w:rPr>
        <w:t>fact versus forecast</w:t>
      </w:r>
      <w:r>
        <w:rPr>
          <w:rFonts w:ascii="Times New Roman" w:hAnsi="Times New Roman" w:cs="Times New Roman"/>
          <w:b w:val="0"/>
          <w:i w:val="0"/>
          <w:sz w:val="24"/>
        </w:rPr>
        <w:t xml:space="preserve"> yang dieksplorasi pendekatan matrix.</w:t>
      </w:r>
    </w:p>
    <w:p>
      <w:pPr>
        <w:spacing w:lineRule="exact" w:line="260" w:before="0" w:after="80"/>
        <w:jc w:val="both"/>
      </w:pPr>
      <w:r>
        <w:rPr>
          <w:rFonts w:ascii="Times New Roman" w:hAnsi="Times New Roman" w:cs="Times New Roman"/>
          <w:b w:val="0"/>
          <w:i w:val="0"/>
          <w:sz w:val="24"/>
        </w:rPr>
        <w:t xml:space="preserve">Pada akhirnya, laporan laba rugi paling tepat dipahami sebagai medan ketegangan yang lestari: antara </w:t>
      </w:r>
      <w:r>
        <w:rPr>
          <w:rFonts w:ascii="Times New Roman" w:hAnsi="Times New Roman" w:cs="Times New Roman"/>
          <w:b w:val="0"/>
          <w:i/>
          <w:sz w:val="24"/>
        </w:rPr>
        <w:t>relevance</w:t>
      </w:r>
      <w:r>
        <w:rPr>
          <w:rFonts w:ascii="Times New Roman" w:hAnsi="Times New Roman" w:cs="Times New Roman"/>
          <w:b w:val="0"/>
          <w:i w:val="0"/>
          <w:sz w:val="24"/>
        </w:rPr>
        <w:t xml:space="preserve"> dan </w:t>
      </w:r>
      <w:r>
        <w:rPr>
          <w:rFonts w:ascii="Times New Roman" w:hAnsi="Times New Roman" w:cs="Times New Roman"/>
          <w:b w:val="0"/>
          <w:i/>
          <w:sz w:val="24"/>
        </w:rPr>
        <w:t>reliability</w:t>
      </w:r>
      <w:r>
        <w:rPr>
          <w:rFonts w:ascii="Times New Roman" w:hAnsi="Times New Roman" w:cs="Times New Roman"/>
          <w:b w:val="0"/>
          <w:i w:val="0"/>
          <w:sz w:val="24"/>
        </w:rPr>
        <w:t>, antara cita-cita ekonomik tentang laba "sejati" dan keterbatasan praktis pengukuran, serta antara kebutuhan informasi pengguna dan keleluasaan (</w:t>
      </w:r>
      <w:r>
        <w:rPr>
          <w:rFonts w:ascii="Times New Roman" w:hAnsi="Times New Roman" w:cs="Times New Roman"/>
          <w:b w:val="0"/>
          <w:i/>
          <w:sz w:val="24"/>
        </w:rPr>
        <w:t>discretion</w:t>
      </w:r>
      <w:r>
        <w:rPr>
          <w:rFonts w:ascii="Times New Roman" w:hAnsi="Times New Roman" w:cs="Times New Roman"/>
          <w:b w:val="0"/>
          <w:i w:val="0"/>
          <w:sz w:val="24"/>
        </w:rPr>
        <w:t>) penyusun. Tidak ada satu format pun yang sanggup meniadakan ketegangan itu sekaligus; masing-masing hanya memindahkan titik kompromi. Justru di dalam ketegangan inilah teori akuntansi bekerja—bukan untuk menghapusnya, melainkan mengelolanya dengan perbaikan yang lambat namun ajek.</w:t>
      </w:r>
    </w:p>
    <w:p>
      <w:pPr>
        <w:spacing w:lineRule="exact" w:line="260" w:before="120" w:after="80"/>
        <w:jc w:val="left"/>
      </w:pPr>
      <w:r>
        <w:rPr>
          <w:rFonts w:ascii="Times New Roman" w:hAnsi="Times New Roman" w:cs="Times New Roman"/>
          <w:b/>
          <w:i w:val="0"/>
          <w:sz w:val="26"/>
        </w:rPr>
        <w:t>XIV. Referensi</w:t>
      </w:r>
    </w:p>
    <w:p>
      <w:pPr>
        <w:spacing w:lineRule="exact" w:line="260" w:before="0" w:after="80"/>
        <w:ind w:left="425" w:hanging="425"/>
        <w:jc w:val="both"/>
      </w:pPr>
      <w:r>
        <w:rPr>
          <w:rFonts w:ascii="Times New Roman" w:hAnsi="Times New Roman" w:cs="Times New Roman"/>
          <w:b w:val="0"/>
          <w:i w:val="0"/>
          <w:sz w:val="24"/>
        </w:rPr>
        <w:t xml:space="preserve">Wolk, H. I., Dodd, J. L., &amp; Rozycki, J. J. (2017). </w:t>
      </w:r>
      <w:r>
        <w:rPr>
          <w:rFonts w:ascii="Times New Roman" w:hAnsi="Times New Roman" w:cs="Times New Roman"/>
          <w:b w:val="0"/>
          <w:i/>
          <w:sz w:val="24"/>
        </w:rPr>
        <w:t>Accounting Theory: Conceptual Issues in a Political and Economic Environment</w:t>
      </w:r>
      <w:r>
        <w:rPr>
          <w:rFonts w:ascii="Times New Roman" w:hAnsi="Times New Roman" w:cs="Times New Roman"/>
          <w:b w:val="0"/>
          <w:i w:val="0"/>
          <w:sz w:val="24"/>
        </w:rPr>
        <w:t xml:space="preserve"> (9th ed.). Thousand Oaks, CA: Sage Publications. Bab 12, "The Income Statement" (print pp. 337–373; edisi SAGE Knowledge, 34 hlm.).</w:t>
      </w:r>
    </w:p>
    <w:p>
      <w:pPr>
        <w:spacing w:lineRule="exact" w:line="260" w:before="0" w:after="80"/>
        <w:ind w:left="425" w:hanging="425"/>
        <w:jc w:val="both"/>
      </w:pPr>
      <w:r>
        <w:rPr>
          <w:rFonts w:ascii="Times New Roman" w:hAnsi="Times New Roman" w:cs="Times New Roman"/>
          <w:b w:val="0"/>
          <w:i w:val="0"/>
          <w:sz w:val="24"/>
        </w:rPr>
        <w:t>Silabus Pelaporan Keuangan Korporat (MNK202), Pascasarjana STIE YKPN Yogyakarta, Tahun Ajaran 2025/2026.</w:t>
      </w:r>
    </w:p>
    <w:sectPr w:rsidR="00FC693F" w:rsidRPr="0006063C" w:rsidSect="00034616">
      <w:footerReference w:type="default" r:id="rId9"/>
      <w:pgSz w:w="11906" w:h="16838"/>
      <w:pgMar w:top="1701" w:right="1701"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cs="Times New Roman"/>
        <w:b w:val="0"/>
        <w:i w:val="0"/>
        <w:sz w:val="22"/>
      </w:rPr>
      <w:fldChar w:fldCharType="begin"/>
      <w:instrText>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