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240" w:before="0" w:after="40"/>
        <w:jc w:val="center"/>
      </w:pPr>
      <w:r>
        <w:rPr>
          <w:rFonts w:ascii="Times New Roman" w:hAnsi="Times New Roman" w:cs="Times New Roman"/>
          <w:b/>
          <w:i w:val="0"/>
          <w:sz w:val="28"/>
        </w:rPr>
        <w:t>RINGKASAN MATERI KULIAH (RMK) — PERTEMUAN 9</w:t>
      </w:r>
    </w:p>
    <w:p>
      <w:pPr>
        <w:spacing w:lineRule="exact" w:line="240" w:before="0" w:after="4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Pelaporan Keuangan Korporat (MNK202) — Pascasarjana STIE YKPN Yogyakarta</w:t>
      </w:r>
    </w:p>
    <w:p>
      <w:pPr>
        <w:spacing w:lineRule="exact" w:line="240" w:before="0" w:after="4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Dzaki Muhammad Yusfian — NIM 1225 01079</w:t>
      </w:r>
    </w:p>
    <w:p>
      <w:pPr>
        <w:spacing w:lineRule="exact" w:line="240" w:before="0" w:after="40"/>
        <w:jc w:val="center"/>
      </w:pPr>
      <w:r>
        <w:rPr>
          <w:rFonts w:ascii="Times New Roman" w:hAnsi="Times New Roman" w:cs="Times New Roman"/>
          <w:b w:val="0"/>
          <w:i/>
          <w:sz w:val="24"/>
        </w:rPr>
        <w:t>The Income Statement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Wolk, H. I., Dodd, J. L., &amp; Rozycki, J. J. (2017). </w:t>
      </w:r>
      <w:r>
        <w:rPr>
          <w:rFonts w:ascii="Times New Roman" w:hAnsi="Times New Roman" w:cs="Times New Roman"/>
          <w:b w:val="0"/>
          <w:i/>
          <w:sz w:val="24"/>
        </w:rPr>
        <w:t>Accounting Theory: Conceptual Issues in a Political and Economic Environment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(9th ed., Ch. 12). Sage.</w:t>
      </w:r>
    </w:p>
    <w:p>
      <w:pPr>
        <w:spacing w:lineRule="exact" w:line="240" w:before="0" w:after="200"/>
        <w:jc w:val="both"/>
        <w:pBdr>
          <w:bottom w:val="single" w:sz="8" w:color="000000"/>
        </w:pBdr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Rule="exact" w:line="240" w:before="80" w:after="40"/>
        <w:jc w:val="left"/>
      </w:pPr>
      <w:r>
        <w:rPr>
          <w:rFonts w:ascii="Times New Roman" w:hAnsi="Times New Roman" w:cs="Times New Roman"/>
          <w:b/>
          <w:i w:val="0"/>
          <w:sz w:val="26"/>
        </w:rPr>
        <w:t>I. Orientasi: Laporan Laba Rugi dalam Teori Akuntansi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Sebelum masuk ke definisi dan aturan teknis, kita perlu tahu mengapa </w:t>
      </w:r>
      <w:r>
        <w:rPr>
          <w:rFonts w:ascii="Times New Roman" w:hAnsi="Times New Roman" w:cs="Times New Roman"/>
          <w:b/>
          <w:i w:val="0"/>
          <w:sz w:val="24"/>
        </w:rPr>
        <w:t>laporan laba rugi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income statement</w:t>
      </w:r>
      <w:r>
        <w:rPr>
          <w:rFonts w:ascii="Times New Roman" w:hAnsi="Times New Roman" w:cs="Times New Roman"/>
          <w:b w:val="0"/>
          <w:i w:val="0"/>
          <w:sz w:val="24"/>
        </w:rPr>
        <w:t>) begitu penting dan apa kerangka berpikir yang membingkainya.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Mengapa Laporan Laba Rugi Fundamental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Dua peran utama</w:t>
      </w:r>
      <w:r>
        <w:rPr>
          <w:rFonts w:ascii="Times New Roman" w:hAnsi="Times New Roman" w:cs="Times New Roman"/>
          <w:b w:val="0"/>
          <w:i w:val="0"/>
          <w:sz w:val="24"/>
        </w:rPr>
        <w:t>: basis prediksi arus kas masa depan, sekaligus alat menilai kinerja manajemen (</w:t>
      </w:r>
      <w:r>
        <w:rPr>
          <w:rFonts w:ascii="Times New Roman" w:hAnsi="Times New Roman" w:cs="Times New Roman"/>
          <w:b w:val="0"/>
          <w:i/>
          <w:sz w:val="24"/>
        </w:rPr>
        <w:t>stewardship</w:t>
      </w:r>
      <w:r>
        <w:rPr>
          <w:rFonts w:ascii="Times New Roman" w:hAnsi="Times New Roman" w:cs="Times New Roman"/>
          <w:b w:val="0"/>
          <w:i w:val="0"/>
          <w:sz w:val="24"/>
        </w:rPr>
        <w:t>) (Wolk et al., 2017, PDF hlm. 2).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Decision usefulness</w:t>
      </w:r>
      <w:r>
        <w:rPr>
          <w:rFonts w:ascii="Times New Roman" w:hAnsi="Times New Roman" w:cs="Times New Roman"/>
          <w:b w:val="0"/>
          <w:i w:val="0"/>
          <w:sz w:val="24"/>
        </w:rPr>
        <w:t>: angka laba bernilai sejauh membantu investor dan kreditor memproyeksikan kemampuan entitas menghasilkan kas — benang merah seluruh kursus.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Teori kontrak &amp; keagenan</w:t>
      </w:r>
      <w:r>
        <w:rPr>
          <w:rFonts w:ascii="Times New Roman" w:hAnsi="Times New Roman" w:cs="Times New Roman"/>
          <w:b w:val="0"/>
          <w:i w:val="0"/>
          <w:sz w:val="24"/>
        </w:rPr>
        <w:t>: laba meredam asimetri informasi antara manajemen dan pihak luar — peran yang sekaligus membuka celah penyalahgunaan.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Tak ada substitusi</w:t>
      </w:r>
      <w:r>
        <w:rPr>
          <w:rFonts w:ascii="Times New Roman" w:hAnsi="Times New Roman" w:cs="Times New Roman"/>
          <w:b w:val="0"/>
          <w:i w:val="0"/>
          <w:sz w:val="24"/>
        </w:rPr>
        <w:t>: meski pengukuran tak sempurna, tidak ada sinyal kinerja periodik yang lebih ringkas — ketidaksempurnaan menuntut kehati-hatian, bukan pengabaian (Wolk et al., 2017, PDF hlm. 2).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Artikulasi dan Kerangka Konseptual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Artikulasi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articulation</w:t>
      </w:r>
      <w:r>
        <w:rPr>
          <w:rFonts w:ascii="Times New Roman" w:hAnsi="Times New Roman" w:cs="Times New Roman"/>
          <w:b w:val="0"/>
          <w:i w:val="0"/>
          <w:sz w:val="24"/>
        </w:rPr>
        <w:t>): laporan laba rugi terkait struktural dengan neraca — sudah dibahas pada Pertemuan VIII (Wolk Bab 11).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Cakupan Bab 12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terminologi dasar </w:t>
      </w:r>
      <w:r>
        <w:rPr>
          <w:rFonts w:ascii="Times New Roman" w:hAnsi="Times New Roman" w:cs="Times New Roman"/>
          <w:b w:val="0"/>
          <w:i/>
          <w:sz w:val="24"/>
        </w:rPr>
        <w:t>income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/>
          <w:sz w:val="24"/>
        </w:rPr>
        <w:t>revenues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/>
          <w:sz w:val="24"/>
        </w:rPr>
        <w:t>expenses</w:t>
      </w:r>
      <w:r>
        <w:rPr>
          <w:rFonts w:ascii="Times New Roman" w:hAnsi="Times New Roman" w:cs="Times New Roman"/>
          <w:b w:val="0"/>
          <w:i w:val="0"/>
          <w:sz w:val="24"/>
        </w:rPr>
        <w:t>, plus standar pengakuan dua elemen terakhir (Wolk et al., 2017, PDF hlm. 2).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Ketegangan paradigma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definisi dibingkai </w:t>
      </w:r>
      <w:r>
        <w:rPr>
          <w:rFonts w:ascii="Times New Roman" w:hAnsi="Times New Roman" w:cs="Times New Roman"/>
          <w:b w:val="0"/>
          <w:i/>
          <w:sz w:val="24"/>
        </w:rPr>
        <w:t>revenue–expense approach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lawan </w:t>
      </w:r>
      <w:r>
        <w:rPr>
          <w:rFonts w:ascii="Times New Roman" w:hAnsi="Times New Roman" w:cs="Times New Roman"/>
          <w:b w:val="0"/>
          <w:i/>
          <w:sz w:val="24"/>
        </w:rPr>
        <w:t>asset–liability approach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yang diwariskan kerangka konseptual.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Bukan ranah Bab 12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Times New Roman" w:hAnsi="Times New Roman" w:cs="Times New Roman"/>
          <w:b w:val="0"/>
          <w:i/>
          <w:sz w:val="24"/>
        </w:rPr>
        <w:t>economic concept of income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klasik dan </w:t>
      </w:r>
      <w:r>
        <w:rPr>
          <w:rFonts w:ascii="Times New Roman" w:hAnsi="Times New Roman" w:cs="Times New Roman"/>
          <w:b w:val="0"/>
          <w:i/>
          <w:sz w:val="24"/>
        </w:rPr>
        <w:t>capital maintenance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adalah materi bab neraca (Bab 11), di sini hanya latar belakang.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Pilihan ukuran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Times New Roman" w:hAnsi="Times New Roman" w:cs="Times New Roman"/>
          <w:b w:val="0"/>
          <w:i/>
          <w:sz w:val="24"/>
        </w:rPr>
        <w:t>historical cost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(andal tapi kerap usang) vs </w:t>
      </w:r>
      <w:r>
        <w:rPr>
          <w:rFonts w:ascii="Times New Roman" w:hAnsi="Times New Roman" w:cs="Times New Roman"/>
          <w:b w:val="0"/>
          <w:i/>
          <w:sz w:val="24"/>
        </w:rPr>
        <w:t>fair value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(relevan tapi rentan subjektivitas) menentukan kesetiaan laba pada realitas ekonomi.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Peta Jalan Bab Ini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Delapan </w:t>
      </w:r>
      <w:r>
        <w:rPr>
          <w:rFonts w:ascii="Times New Roman" w:hAnsi="Times New Roman" w:cs="Times New Roman"/>
          <w:b w:val="0"/>
          <w:i/>
          <w:sz w:val="24"/>
        </w:rPr>
        <w:t>learning objectives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menelusuri: evolusi definisi </w:t>
      </w:r>
      <w:r>
        <w:rPr>
          <w:rFonts w:ascii="Times New Roman" w:hAnsi="Times New Roman" w:cs="Times New Roman"/>
          <w:b w:val="0"/>
          <w:i/>
          <w:sz w:val="24"/>
        </w:rPr>
        <w:t>revenues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/>
          <w:sz w:val="24"/>
        </w:rPr>
        <w:t>expenses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/>
          <w:sz w:val="24"/>
        </w:rPr>
        <w:t>gains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/>
          <w:sz w:val="24"/>
        </w:rPr>
        <w:t>losses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peran </w:t>
      </w:r>
      <w:r>
        <w:rPr>
          <w:rFonts w:ascii="Times New Roman" w:hAnsi="Times New Roman" w:cs="Times New Roman"/>
          <w:b w:val="0"/>
          <w:i/>
          <w:sz w:val="24"/>
        </w:rPr>
        <w:t>future events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dalam pengakuan; pengorganisasian dan penyajian laporan; </w:t>
      </w:r>
      <w:r>
        <w:rPr>
          <w:rFonts w:ascii="Times New Roman" w:hAnsi="Times New Roman" w:cs="Times New Roman"/>
          <w:b w:val="0"/>
          <w:i/>
          <w:sz w:val="24"/>
        </w:rPr>
        <w:t>comprehensive income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</w:t>
      </w:r>
      <w:r>
        <w:rPr>
          <w:rFonts w:ascii="Times New Roman" w:hAnsi="Times New Roman" w:cs="Times New Roman"/>
          <w:b w:val="0"/>
          <w:i/>
          <w:sz w:val="24"/>
        </w:rPr>
        <w:t>earnings per share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</w:t>
      </w:r>
      <w:r>
        <w:rPr>
          <w:rFonts w:ascii="Times New Roman" w:hAnsi="Times New Roman" w:cs="Times New Roman"/>
          <w:b w:val="0"/>
          <w:i/>
          <w:sz w:val="24"/>
        </w:rPr>
        <w:t>earnings management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kaitan rencana kompensasi manajemen dengan </w:t>
      </w:r>
      <w:r>
        <w:rPr>
          <w:rFonts w:ascii="Times New Roman" w:hAnsi="Times New Roman" w:cs="Times New Roman"/>
          <w:b w:val="0"/>
          <w:i/>
          <w:sz w:val="24"/>
        </w:rPr>
        <w:t>income smoothing</w:t>
      </w:r>
      <w:r>
        <w:rPr>
          <w:rFonts w:ascii="Times New Roman" w:hAnsi="Times New Roman" w:cs="Times New Roman"/>
          <w:b w:val="0"/>
          <w:i w:val="0"/>
          <w:sz w:val="24"/>
        </w:rPr>
        <w:t>; serta usulan baru pengukuran laba (Wolk et al., 2017, PDF hlm. 2).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Dengan orientasi ini, kita beralih ke Bagian II yang menggali definisi </w:t>
      </w:r>
      <w:r>
        <w:rPr>
          <w:rFonts w:ascii="Times New Roman" w:hAnsi="Times New Roman" w:cs="Times New Roman"/>
          <w:b w:val="0"/>
          <w:i/>
          <w:sz w:val="24"/>
        </w:rPr>
        <w:t>income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dan elemen-elemennya.</w:t>
      </w:r>
    </w:p>
    <w:p>
      <w:pPr>
        <w:spacing w:lineRule="exact" w:line="240" w:before="80" w:after="40"/>
        <w:jc w:val="left"/>
      </w:pPr>
      <w:r>
        <w:rPr>
          <w:rFonts w:ascii="Times New Roman" w:hAnsi="Times New Roman" w:cs="Times New Roman"/>
          <w:b/>
          <w:i w:val="0"/>
          <w:sz w:val="26"/>
        </w:rPr>
        <w:t>II. Definisi Income dan Elemen-elemennya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Sebelum membahas kapan dan berapa laba diakui, kita perlu jelas dulu </w:t>
      </w:r>
      <w:r>
        <w:rPr>
          <w:rFonts w:ascii="Times New Roman" w:hAnsi="Times New Roman" w:cs="Times New Roman"/>
          <w:b w:val="0"/>
          <w:i/>
          <w:sz w:val="24"/>
        </w:rPr>
        <w:t>apa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yang sebenarnya diukur. Wolk mencatat empat definisi resmi </w:t>
      </w:r>
      <w:r>
        <w:rPr>
          <w:rFonts w:ascii="Times New Roman" w:hAnsi="Times New Roman" w:cs="Times New Roman"/>
          <w:b/>
          <w:i w:val="0"/>
          <w:sz w:val="24"/>
        </w:rPr>
        <w:t>accounting income</w:t>
      </w:r>
      <w:r>
        <w:rPr>
          <w:rFonts w:ascii="Times New Roman" w:hAnsi="Times New Roman" w:cs="Times New Roman"/>
          <w:b w:val="0"/>
          <w:i w:val="0"/>
          <w:sz w:val="24"/>
        </w:rPr>
        <w:t>, dan semuanya bermuara pada dua cara pandang besar (Wolk et al., 2017, PDF hlm. 2).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Dua Cara Pandang atas Laba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Revenue–expense approach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(ATB 2 &amp; APB Statement 4): laba = kelebihan </w:t>
      </w:r>
      <w:r>
        <w:rPr>
          <w:rFonts w:ascii="Times New Roman" w:hAnsi="Times New Roman" w:cs="Times New Roman"/>
          <w:b w:val="0"/>
          <w:i/>
          <w:sz w:val="24"/>
        </w:rPr>
        <w:t>revenues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atas beban dan kerugian dalam satu periode; neraca hanya sisa.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Asset–liability approach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(SFAC No. 6 &amp; FASB Codification): laba berasal dari perubahan aset dan liabilitas; memperkenalkan </w:t>
      </w:r>
      <w:r>
        <w:rPr>
          <w:rFonts w:ascii="Times New Roman" w:hAnsi="Times New Roman" w:cs="Times New Roman"/>
          <w:b/>
          <w:i w:val="0"/>
          <w:sz w:val="24"/>
        </w:rPr>
        <w:t>comprehensive income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(perubahan ekuitas/aset neto dari sumber nonpemilik).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Arah FASB &amp; IASB ke pendekatan kedua — menggeser laba dari aliran transaksi ke valuasi neraca, mendekat ke </w:t>
      </w:r>
      <w:r>
        <w:rPr>
          <w:rFonts w:ascii="Times New Roman" w:hAnsi="Times New Roman" w:cs="Times New Roman"/>
          <w:b w:val="0"/>
          <w:i/>
          <w:sz w:val="24"/>
        </w:rPr>
        <w:t>fair value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(Wolk et al., 2017, PDF hlm. 2).</w:t>
      </w:r>
    </w:p>
    <w:p>
      <w:pPr>
        <w:spacing w:lineRule="exact" w:line="240" w:before="0" w:after="0"/>
        <w:jc w:val="center"/>
      </w:pPr>
      <w:r>
        <w:rPr>
          <w:rFonts w:ascii="Times New Roman" w:hAnsi="Times New Roman" w:cs="Times New Roman"/>
          <w:b/>
          <w:i w:val="0"/>
          <w:sz w:val="22"/>
        </w:rPr>
        <w:t xml:space="preserve">Tabel 1. </w:t>
      </w:r>
      <w:r>
        <w:rPr>
          <w:rFonts w:ascii="Times New Roman" w:hAnsi="Times New Roman" w:cs="Times New Roman"/>
          <w:b w:val="0"/>
          <w:i w:val="0"/>
          <w:sz w:val="22"/>
        </w:rPr>
        <w:t>Evolusi definisi elemen laba lintas badan penyusun standar</w:t>
      </w:r>
    </w:p>
    <w:p>
      <w:pPr>
        <w:spacing w:lineRule="exact" w:line="240" w:before="0" w:after="80"/>
        <w:jc w:val="center"/>
      </w:pPr>
      <w:r>
        <w:rPr>
          <w:rFonts w:ascii="Times New Roman" w:hAnsi="Times New Roman" w:cs="Times New Roman"/>
          <w:b w:val="0"/>
          <w:i/>
          <w:sz w:val="22"/>
        </w:rPr>
        <w:t>Sumber: diolah dari Wolk et al. (2017), PDF hlm. 2–7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Sumber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Inti definisi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Orientasi</w:t>
            </w:r>
          </w:p>
        </w:tc>
      </w:tr>
      <w:tr>
        <w:tc>
          <w:tcPr>
            <w:tcW w:type="dxa" w:w="1814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ATB 2 / ATB 4 (AICPA)</w:t>
            </w:r>
          </w:p>
        </w:tc>
        <w:tc>
          <w:tcPr>
            <w:tcW w:type="dxa" w:w="4535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Income: hasil pengurangan revenues oleh COGS, beban lain, dan losses. Revenue: hasil penjualan barang/jasa, diukur dari harga yang dibebankan ke pelanggan. Expense: semua expired costs yang dapat dikurangkan dari revenues.</w:t>
            </w:r>
          </w:p>
        </w:tc>
        <w:tc>
          <w:tcPr>
            <w:tcW w:type="dxa" w:w="2154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Revenue–expense</w:t>
            </w:r>
          </w:p>
        </w:tc>
      </w:tr>
      <w:tr>
        <w:tc>
          <w:tcPr>
            <w:tcW w:type="dxa" w:w="1814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APB Statement 4</w:t>
            </w:r>
          </w:p>
        </w:tc>
        <w:tc>
          <w:tcPr>
            <w:tcW w:type="dxa" w:w="4535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Net income: selisih revenues atas expenses satu periode. Revenue: kenaikan bruto aset / penurunan bruto liabilitas dari aktivitas berorientasi laba, diukur sesuai GAAP. Expense: penurunan bruto aset / kenaikan bruto liabilitas dari aktivitas berorientasi laba.</w:t>
            </w:r>
          </w:p>
        </w:tc>
        <w:tc>
          <w:tcPr>
            <w:tcW w:type="dxa" w:w="2154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Transisi: bentuk asset–liability, pengukuran masih revenue–expense</w:t>
            </w:r>
          </w:p>
        </w:tc>
      </w:tr>
      <w:tr>
        <w:tc>
          <w:tcPr>
            <w:tcW w:type="dxa" w:w="1814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SFAC No. 6</w:t>
            </w:r>
          </w:p>
        </w:tc>
        <w:tc>
          <w:tcPr>
            <w:tcW w:type="dxa" w:w="4535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Comprehensive income: perubahan ekuitas (aset bersih) dari transaksi dan peristiwa non-pemilik. Revenue: arus masuk / peningkatan aset atau penyelesaian liabilitas dari operasi utama berkelanjutan. Expense: arus keluar / pemakaian aset atau timbulnya liabilitas dari operasi utama.</w:t>
            </w:r>
          </w:p>
        </w:tc>
        <w:tc>
          <w:tcPr>
            <w:tcW w:type="dxa" w:w="2154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Asset–liability</w:t>
            </w:r>
          </w:p>
        </w:tc>
      </w:tr>
      <w:tr>
        <w:tc>
          <w:tcPr>
            <w:tcW w:type="dxa" w:w="1814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FASB Codification</w:t>
            </w:r>
          </w:p>
        </w:tc>
        <w:tc>
          <w:tcPr>
            <w:tcW w:type="dxa" w:w="4535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Tujuan pelaporan comprehensive income: mengukur seluruh perubahan ekuitas dari transaksi non-pemilik yang diakui pada periode itu.</w:t>
            </w:r>
          </w:p>
        </w:tc>
        <w:tc>
          <w:tcPr>
            <w:tcW w:type="dxa" w:w="2154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Asset–liability (penegasan)</w:t>
            </w:r>
          </w:p>
        </w:tc>
      </w:tr>
    </w:tbl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Revenues (Pendapatan) — tiga rumusan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ATB 2</w:t>
      </w:r>
      <w:r>
        <w:rPr>
          <w:rFonts w:ascii="Times New Roman" w:hAnsi="Times New Roman" w:cs="Times New Roman"/>
          <w:b w:val="0"/>
          <w:i w:val="0"/>
          <w:sz w:val="24"/>
        </w:rPr>
        <w:t>: hasil penjualan barang/jasa, diukur dari beban ke pelanggan.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APB Statement 4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kenaikan kotor aset dari aktivitas laba — tampak bergeser ke aset, tapi karena bersandar </w:t>
      </w:r>
      <w:r>
        <w:rPr>
          <w:rFonts w:ascii="Times New Roman" w:hAnsi="Times New Roman" w:cs="Times New Roman"/>
          <w:b w:val="0"/>
          <w:i/>
          <w:sz w:val="24"/>
        </w:rPr>
        <w:t>GAAP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hakikatnya masih </w:t>
      </w:r>
      <w:r>
        <w:rPr>
          <w:rFonts w:ascii="Times New Roman" w:hAnsi="Times New Roman" w:cs="Times New Roman"/>
          <w:b w:val="0"/>
          <w:i/>
          <w:sz w:val="24"/>
        </w:rPr>
        <w:t>revenue–expense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SFAC No. 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kenaikan aset neto, sejalan </w:t>
      </w:r>
      <w:r>
        <w:rPr>
          <w:rFonts w:ascii="Times New Roman" w:hAnsi="Times New Roman" w:cs="Times New Roman"/>
          <w:b w:val="0"/>
          <w:i/>
          <w:sz w:val="24"/>
        </w:rPr>
        <w:t>comprehensive income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(Wolk et al., 2017, PDF hlm. 3).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Penting: </w:t>
      </w:r>
      <w:r>
        <w:rPr>
          <w:rFonts w:ascii="Times New Roman" w:hAnsi="Times New Roman" w:cs="Times New Roman"/>
          <w:b/>
          <w:i w:val="0"/>
          <w:sz w:val="24"/>
        </w:rPr>
        <w:t>definisi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harus dipisah dari </w:t>
      </w:r>
      <w:r>
        <w:rPr>
          <w:rFonts w:ascii="Times New Roman" w:hAnsi="Times New Roman" w:cs="Times New Roman"/>
          <w:b/>
          <w:i w:val="0"/>
          <w:sz w:val="24"/>
        </w:rPr>
        <w:t>pengakuan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recognition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dan </w:t>
      </w:r>
      <w:r>
        <w:rPr>
          <w:rFonts w:ascii="Times New Roman" w:hAnsi="Times New Roman" w:cs="Times New Roman"/>
          <w:b/>
          <w:i w:val="0"/>
          <w:sz w:val="24"/>
        </w:rPr>
        <w:t>pengukuran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measurement</w:t>
      </w:r>
      <w:r>
        <w:rPr>
          <w:rFonts w:ascii="Times New Roman" w:hAnsi="Times New Roman" w:cs="Times New Roman"/>
          <w:b w:val="0"/>
          <w:i w:val="0"/>
          <w:sz w:val="24"/>
        </w:rPr>
        <w:t>) — mencampurnya mengaburkan pertanyaan dasar "apa yang diukur", dan kedisiplinan ini jadi prasyarat Bagian III.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Gains, Expenses, dan Losses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Gains</w:t>
      </w:r>
      <w:r>
        <w:rPr>
          <w:rFonts w:ascii="Times New Roman" w:hAnsi="Times New Roman" w:cs="Times New Roman"/>
          <w:b w:val="0"/>
          <w:i w:val="0"/>
          <w:sz w:val="24"/>
        </w:rPr>
        <w:t>: APB Statement 4 = pendapatan dari sumber selain penjualan produk/jasa; SFAC No. 6 = kenaikan ekuitas dari transaksi periferal/insidental (Wolk et al., 2017, PDF hlm. 3).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Pembedaan </w:t>
      </w:r>
      <w:r>
        <w:rPr>
          <w:rFonts w:ascii="Times New Roman" w:hAnsi="Times New Roman" w:cs="Times New Roman"/>
          <w:b w:val="0"/>
          <w:i/>
          <w:sz w:val="24"/>
        </w:rPr>
        <w:t>revenue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vs </w:t>
      </w:r>
      <w:r>
        <w:rPr>
          <w:rFonts w:ascii="Times New Roman" w:hAnsi="Times New Roman" w:cs="Times New Roman"/>
          <w:b w:val="0"/>
          <w:i/>
          <w:sz w:val="24"/>
        </w:rPr>
        <w:t>gain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memicu debat </w:t>
      </w:r>
      <w:r>
        <w:rPr>
          <w:rFonts w:ascii="Times New Roman" w:hAnsi="Times New Roman" w:cs="Times New Roman"/>
          <w:b w:val="0"/>
          <w:i/>
          <w:sz w:val="24"/>
        </w:rPr>
        <w:t>current operating concept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(hanya aktivitas utama berulang) lawan </w:t>
      </w:r>
      <w:r>
        <w:rPr>
          <w:rFonts w:ascii="Times New Roman" w:hAnsi="Times New Roman" w:cs="Times New Roman"/>
          <w:b w:val="0"/>
          <w:i/>
          <w:sz w:val="24"/>
        </w:rPr>
        <w:t>all-inclusive concept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(semua dimasukkan) — dibahas di Bagian VI.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Expenses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tiga rumusan — </w:t>
      </w:r>
      <w:r>
        <w:rPr>
          <w:rFonts w:ascii="Times New Roman" w:hAnsi="Times New Roman" w:cs="Times New Roman"/>
          <w:b w:val="0"/>
          <w:i/>
          <w:sz w:val="24"/>
        </w:rPr>
        <w:t>expired cost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(ATB 4), penurunan aset neto dengan ukuran </w:t>
      </w:r>
      <w:r>
        <w:rPr>
          <w:rFonts w:ascii="Times New Roman" w:hAnsi="Times New Roman" w:cs="Times New Roman"/>
          <w:b w:val="0"/>
          <w:i/>
          <w:sz w:val="24"/>
        </w:rPr>
        <w:t>revenue–expense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(APB Statement 4), hingga arus keluar/penggunaan aset (SFAC No. 6) (Wolk et al., 2017, PDF hlm. 6).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Losses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(APB Statement 4 &amp; SFAC No. 6): penurunan aset neto di luar beban/transaksi modal; seperti </w:t>
      </w:r>
      <w:r>
        <w:rPr>
          <w:rFonts w:ascii="Times New Roman" w:hAnsi="Times New Roman" w:cs="Times New Roman"/>
          <w:b w:val="0"/>
          <w:i/>
          <w:sz w:val="24"/>
        </w:rPr>
        <w:t>gains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pembedaannya memudar di bawah </w:t>
      </w:r>
      <w:r>
        <w:rPr>
          <w:rFonts w:ascii="Times New Roman" w:hAnsi="Times New Roman" w:cs="Times New Roman"/>
          <w:b w:val="0"/>
          <w:i/>
          <w:sz w:val="24"/>
        </w:rPr>
        <w:t>all-inclusive concept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Dengan keempat elemen tertata, kita masuk persoalan tersulit: kapan pendapatan boleh diakui — pokok Bagian III.</w:t>
      </w:r>
    </w:p>
    <w:p>
      <w:pPr>
        <w:spacing w:lineRule="exact" w:line="240" w:before="80" w:after="40"/>
        <w:jc w:val="left"/>
      </w:pPr>
      <w:r>
        <w:rPr>
          <w:rFonts w:ascii="Times New Roman" w:hAnsi="Times New Roman" w:cs="Times New Roman"/>
          <w:b/>
          <w:i w:val="0"/>
          <w:sz w:val="26"/>
        </w:rPr>
        <w:t>III. Pengakuan Pendapatan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Idealnya pendapatan diakui saat aktivitas ekonomi utama rampung — tapi penyelesaian dan kemampuan mengukurnya kerap jatuh di periode berbeda (Wolk et al., 2017, PDF hlm. 4).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Ideal vs Kendala Keterukuran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Cita-cita teoretis</w:t>
      </w:r>
      <w:r>
        <w:rPr>
          <w:rFonts w:ascii="Times New Roman" w:hAnsi="Times New Roman" w:cs="Times New Roman"/>
          <w:b w:val="0"/>
          <w:i w:val="0"/>
          <w:sz w:val="24"/>
        </w:rPr>
        <w:t>: pendapatan melekat pada periode saat barang/jasa diciptakan dan dilepas.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Kendala keterukuran objektif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objective measurement</w:t>
      </w:r>
      <w:r>
        <w:rPr>
          <w:rFonts w:ascii="Times New Roman" w:hAnsi="Times New Roman" w:cs="Times New Roman"/>
          <w:b w:val="0"/>
          <w:i w:val="0"/>
          <w:sz w:val="24"/>
        </w:rPr>
        <w:t>): selama belum dapat diukur terverifikasi, pendapatan tidak boleh diakui.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SFAC No. 5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dinilai Wolk hanya mengulang konsep terdahulu secara </w:t>
      </w:r>
      <w:r>
        <w:rPr>
          <w:rFonts w:ascii="Times New Roman" w:hAnsi="Times New Roman" w:cs="Times New Roman"/>
          <w:b w:val="0"/>
          <w:i/>
          <w:sz w:val="24"/>
        </w:rPr>
        <w:t>ad hoc</w:t>
      </w:r>
      <w:r>
        <w:rPr>
          <w:rFonts w:ascii="Times New Roman" w:hAnsi="Times New Roman" w:cs="Times New Roman"/>
          <w:b w:val="0"/>
          <w:i w:val="0"/>
          <w:sz w:val="24"/>
        </w:rPr>
        <w:t>; inti soalnya tetap ketegangan relevansi vs reliabilitas (Wolk et al., 2017, PDF hlm. 4).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Empat Titik Waktu Pengakuan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Selama produksi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during production</w:t>
      </w:r>
      <w:r>
        <w:rPr>
          <w:rFonts w:ascii="Times New Roman" w:hAnsi="Times New Roman" w:cs="Times New Roman"/>
          <w:b w:val="0"/>
          <w:i w:val="0"/>
          <w:sz w:val="24"/>
        </w:rPr>
        <w:t>): kontrak jangka panjang/konstruksi (ARB 45 &amp; SOP 81-1), syaratnya estimasi andal atas kemajuan dan biaya.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Produksi selesai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completion of production</w:t>
      </w:r>
      <w:r>
        <w:rPr>
          <w:rFonts w:ascii="Times New Roman" w:hAnsi="Times New Roman" w:cs="Times New Roman"/>
          <w:b w:val="0"/>
          <w:i w:val="0"/>
          <w:sz w:val="24"/>
        </w:rPr>
        <w:t>): sebagian operasi pertanian/pertambangan (ARB 43, Bab 4) bila produk berpasar segera pada harga terkutip.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Penjualan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point of sale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): </w:t>
      </w:r>
      <w:r>
        <w:rPr>
          <w:rFonts w:ascii="Times New Roman" w:hAnsi="Times New Roman" w:cs="Times New Roman"/>
          <w:b/>
          <w:i w:val="0"/>
          <w:sz w:val="24"/>
        </w:rPr>
        <w:t>norma umum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sejak salah satu dari enam aturan AICPA 1934, saat hak hukum berpindah — kecuali ketertagihan tak wajar.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Kas terkumpul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cash collection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): lewat </w:t>
      </w:r>
      <w:r>
        <w:rPr>
          <w:rFonts w:ascii="Times New Roman" w:hAnsi="Times New Roman" w:cs="Times New Roman"/>
          <w:b/>
          <w:i w:val="0"/>
          <w:sz w:val="24"/>
        </w:rPr>
        <w:t>metode angsuran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installment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atau </w:t>
      </w:r>
      <w:r>
        <w:rPr>
          <w:rFonts w:ascii="Times New Roman" w:hAnsi="Times New Roman" w:cs="Times New Roman"/>
          <w:b w:val="0"/>
          <w:i/>
          <w:sz w:val="24"/>
        </w:rPr>
        <w:t>cost recovery</w:t>
      </w:r>
      <w:r>
        <w:rPr>
          <w:rFonts w:ascii="Times New Roman" w:hAnsi="Times New Roman" w:cs="Times New Roman"/>
          <w:b w:val="0"/>
          <w:i w:val="0"/>
          <w:sz w:val="24"/>
        </w:rPr>
        <w:t>; diizinkan SFAS No. 66 untuk real estat yang ketertagihannya tak terestimasi wajar (Wolk et al., 2017, PDF hlm. 4).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1463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1_titik_pengaku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63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40" w:before="0" w:after="0"/>
        <w:jc w:val="center"/>
      </w:pPr>
      <w:r>
        <w:rPr>
          <w:rFonts w:ascii="Times New Roman" w:hAnsi="Times New Roman" w:cs="Times New Roman"/>
          <w:b/>
          <w:i w:val="0"/>
          <w:sz w:val="22"/>
        </w:rPr>
        <w:t xml:space="preserve">Gambar 1. </w:t>
      </w:r>
      <w:r>
        <w:rPr>
          <w:rFonts w:ascii="Times New Roman" w:hAnsi="Times New Roman" w:cs="Times New Roman"/>
          <w:b w:val="0"/>
          <w:i w:val="0"/>
          <w:sz w:val="22"/>
        </w:rPr>
        <w:t>Empat titik waktu alternatif pengakuan pendapatan</w:t>
      </w:r>
    </w:p>
    <w:p>
      <w:pPr>
        <w:spacing w:lineRule="exact" w:line="240" w:before="0" w:after="120"/>
        <w:jc w:val="center"/>
      </w:pPr>
      <w:r>
        <w:rPr>
          <w:rFonts w:ascii="Times New Roman" w:hAnsi="Times New Roman" w:cs="Times New Roman"/>
          <w:b w:val="0"/>
          <w:i/>
          <w:sz w:val="22"/>
        </w:rPr>
        <w:t>Sumber: diolah dari Wolk et al. (2017), PDF hlm. 4–5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Evolusi Pengecualian dan Basis yang Dilarang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Asal-usul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AICPA mengembangkan standar via </w:t>
      </w:r>
      <w:r>
        <w:rPr>
          <w:rFonts w:ascii="Times New Roman" w:hAnsi="Times New Roman" w:cs="Times New Roman"/>
          <w:b w:val="0"/>
          <w:i/>
          <w:sz w:val="24"/>
        </w:rPr>
        <w:t>Accounting Guides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dan </w:t>
      </w:r>
      <w:r>
        <w:rPr>
          <w:rFonts w:ascii="Times New Roman" w:hAnsi="Times New Roman" w:cs="Times New Roman"/>
          <w:b w:val="0"/>
          <w:i/>
          <w:sz w:val="24"/>
        </w:rPr>
        <w:t>Statements of Position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(SOP), tapi karena tak wajib, praktiknya tidak konsisten.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Program ekstraksi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lewat SFAS No. 32 (1979) FASB mengekstraksi standar dari </w:t>
      </w:r>
      <w:r>
        <w:rPr>
          <w:rFonts w:ascii="Times New Roman" w:hAnsi="Times New Roman" w:cs="Times New Roman"/>
          <w:b w:val="0"/>
          <w:i/>
          <w:sz w:val="24"/>
        </w:rPr>
        <w:t>Guides</w:t>
      </w:r>
      <w:r>
        <w:rPr>
          <w:rFonts w:ascii="Times New Roman" w:hAnsi="Times New Roman" w:cs="Times New Roman"/>
          <w:b w:val="0"/>
          <w:i w:val="0"/>
          <w:sz w:val="24"/>
        </w:rPr>
        <w:t>/SOP, memodifikasinya agar konsisten, lalu menerbitkan sebagai SFAS — contoh real estat (No. 66).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Dilarang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basis </w:t>
      </w:r>
      <w:r>
        <w:rPr>
          <w:rFonts w:ascii="Times New Roman" w:hAnsi="Times New Roman" w:cs="Times New Roman"/>
          <w:b/>
          <w:i w:val="0"/>
          <w:sz w:val="24"/>
        </w:rPr>
        <w:t>akresi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accretion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pada kayu hutan dan basis </w:t>
      </w:r>
      <w:r>
        <w:rPr>
          <w:rFonts w:ascii="Times New Roman" w:hAnsi="Times New Roman" w:cs="Times New Roman"/>
          <w:b/>
          <w:i w:val="0"/>
          <w:sz w:val="24"/>
        </w:rPr>
        <w:t>penemuan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discovery</w:t>
      </w:r>
      <w:r>
        <w:rPr>
          <w:rFonts w:ascii="Times New Roman" w:hAnsi="Times New Roman" w:cs="Times New Roman"/>
          <w:b w:val="0"/>
          <w:i w:val="0"/>
          <w:sz w:val="24"/>
        </w:rPr>
        <w:t>) pada minyak/gas tidak diizinkan literatur otoritatif (Wolk et al., 2017, PDF hlm. 5).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Kriteria Sesungguhnya dan Celah Earnings Management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Penyelesaian proses perolehan laba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completion of the earnings process</w:t>
      </w:r>
      <w:r>
        <w:rPr>
          <w:rFonts w:ascii="Times New Roman" w:hAnsi="Times New Roman" w:cs="Times New Roman"/>
          <w:b w:val="0"/>
          <w:i w:val="0"/>
          <w:sz w:val="24"/>
        </w:rPr>
        <w:t>): pendapatan diakui saat peristiwa pemuncaknya terjadi.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Tiga atribut harus terukur andal</w:t>
      </w:r>
      <w:r>
        <w:rPr>
          <w:rFonts w:ascii="Times New Roman" w:hAnsi="Times New Roman" w:cs="Times New Roman"/>
          <w:b w:val="0"/>
          <w:i w:val="0"/>
          <w:sz w:val="24"/>
        </w:rPr>
        <w:t>: (a) harga jual, (b) penerimaan kas, (c) biaya masa depan — bila terestimasi memadai diakui, jika tidak ditunda.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"Achilles' heel"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sz w:val="24"/>
        </w:rPr>
        <w:t>earnings management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pada </w:t>
      </w:r>
      <w:r>
        <w:rPr>
          <w:rFonts w:ascii="Times New Roman" w:hAnsi="Times New Roman" w:cs="Times New Roman"/>
          <w:b w:val="0"/>
          <w:i/>
          <w:sz w:val="24"/>
        </w:rPr>
        <w:t>swap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kapasitas serat optik, </w:t>
      </w:r>
      <w:r>
        <w:rPr>
          <w:rFonts w:ascii="Times New Roman" w:hAnsi="Times New Roman" w:cs="Times New Roman"/>
          <w:b/>
          <w:i w:val="0"/>
          <w:sz w:val="24"/>
        </w:rPr>
        <w:t>Qwest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membukukan seluruh "pendapatan" seketika sementara serat diperoleh dikapitalisasi bertahun — padahal sekadar pertukaran aset (Wolk et al., 2017, PDF hlm. 5).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Konvergensi dan Ketegangan FASB–SEC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Standar tunggal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konvergensi FASB–IASB melahirkan </w:t>
      </w:r>
      <w:r>
        <w:rPr>
          <w:rFonts w:ascii="Times New Roman" w:hAnsi="Times New Roman" w:cs="Times New Roman"/>
          <w:b/>
          <w:i w:val="0"/>
          <w:sz w:val="24"/>
        </w:rPr>
        <w:t>ASU 2014-09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dan </w:t>
      </w:r>
      <w:r>
        <w:rPr>
          <w:rFonts w:ascii="Times New Roman" w:hAnsi="Times New Roman" w:cs="Times New Roman"/>
          <w:b/>
          <w:i w:val="0"/>
          <w:sz w:val="24"/>
        </w:rPr>
        <w:t>IFRS 15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SAB 101</w:t>
      </w:r>
      <w:r>
        <w:rPr>
          <w:rFonts w:ascii="Times New Roman" w:hAnsi="Times New Roman" w:cs="Times New Roman"/>
          <w:b w:val="0"/>
          <w:i w:val="0"/>
          <w:sz w:val="24"/>
        </w:rPr>
        <w:t>: SEC menerbitkannya menanggapi pelanggaran aturan pengakuan; FASB mengkritiknya terlalu mengekang sehingga laporan kurang berguna memprediksi arus kas.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Potensi *showdown</w:t>
      </w:r>
      <w:r>
        <w:rPr>
          <w:rFonts w:ascii="Times New Roman" w:hAnsi="Times New Roman" w:cs="Times New Roman"/>
          <w:b w:val="0"/>
          <w:i w:val="0"/>
          <w:sz w:val="24"/>
        </w:rPr>
        <w:t>*: ketegangan institusional FASB–SEC bisa memuncak bila FASB mengarahkan pengakuan ke valuasi neraca (Wolk et al., 2017, PDF hlm. 6).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Ketegangan reliabilitas vs </w:t>
      </w:r>
      <w:r>
        <w:rPr>
          <w:rFonts w:ascii="Times New Roman" w:hAnsi="Times New Roman" w:cs="Times New Roman"/>
          <w:b w:val="0"/>
          <w:i/>
          <w:sz w:val="24"/>
        </w:rPr>
        <w:t>decision usefulness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inilah latar pengakuan beban dan penandingan pada Bagian IV.</w:t>
      </w:r>
    </w:p>
    <w:p>
      <w:pPr>
        <w:spacing w:lineRule="exact" w:line="240" w:before="80" w:after="40"/>
        <w:jc w:val="left"/>
      </w:pPr>
      <w:r>
        <w:rPr>
          <w:rFonts w:ascii="Times New Roman" w:hAnsi="Times New Roman" w:cs="Times New Roman"/>
          <w:b/>
          <w:i w:val="0"/>
          <w:sz w:val="26"/>
        </w:rPr>
        <w:t>IV. Pengakuan Beban dan Matching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Jika pendapatan soal </w:t>
      </w:r>
      <w:r>
        <w:rPr>
          <w:rFonts w:ascii="Times New Roman" w:hAnsi="Times New Roman" w:cs="Times New Roman"/>
          <w:b w:val="0"/>
          <w:i/>
          <w:sz w:val="24"/>
        </w:rPr>
        <w:t>kapan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arus masuk diakui, beban menghadapi soal lebih dalam: </w:t>
      </w:r>
      <w:r>
        <w:rPr>
          <w:rFonts w:ascii="Times New Roman" w:hAnsi="Times New Roman" w:cs="Times New Roman"/>
          <w:b w:val="0"/>
          <w:i/>
          <w:sz w:val="24"/>
        </w:rPr>
        <w:t>bagaimana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membebankan biaya ke periode yang tepat.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Tiga Kategori Beban dan Hierarki Matching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Tiga kategori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APB Statement 4: (1) biaya </w:t>
      </w:r>
      <w:r>
        <w:rPr>
          <w:rFonts w:ascii="Times New Roman" w:hAnsi="Times New Roman" w:cs="Times New Roman"/>
          <w:b/>
          <w:i w:val="0"/>
          <w:sz w:val="24"/>
        </w:rPr>
        <w:t>berhubungan langsung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dengan pendapatan periode; (2) biaya dikaitkan ke periode atas dasar selain hubungan langsung; (3) biaya yang praktis tak dapat dikaitkan ke periode mana pun (Wolk et al., 2017, PDF hlm. 6).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Hierarki matching tiga tingkat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bila bisa, </w:t>
      </w:r>
      <w:r>
        <w:rPr>
          <w:rFonts w:ascii="Times New Roman" w:hAnsi="Times New Roman" w:cs="Times New Roman"/>
          <w:b/>
          <w:i w:val="0"/>
          <w:sz w:val="24"/>
        </w:rPr>
        <w:t>hubungan sebab-akibat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cause-and-effect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); bila tidak, </w:t>
      </w:r>
      <w:r>
        <w:rPr>
          <w:rFonts w:ascii="Times New Roman" w:hAnsi="Times New Roman" w:cs="Times New Roman"/>
          <w:b/>
          <w:i w:val="0"/>
          <w:sz w:val="24"/>
        </w:rPr>
        <w:t>alokasi sistematis dan rasional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systematic and rational allocation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); bila tak ada keduanya, </w:t>
      </w:r>
      <w:r>
        <w:rPr>
          <w:rFonts w:ascii="Times New Roman" w:hAnsi="Times New Roman" w:cs="Times New Roman"/>
          <w:b/>
          <w:i w:val="0"/>
          <w:sz w:val="24"/>
        </w:rPr>
        <w:t>beban periode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period expense</w:t>
      </w:r>
      <w:r>
        <w:rPr>
          <w:rFonts w:ascii="Times New Roman" w:hAnsi="Times New Roman" w:cs="Times New Roman"/>
          <w:b w:val="0"/>
          <w:i w:val="0"/>
          <w:sz w:val="24"/>
        </w:rPr>
        <w:t>) saat terjadi (Wolk et al., 2017, PDF hlm. 6).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1402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2_hierarki_match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02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40" w:before="0" w:after="0"/>
        <w:jc w:val="center"/>
      </w:pPr>
      <w:r>
        <w:rPr>
          <w:rFonts w:ascii="Times New Roman" w:hAnsi="Times New Roman" w:cs="Times New Roman"/>
          <w:b/>
          <w:i w:val="0"/>
          <w:sz w:val="22"/>
        </w:rPr>
        <w:t xml:space="preserve">Gambar 2. </w:t>
      </w:r>
      <w:r>
        <w:rPr>
          <w:rFonts w:ascii="Times New Roman" w:hAnsi="Times New Roman" w:cs="Times New Roman"/>
          <w:b w:val="0"/>
          <w:i w:val="0"/>
          <w:sz w:val="22"/>
        </w:rPr>
        <w:t>Hierarki tiga tingkat pengakuan beban dan kritik alokasi Thomas</w:t>
      </w:r>
    </w:p>
    <w:p>
      <w:pPr>
        <w:spacing w:lineRule="exact" w:line="240" w:before="0" w:after="120"/>
        <w:jc w:val="center"/>
      </w:pPr>
      <w:r>
        <w:rPr>
          <w:rFonts w:ascii="Times New Roman" w:hAnsi="Times New Roman" w:cs="Times New Roman"/>
          <w:b w:val="0"/>
          <w:i/>
          <w:sz w:val="22"/>
        </w:rPr>
        <w:t>Sumber: diolah dari Wolk et al. (2017), PDF hlm. 7–8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Di Mana Persoalan Bersarang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Kategori 3 tidak bermasalah</w:t>
      </w:r>
      <w:r>
        <w:rPr>
          <w:rFonts w:ascii="Times New Roman" w:hAnsi="Times New Roman" w:cs="Times New Roman"/>
          <w:b w:val="0"/>
          <w:i w:val="0"/>
          <w:sz w:val="24"/>
        </w:rPr>
        <w:t>: pemicunya jelas (tiada manfaat masa depan); biaya tak bermanfaat — misal bangunan terbakar — langsung jadi beban/kerugian (Wolk et al., 2017, PDF hlm. 7).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Kategori 1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bahan baku &amp; tenaga kerja langsung mudah ditandingkan, tapi </w:t>
      </w:r>
      <w:r>
        <w:rPr>
          <w:rFonts w:ascii="Times New Roman" w:hAnsi="Times New Roman" w:cs="Times New Roman"/>
          <w:b w:val="0"/>
          <w:i/>
          <w:sz w:val="24"/>
        </w:rPr>
        <w:t>overhead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tetap menuntut alokasi.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Kategori 2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= persoalan pengakuan beban sesungguhnya: standar alokasi tidak menetapkan </w:t>
      </w:r>
      <w:r>
        <w:rPr>
          <w:rFonts w:ascii="Times New Roman" w:hAnsi="Times New Roman" w:cs="Times New Roman"/>
          <w:b w:val="0"/>
          <w:i/>
          <w:sz w:val="24"/>
        </w:rPr>
        <w:t>peristiwa pemicu</w:t>
      </w:r>
      <w:r>
        <w:rPr>
          <w:rFonts w:ascii="Times New Roman" w:hAnsi="Times New Roman" w:cs="Times New Roman"/>
          <w:b w:val="0"/>
          <w:i w:val="0"/>
          <w:sz w:val="24"/>
        </w:rPr>
        <w:t>, hanya besaran yang diamortisasi, tanpa menjelaskan kapan manfaat aset diberikan (Wolk et al., 2017, PDF hlm. 7).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Tesis Thomas: Alokasi Bersifat Arbitrer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Historical cost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wajib mengalokasikan biaya yang telah terjadi: penyusutan, amortisasi </w:t>
      </w:r>
      <w:r>
        <w:rPr>
          <w:rFonts w:ascii="Times New Roman" w:hAnsi="Times New Roman" w:cs="Times New Roman"/>
          <w:b w:val="0"/>
          <w:i/>
          <w:sz w:val="24"/>
        </w:rPr>
        <w:t>goodwill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&amp; premium/diskon obligasi, hingga metode persediaan (FIFO, LIFO, rata-rata tertimbang) (Wolk et al., 2017, PDF hlm. 8).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Tesis Thomas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memilih satu metode atas lainnya </w:t>
      </w:r>
      <w:r>
        <w:rPr>
          <w:rFonts w:ascii="Times New Roman" w:hAnsi="Times New Roman" w:cs="Times New Roman"/>
          <w:b w:val="0"/>
          <w:i/>
          <w:sz w:val="24"/>
        </w:rPr>
        <w:t>meaningless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karena keunggulannya </w:t>
      </w:r>
      <w:r>
        <w:rPr>
          <w:rFonts w:ascii="Times New Roman" w:hAnsi="Times New Roman" w:cs="Times New Roman"/>
          <w:b/>
          <w:i w:val="0"/>
          <w:sz w:val="24"/>
        </w:rPr>
        <w:t>tidak dapat diverifikasi maupun dibantah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can be neither verified nor refuted</w:t>
      </w:r>
      <w:r>
        <w:rPr>
          <w:rFonts w:ascii="Times New Roman" w:hAnsi="Times New Roman" w:cs="Times New Roman"/>
          <w:b w:val="0"/>
          <w:i w:val="0"/>
          <w:sz w:val="24"/>
        </w:rPr>
        <w:t>) — garis lurus vs dipercepat, FIFO vs LIFO sama tak terbuktikan.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Pukulannya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semua alokasi akuntansi pada akhirnya </w:t>
      </w:r>
      <w:r>
        <w:rPr>
          <w:rFonts w:ascii="Times New Roman" w:hAnsi="Times New Roman" w:cs="Times New Roman"/>
          <w:b/>
          <w:i w:val="0"/>
          <w:sz w:val="24"/>
        </w:rPr>
        <w:t>arbitrer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menggugat klaim reliabilitas yang jadi pembenaran utama </w:t>
      </w:r>
      <w:r>
        <w:rPr>
          <w:rFonts w:ascii="Times New Roman" w:hAnsi="Times New Roman" w:cs="Times New Roman"/>
          <w:b w:val="0"/>
          <w:i/>
          <w:sz w:val="24"/>
        </w:rPr>
        <w:t>historical cost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(Wolk et al., 2017, PDF hlm. 8).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Alternatif dan Bantahan Empiris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Allocation-free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sebagian pihak mengadvokasi laporan </w:t>
      </w:r>
      <w:r>
        <w:rPr>
          <w:rFonts w:ascii="Times New Roman" w:hAnsi="Times New Roman" w:cs="Times New Roman"/>
          <w:b/>
          <w:i w:val="0"/>
          <w:sz w:val="24"/>
        </w:rPr>
        <w:t>bebas alokasi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>laporan arus kas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cash flow statements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), </w:t>
      </w:r>
      <w:r>
        <w:rPr>
          <w:rFonts w:ascii="Times New Roman" w:hAnsi="Times New Roman" w:cs="Times New Roman"/>
          <w:b/>
          <w:i w:val="0"/>
          <w:sz w:val="24"/>
        </w:rPr>
        <w:t>sistem harga keluar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exit-price systems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), dan jenis tertentu </w:t>
      </w:r>
      <w:r>
        <w:rPr>
          <w:rFonts w:ascii="Times New Roman" w:hAnsi="Times New Roman" w:cs="Times New Roman"/>
          <w:b/>
          <w:i w:val="0"/>
          <w:sz w:val="24"/>
        </w:rPr>
        <w:t>sistem biaya pengganti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replacement-cost systems</w:t>
      </w:r>
      <w:r>
        <w:rPr>
          <w:rFonts w:ascii="Times New Roman" w:hAnsi="Times New Roman" w:cs="Times New Roman"/>
          <w:b w:val="0"/>
          <w:i w:val="0"/>
          <w:sz w:val="24"/>
        </w:rPr>
        <w:t>) (Wolk et al., 2017, PDF hlm. 8).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Bantahan information content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meski alokasi arbitrer, angka laba tetap punya </w:t>
      </w:r>
      <w:r>
        <w:rPr>
          <w:rFonts w:ascii="Times New Roman" w:hAnsi="Times New Roman" w:cs="Times New Roman"/>
          <w:b/>
          <w:i w:val="0"/>
          <w:sz w:val="24"/>
        </w:rPr>
        <w:t>kandungan informasi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information content</w:t>
      </w:r>
      <w:r>
        <w:rPr>
          <w:rFonts w:ascii="Times New Roman" w:hAnsi="Times New Roman" w:cs="Times New Roman"/>
          <w:b w:val="0"/>
          <w:i w:val="0"/>
          <w:sz w:val="24"/>
        </w:rPr>
        <w:t>) bagi pengguna eksternal.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Bukti pasar modal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riset </w:t>
      </w:r>
      <w:r>
        <w:rPr>
          <w:rFonts w:ascii="Times New Roman" w:hAnsi="Times New Roman" w:cs="Times New Roman"/>
          <w:b w:val="0"/>
          <w:i/>
          <w:sz w:val="24"/>
        </w:rPr>
        <w:t>capital market research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(Bab 8) menunjukkan kegunaan informasi akuntansi adalah soal empiris yang melampaui logika deduktif masalah alokasi (Wolk et al., 2017, PDF hlm. 8).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Setelah memetakan pengakuan pendapatan dan beban, kita beralih ke peran </w:t>
      </w:r>
      <w:r>
        <w:rPr>
          <w:rFonts w:ascii="Times New Roman" w:hAnsi="Times New Roman" w:cs="Times New Roman"/>
          <w:b/>
          <w:i w:val="0"/>
          <w:sz w:val="24"/>
        </w:rPr>
        <w:t>peristiwa masa depan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future events</w:t>
      </w:r>
      <w:r>
        <w:rPr>
          <w:rFonts w:ascii="Times New Roman" w:hAnsi="Times New Roman" w:cs="Times New Roman"/>
          <w:b w:val="0"/>
          <w:i w:val="0"/>
          <w:sz w:val="24"/>
        </w:rPr>
        <w:t>) dalam pengakuan, pokok Bagian V.</w:t>
      </w:r>
    </w:p>
    <w:p>
      <w:pPr>
        <w:spacing w:lineRule="exact" w:line="240" w:before="80" w:after="40"/>
        <w:jc w:val="left"/>
      </w:pPr>
      <w:r>
        <w:rPr>
          <w:rFonts w:ascii="Times New Roman" w:hAnsi="Times New Roman" w:cs="Times New Roman"/>
          <w:b/>
          <w:i w:val="0"/>
          <w:sz w:val="26"/>
        </w:rPr>
        <w:t>V. Future Events dan Pengakuan Akuntansi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Akuntansi mencatat peristiwa yang sudah terjadi, tetapi pencatatan itu selalu bergantung pada tafsiran kita atas </w:t>
      </w:r>
      <w:r>
        <w:rPr>
          <w:rFonts w:ascii="Times New Roman" w:hAnsi="Times New Roman" w:cs="Times New Roman"/>
          <w:b/>
          <w:i w:val="0"/>
          <w:sz w:val="24"/>
        </w:rPr>
        <w:t>peristiwa masa depan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future events</w:t>
      </w:r>
      <w:r>
        <w:rPr>
          <w:rFonts w:ascii="Times New Roman" w:hAnsi="Times New Roman" w:cs="Times New Roman"/>
          <w:b w:val="0"/>
          <w:i w:val="0"/>
          <w:sz w:val="24"/>
        </w:rPr>
        <w:t>) (Wolk et al., 2017, PDF hlm. 8).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Mengapa Masa Depan Selalu Ikut Dihitung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Akrual &amp; deferral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setiap </w:t>
      </w:r>
      <w:r>
        <w:rPr>
          <w:rFonts w:ascii="Times New Roman" w:hAnsi="Times New Roman" w:cs="Times New Roman"/>
          <w:b w:val="0"/>
          <w:i/>
          <w:sz w:val="24"/>
        </w:rPr>
        <w:t>accrual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dan </w:t>
      </w:r>
      <w:r>
        <w:rPr>
          <w:rFonts w:ascii="Times New Roman" w:hAnsi="Times New Roman" w:cs="Times New Roman"/>
          <w:b w:val="0"/>
          <w:i/>
          <w:sz w:val="24"/>
        </w:rPr>
        <w:t>deferral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bergantung pada peristiwa masa depan dalam derajat berbeda.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Contoh depresiasi</w:t>
      </w:r>
      <w:r>
        <w:rPr>
          <w:rFonts w:ascii="Times New Roman" w:hAnsi="Times New Roman" w:cs="Times New Roman"/>
          <w:b w:val="0"/>
          <w:i w:val="0"/>
          <w:sz w:val="24"/>
        </w:rPr>
        <w:t>: perhitungannya bergantung pada taksiran umur ekonomis dan nilai sisa aset (Wolk et al., 2017, PDF hlm. 8).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Definisi SFAC No. 6</w:t>
      </w:r>
      <w:r>
        <w:rPr>
          <w:rFonts w:ascii="Times New Roman" w:hAnsi="Times New Roman" w:cs="Times New Roman"/>
          <w:b w:val="0"/>
          <w:i w:val="0"/>
          <w:sz w:val="24"/>
        </w:rPr>
        <w:t>: aset = pengendalian dari transaksi masa lalu yang memberi manfaat ekonomi masa depan; liabilitas = kewajiban dari transaksi masa lalu yang menuntut pengorbanan sumber daya masa depan — keduanya seimbang antara masa lalu dan masa depan.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Konsensus global</w:t>
      </w:r>
      <w:r>
        <w:rPr>
          <w:rFonts w:ascii="Times New Roman" w:hAnsi="Times New Roman" w:cs="Times New Roman"/>
          <w:b w:val="0"/>
          <w:i w:val="0"/>
          <w:sz w:val="24"/>
        </w:rPr>
        <w:t>: definisi serupa dipakai IASB serta penyusun standar di Inggris, Australia, dan Kanada.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Konferensi 1994</w:t>
      </w:r>
      <w:r>
        <w:rPr>
          <w:rFonts w:ascii="Times New Roman" w:hAnsi="Times New Roman" w:cs="Times New Roman"/>
          <w:b w:val="0"/>
          <w:i w:val="0"/>
          <w:sz w:val="24"/>
        </w:rPr>
        <w:t>: karena perlakuannya belum tersistematisasi, badan penyusun standar mulai mengkajinya serius (Wolk et al., 2017, PDF hlm. 8–9).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One-Event vs Two-Event View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One-event view</w:t>
      </w:r>
      <w:r>
        <w:rPr>
          <w:rFonts w:ascii="Times New Roman" w:hAnsi="Times New Roman" w:cs="Times New Roman"/>
          <w:b w:val="0"/>
          <w:i w:val="0"/>
          <w:sz w:val="24"/>
        </w:rPr>
        <w:t>: transaksi diakui saat peristiwa awal terjadi (mis. saat tawaran pensiun dini dibuat), sangat bergantung pada estimasi probabilistik.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Two-event view</w:t>
      </w:r>
      <w:r>
        <w:rPr>
          <w:rFonts w:ascii="Times New Roman" w:hAnsi="Times New Roman" w:cs="Times New Roman"/>
          <w:b w:val="0"/>
          <w:i w:val="0"/>
          <w:sz w:val="24"/>
        </w:rPr>
        <w:t>: liabilitas baru diakui saat peristiwa kedua terjadi (mis. saat karyawan menerima tawaran).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Keduanya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konsisten dengan SFAC No. 6 (Wolk et al., 2017, PDF hlm. 9).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953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3_future_ev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95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40" w:before="0" w:after="0"/>
        <w:jc w:val="center"/>
      </w:pPr>
      <w:r>
        <w:rPr>
          <w:rFonts w:ascii="Times New Roman" w:hAnsi="Times New Roman" w:cs="Times New Roman"/>
          <w:b/>
          <w:i w:val="0"/>
          <w:sz w:val="22"/>
        </w:rPr>
        <w:t xml:space="preserve">Gambar 3. </w:t>
      </w:r>
      <w:r>
        <w:rPr>
          <w:rFonts w:ascii="Times New Roman" w:hAnsi="Times New Roman" w:cs="Times New Roman"/>
          <w:b w:val="0"/>
          <w:i w:val="0"/>
          <w:sz w:val="22"/>
        </w:rPr>
        <w:t>Peta isu future events dalam pengakuan akuntansi</w:t>
      </w:r>
    </w:p>
    <w:p>
      <w:pPr>
        <w:spacing w:lineRule="exact" w:line="240" w:before="0" w:after="120"/>
        <w:jc w:val="center"/>
      </w:pPr>
      <w:r>
        <w:rPr>
          <w:rFonts w:ascii="Times New Roman" w:hAnsi="Times New Roman" w:cs="Times New Roman"/>
          <w:b w:val="0"/>
          <w:i/>
          <w:sz w:val="22"/>
        </w:rPr>
        <w:t>Sumber: diolah dari Wolk et al. (2017), PDF hlm. 8–11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Sifat Probabilistik dan Tiga Pendekatan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SFAS No. 5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loss contingencies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memakai gradasi: </w:t>
      </w:r>
      <w:r>
        <w:rPr>
          <w:rFonts w:ascii="Times New Roman" w:hAnsi="Times New Roman" w:cs="Times New Roman"/>
          <w:b w:val="0"/>
          <w:i/>
          <w:sz w:val="24"/>
        </w:rPr>
        <w:t>probable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(di atas 50%), </w:t>
      </w:r>
      <w:r>
        <w:rPr>
          <w:rFonts w:ascii="Times New Roman" w:hAnsi="Times New Roman" w:cs="Times New Roman"/>
          <w:b w:val="0"/>
          <w:i/>
          <w:sz w:val="24"/>
        </w:rPr>
        <w:t>reasonably possible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dan </w:t>
      </w:r>
      <w:r>
        <w:rPr>
          <w:rFonts w:ascii="Times New Roman" w:hAnsi="Times New Roman" w:cs="Times New Roman"/>
          <w:b w:val="0"/>
          <w:i/>
          <w:sz w:val="24"/>
        </w:rPr>
        <w:t>remote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Pendekatan modal</w:t>
      </w:r>
      <w:r>
        <w:rPr>
          <w:rFonts w:ascii="Times New Roman" w:hAnsi="Times New Roman" w:cs="Times New Roman"/>
          <w:b w:val="0"/>
          <w:i w:val="0"/>
          <w:sz w:val="24"/>
        </w:rPr>
        <w:t>: pakai peristiwa tunggal yang paling mungkin.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Pendekatan probabilitas tertimbang</w:t>
      </w:r>
      <w:r>
        <w:rPr>
          <w:rFonts w:ascii="Times New Roman" w:hAnsi="Times New Roman" w:cs="Times New Roman"/>
          <w:b w:val="0"/>
          <w:i w:val="0"/>
          <w:sz w:val="24"/>
        </w:rPr>
        <w:t>: jumlahkan tiap hasil dikalikan probabilitasnya.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Pendekatan probabilitas kumulatif</w:t>
      </w:r>
      <w:r>
        <w:rPr>
          <w:rFonts w:ascii="Times New Roman" w:hAnsi="Times New Roman" w:cs="Times New Roman"/>
          <w:b w:val="0"/>
          <w:i w:val="0"/>
          <w:sz w:val="24"/>
        </w:rPr>
        <w:t>: gabungkan seluruh hasil sukses, akui jika kombinasinya melampaui 50% (Wolk et al., 2017, PDF hlm. 9–10).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Yang Ditolak dan Yang Dianjurkan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Tolak *management intent</w:t>
      </w:r>
      <w:r>
        <w:rPr>
          <w:rFonts w:ascii="Times New Roman" w:hAnsi="Times New Roman" w:cs="Times New Roman"/>
          <w:b w:val="0"/>
          <w:i/>
          <w:sz w:val="24"/>
        </w:rPr>
        <w:t xml:space="preserve">: maksud manajemen bisa berubah dan rawan </w:t>
      </w:r>
      <w:r>
        <w:rPr>
          <w:rFonts w:ascii="Times New Roman" w:hAnsi="Times New Roman" w:cs="Times New Roman"/>
          <w:b w:val="0"/>
          <w:i/>
          <w:sz w:val="24"/>
        </w:rPr>
        <w:t>teori keagenan</w:t>
      </w:r>
      <w:r>
        <w:rPr>
          <w:rFonts w:ascii="Times New Roman" w:hAnsi="Times New Roman" w:cs="Times New Roman"/>
          <w:b w:val="0"/>
          <w:i/>
          <w:sz w:val="24"/>
        </w:rPr>
        <w:t xml:space="preserve">, sehingga menurunkan </w:t>
      </w:r>
      <w:r>
        <w:rPr>
          <w:rFonts w:ascii="Times New Roman" w:hAnsi="Times New Roman" w:cs="Times New Roman"/>
          <w:b w:val="0"/>
          <w:i/>
          <w:sz w:val="24"/>
        </w:rPr>
        <w:t>keterbandingan</w:t>
      </w:r>
      <w:r>
        <w:rPr>
          <w:rFonts w:ascii="Times New Roman" w:hAnsi="Times New Roman" w:cs="Times New Roman"/>
          <w:b w:val="0"/>
          <w:i/>
          <w:sz w:val="24"/>
        </w:rPr>
        <w:t xml:space="preserve"> (</w:t>
      </w:r>
      <w:r>
        <w:rPr>
          <w:rFonts w:ascii="Times New Roman" w:hAnsi="Times New Roman" w:cs="Times New Roman"/>
          <w:b w:val="0"/>
          <w:i w:val="0"/>
          <w:sz w:val="24"/>
        </w:rPr>
        <w:t>comparability*) (Wolk et al., 2017, PDF hlm. 9–10).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Beaver — nilai pasar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Times New Roman" w:hAnsi="Times New Roman" w:cs="Times New Roman"/>
          <w:b w:val="0"/>
          <w:i/>
          <w:sz w:val="24"/>
        </w:rPr>
        <w:t>market values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kaya informasi peristiwa masa depan, walau sekuritas tipis memunculkan masalah </w:t>
      </w:r>
      <w:r>
        <w:rPr>
          <w:rFonts w:ascii="Times New Roman" w:hAnsi="Times New Roman" w:cs="Times New Roman"/>
          <w:b/>
          <w:i w:val="0"/>
          <w:sz w:val="24"/>
        </w:rPr>
        <w:t>representasi tepat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representational faithfulness</w:t>
      </w:r>
      <w:r>
        <w:rPr>
          <w:rFonts w:ascii="Times New Roman" w:hAnsi="Times New Roman" w:cs="Times New Roman"/>
          <w:b w:val="0"/>
          <w:i w:val="0"/>
          <w:sz w:val="24"/>
        </w:rPr>
        <w:t>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Beaver — konservatisme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Times New Roman" w:hAnsi="Times New Roman" w:cs="Times New Roman"/>
          <w:b w:val="0"/>
          <w:i/>
          <w:sz w:val="24"/>
        </w:rPr>
        <w:t>conservatism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unggul menyebarkan "berita buruk", penyeimbang bias optimistik sumber lain (Wolk et al., 2017, PDF hlm. 10).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Hanya hukum yang disahkan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jangan ramalkan perubahan kondisi ekonomi/hukum kecuali sudah jadi undang-undang — seperti </w:t>
      </w:r>
      <w:r>
        <w:rPr>
          <w:rFonts w:ascii="Times New Roman" w:hAnsi="Times New Roman" w:cs="Times New Roman"/>
          <w:b/>
          <w:i w:val="0"/>
          <w:sz w:val="24"/>
        </w:rPr>
        <w:t>SFAS No. 109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yang mengasumsikan tarif pajak masa depan sama dengan tarif kini sampai perubahan diberlakukan secara hukum (Wolk et al., 2017, PDF hlm. 10).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Berikutnya kita masuk ke perdebatan </w:t>
      </w:r>
      <w:r>
        <w:rPr>
          <w:rFonts w:ascii="Times New Roman" w:hAnsi="Times New Roman" w:cs="Times New Roman"/>
          <w:b w:val="0"/>
          <w:i/>
          <w:sz w:val="24"/>
        </w:rPr>
        <w:t>current operating versus all-inclusive income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pada Bagian VI.</w:t>
      </w:r>
    </w:p>
    <w:p>
      <w:pPr>
        <w:spacing w:lineRule="exact" w:line="240" w:before="80" w:after="40"/>
        <w:jc w:val="left"/>
      </w:pPr>
      <w:r>
        <w:rPr>
          <w:rFonts w:ascii="Times New Roman" w:hAnsi="Times New Roman" w:cs="Times New Roman"/>
          <w:b/>
          <w:i w:val="0"/>
          <w:sz w:val="26"/>
        </w:rPr>
        <w:t>VI. Current Operating versus All-Inclusive Income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Hingga 1968 ada kontroversi tajam: di mana untung-rugi yang </w:t>
      </w:r>
      <w:r>
        <w:rPr>
          <w:rFonts w:ascii="Times New Roman" w:hAnsi="Times New Roman" w:cs="Times New Roman"/>
          <w:b/>
          <w:i w:val="0"/>
          <w:sz w:val="24"/>
        </w:rPr>
        <w:t>tidak lazim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unusual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dan </w:t>
      </w:r>
      <w:r>
        <w:rPr>
          <w:rFonts w:ascii="Times New Roman" w:hAnsi="Times New Roman" w:cs="Times New Roman"/>
          <w:b/>
          <w:i w:val="0"/>
          <w:sz w:val="24"/>
        </w:rPr>
        <w:t>jarang terjadi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infrequent</w:t>
      </w:r>
      <w:r>
        <w:rPr>
          <w:rFonts w:ascii="Times New Roman" w:hAnsi="Times New Roman" w:cs="Times New Roman"/>
          <w:b w:val="0"/>
          <w:i w:val="0"/>
          <w:sz w:val="24"/>
        </w:rPr>
        <w:t>) disajikan — di laporan laba rugi atau laporan laba ditahan? (Wolk et al., 2017, PDF hlm. 11).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Dua Aliran yang Bersaing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Current operating</w:t>
      </w:r>
      <w:r>
        <w:rPr>
          <w:rFonts w:ascii="Times New Roman" w:hAnsi="Times New Roman" w:cs="Times New Roman"/>
          <w:b w:val="0"/>
          <w:i w:val="0"/>
          <w:sz w:val="24"/>
        </w:rPr>
        <w:t>: laporan laba rugi hanya memuat pos operasi normal; pos nonoperasi masuk laporan laba ditahan.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All-inclusive</w:t>
      </w:r>
      <w:r>
        <w:rPr>
          <w:rFonts w:ascii="Times New Roman" w:hAnsi="Times New Roman" w:cs="Times New Roman"/>
          <w:b w:val="0"/>
          <w:i w:val="0"/>
          <w:sz w:val="24"/>
        </w:rPr>
        <w:t>: seluruh komponen laba komprehensif masuk laporan laba rugi, sehingga laporan laba ditahan hanya mencerminkan total laba, dividen, serta saldo awal dan akhir (Wolk et al., 2017, PDF hlm. 11).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Argumen Tiap Pihak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Pro current operating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laporan laba rugi lebih berguna menilai </w:t>
      </w:r>
      <w:r>
        <w:rPr>
          <w:rFonts w:ascii="Times New Roman" w:hAnsi="Times New Roman" w:cs="Times New Roman"/>
          <w:b/>
          <w:i w:val="0"/>
          <w:sz w:val="24"/>
        </w:rPr>
        <w:t>kinerja manajemen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dan memprediksi tahun depan bila pos ekstraneus dikeluarkan; sebagian besar pengguna hanya menatap </w:t>
      </w:r>
      <w:r>
        <w:rPr>
          <w:rFonts w:ascii="Times New Roman" w:hAnsi="Times New Roman" w:cs="Times New Roman"/>
          <w:b/>
          <w:i w:val="0"/>
          <w:sz w:val="24"/>
        </w:rPr>
        <w:t>laba bersih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bottom-line net income</w:t>
      </w:r>
      <w:r>
        <w:rPr>
          <w:rFonts w:ascii="Times New Roman" w:hAnsi="Times New Roman" w:cs="Times New Roman"/>
          <w:b w:val="0"/>
          <w:i w:val="0"/>
          <w:sz w:val="24"/>
        </w:rPr>
        <w:t>), jadi pos nonoperasi material bisa menyesatkan (Wolk et al., 2017, PDF hlm. 11).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All-inclusive #1 — anti-manipulasi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Times New Roman" w:hAnsi="Times New Roman" w:cs="Times New Roman"/>
          <w:b w:val="0"/>
          <w:i/>
          <w:sz w:val="24"/>
        </w:rPr>
        <w:t>current operating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mengundang </w:t>
      </w:r>
      <w:r>
        <w:rPr>
          <w:rFonts w:ascii="Times New Roman" w:hAnsi="Times New Roman" w:cs="Times New Roman"/>
          <w:b/>
          <w:i w:val="0"/>
          <w:sz w:val="24"/>
        </w:rPr>
        <w:t>manipulasi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karena manajemen yang menentukan keluarbiasaan suatu pos.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All-inclusive #2 — transparansi</w:t>
      </w:r>
      <w:r>
        <w:rPr>
          <w:rFonts w:ascii="Times New Roman" w:hAnsi="Times New Roman" w:cs="Times New Roman"/>
          <w:b w:val="0"/>
          <w:i w:val="0"/>
          <w:sz w:val="24"/>
        </w:rPr>
        <w:t>: pengguna justru tersesat oleh untung-rugi besar yang "tersembunyi" di laporan laba ditahan.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All-inclusive #3 — identitas penjumlahan</w:t>
      </w:r>
      <w:r>
        <w:rPr>
          <w:rFonts w:ascii="Times New Roman" w:hAnsi="Times New Roman" w:cs="Times New Roman"/>
          <w:b w:val="0"/>
          <w:i w:val="0"/>
          <w:sz w:val="24"/>
        </w:rPr>
        <w:t>: total laba selintas tahun seharusnya sama dengan laba bersih entitas, dan hanya all-inclusive yang menjaminnya.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All-inclusive #4 — klasifikasi cukup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Times New Roman" w:hAnsi="Times New Roman" w:cs="Times New Roman"/>
          <w:b/>
          <w:i w:val="0"/>
          <w:sz w:val="24"/>
        </w:rPr>
        <w:t>klasifikasi yang tepat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dalam satu laporan sudah memisahkan pos berulang dari pos tidak lazim — tampak ketegangan antara kegunaan-keputusan dan ruang bagi </w:t>
      </w:r>
      <w:r>
        <w:rPr>
          <w:rFonts w:ascii="Times New Roman" w:hAnsi="Times New Roman" w:cs="Times New Roman"/>
          <w:b w:val="0"/>
          <w:i/>
          <w:sz w:val="24"/>
        </w:rPr>
        <w:t>earnings management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(Wolk et al., 2017, PDF hlm. 11).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Jejak Historis Standar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AAA 1936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Times New Roman" w:hAnsi="Times New Roman" w:cs="Times New Roman"/>
          <w:b w:val="0"/>
          <w:i/>
          <w:sz w:val="24"/>
        </w:rPr>
        <w:t>American Accounting Association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menyokong all-inclusive — laporan laba rugi mencerminkan semua pendapatan dan biaya periode tanpa memandang asalnya.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AICPA / ARB 43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AICPA memihak current operating; dalam </w:t>
      </w:r>
      <w:r>
        <w:rPr>
          <w:rFonts w:ascii="Times New Roman" w:hAnsi="Times New Roman" w:cs="Times New Roman"/>
          <w:b/>
          <w:i w:val="0"/>
          <w:sz w:val="24"/>
        </w:rPr>
        <w:t>ARB 43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/>
          <w:sz w:val="24"/>
        </w:rPr>
        <w:t>Committee on Accounting Procedure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mengarahkan seluruh pos luar biasa langsung ke akun surplus.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APB Opinion No. 9 (Des 1966)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titik balik ke arah </w:t>
      </w:r>
      <w:r>
        <w:rPr>
          <w:rFonts w:ascii="Times New Roman" w:hAnsi="Times New Roman" w:cs="Times New Roman"/>
          <w:b/>
          <w:i w:val="0"/>
          <w:sz w:val="24"/>
        </w:rPr>
        <w:t>modified all-inclusive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seluruh pos nonoperasi yang jarang terjadi (kecuali penyesuaian periode lalu) masuk laba bersih dan dilaporkan terpisah.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ASU Juni 2011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memberi pilihan menyajikan laba komprehensif dalam </w:t>
      </w:r>
      <w:r>
        <w:rPr>
          <w:rFonts w:ascii="Times New Roman" w:hAnsi="Times New Roman" w:cs="Times New Roman"/>
          <w:b/>
          <w:i w:val="0"/>
          <w:sz w:val="24"/>
        </w:rPr>
        <w:t>satu atau dua laporan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one or two statement</w:t>
      </w:r>
      <w:r>
        <w:rPr>
          <w:rFonts w:ascii="Times New Roman" w:hAnsi="Times New Roman" w:cs="Times New Roman"/>
          <w:b w:val="0"/>
          <w:i w:val="0"/>
          <w:sz w:val="24"/>
        </w:rPr>
        <w:t>) (Wolk et al., 2017, PDF hlm. 11).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Bukti Empiris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Gonedes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studi pasar modal menemukan pos laba nonoperasi tak punya </w:t>
      </w:r>
      <w:r>
        <w:rPr>
          <w:rFonts w:ascii="Times New Roman" w:hAnsi="Times New Roman" w:cs="Times New Roman"/>
          <w:b/>
          <w:i w:val="0"/>
          <w:sz w:val="24"/>
        </w:rPr>
        <w:t>kandungan informasi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information content</w:t>
      </w:r>
      <w:r>
        <w:rPr>
          <w:rFonts w:ascii="Times New Roman" w:hAnsi="Times New Roman" w:cs="Times New Roman"/>
          <w:b w:val="0"/>
          <w:i w:val="0"/>
          <w:sz w:val="24"/>
        </w:rPr>
        <w:t>) — informasi relevan sudah tertangkap angka laba operasi, mendukung current operating.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Studi tandingan</w:t>
      </w:r>
      <w:r>
        <w:rPr>
          <w:rFonts w:ascii="Times New Roman" w:hAnsi="Times New Roman" w:cs="Times New Roman"/>
          <w:b w:val="0"/>
          <w:i w:val="0"/>
          <w:sz w:val="24"/>
        </w:rPr>
        <w:t>: sebagian pos nonoperasi berasosiasi signifikan dengan harga sekuritas, dengan arah berlawanan — pos "berita buruk" justru berasosiasi positif (Wolk et al., 2017, PDF hlm. 12).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Teori *big bath</w:t>
      </w:r>
      <w:r>
        <w:rPr>
          <w:rFonts w:ascii="Times New Roman" w:hAnsi="Times New Roman" w:cs="Times New Roman"/>
          <w:b w:val="0"/>
          <w:i w:val="0"/>
          <w:sz w:val="24"/>
        </w:rPr>
        <w:t>*: pasar merespons positif saat perusahaan mengakui masalah besar secara terbuka karena dinilai sedang menyelesaikannya.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Citicorp 1987</w:t>
      </w:r>
      <w:r>
        <w:rPr>
          <w:rFonts w:ascii="Times New Roman" w:hAnsi="Times New Roman" w:cs="Times New Roman"/>
          <w:b w:val="0"/>
          <w:i w:val="0"/>
          <w:sz w:val="24"/>
        </w:rPr>
        <w:t>: mengakui kerugian $3 miliar atas pinjaman luar negeri, dan sehari kemudian sahamnya justru naik sekitar 5% (Wolk et al., 2017, PDF hlm. 12).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Mendorong logika all-inclusive ke kesimpulan terjauhnya membawa kita pada laba komprehensif, pokok Bagian VII.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15855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4_evolusi_lab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85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40" w:before="0" w:after="0"/>
        <w:jc w:val="center"/>
      </w:pPr>
      <w:r>
        <w:rPr>
          <w:rFonts w:ascii="Times New Roman" w:hAnsi="Times New Roman" w:cs="Times New Roman"/>
          <w:b/>
          <w:i w:val="0"/>
          <w:sz w:val="22"/>
        </w:rPr>
        <w:t xml:space="preserve">Gambar 4. </w:t>
      </w:r>
      <w:r>
        <w:rPr>
          <w:rFonts w:ascii="Times New Roman" w:hAnsi="Times New Roman" w:cs="Times New Roman"/>
          <w:b w:val="0"/>
          <w:i w:val="0"/>
          <w:sz w:val="22"/>
        </w:rPr>
        <w:t>Evolusi pelaporan laba: dari current operating menuju all-inclusive dan comprehensive income</w:t>
      </w:r>
    </w:p>
    <w:p>
      <w:pPr>
        <w:spacing w:lineRule="exact" w:line="240" w:before="0" w:after="120"/>
        <w:jc w:val="center"/>
      </w:pPr>
      <w:r>
        <w:rPr>
          <w:rFonts w:ascii="Times New Roman" w:hAnsi="Times New Roman" w:cs="Times New Roman"/>
          <w:b w:val="0"/>
          <w:i/>
          <w:sz w:val="22"/>
        </w:rPr>
        <w:t>Sumber: diolah dari Wolk et al. (2017), PDF hlm. 11–13</w:t>
      </w:r>
    </w:p>
    <w:p>
      <w:pPr>
        <w:spacing w:lineRule="exact" w:line="240" w:before="80" w:after="40"/>
        <w:jc w:val="left"/>
      </w:pPr>
      <w:r>
        <w:rPr>
          <w:rFonts w:ascii="Times New Roman" w:hAnsi="Times New Roman" w:cs="Times New Roman"/>
          <w:b/>
          <w:i w:val="0"/>
          <w:sz w:val="26"/>
        </w:rPr>
        <w:t>VII. Comprehensive Income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/>
          <w:i w:val="0"/>
          <w:sz w:val="24"/>
        </w:rPr>
        <w:t>Laba komprehensif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comprehensive income</w:t>
      </w:r>
      <w:r>
        <w:rPr>
          <w:rFonts w:ascii="Times New Roman" w:hAnsi="Times New Roman" w:cs="Times New Roman"/>
          <w:b w:val="0"/>
          <w:i w:val="0"/>
          <w:sz w:val="24"/>
        </w:rPr>
        <w:t>) adalah dorongan all-inclusive sampai kesimpulan logisnya: ukuran perubahan kekayaan pemilik yang paling menyeluruh (Wolk et al., 2017, PDF hlm. 12).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Konsep dan Dasarnya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SFAC No. 5</w:t>
      </w:r>
      <w:r>
        <w:rPr>
          <w:rFonts w:ascii="Times New Roman" w:hAnsi="Times New Roman" w:cs="Times New Roman"/>
          <w:b w:val="0"/>
          <w:i w:val="0"/>
          <w:sz w:val="24"/>
        </w:rPr>
        <w:t>: mengusulkan laporan laba dan laba komprehensif yang mencakup seluruh perubahan ekuitas kecuali investasi oleh dan distribusi kepada pemilik.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Teori proprietary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proprietary theory</w:t>
      </w:r>
      <w:r>
        <w:rPr>
          <w:rFonts w:ascii="Times New Roman" w:hAnsi="Times New Roman" w:cs="Times New Roman"/>
          <w:b w:val="0"/>
          <w:i w:val="0"/>
          <w:sz w:val="24"/>
        </w:rPr>
        <w:t>): jadi akarnya, sebab semua perubahan ekuitas memengaruhi kepentingan pemilik.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Kegunaan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dinilai cocok untuk </w:t>
      </w:r>
      <w:r>
        <w:rPr>
          <w:rFonts w:ascii="Times New Roman" w:hAnsi="Times New Roman" w:cs="Times New Roman"/>
          <w:b/>
          <w:i w:val="0"/>
          <w:sz w:val="24"/>
        </w:rPr>
        <w:t>prediksi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dan </w:t>
      </w:r>
      <w:r>
        <w:rPr>
          <w:rFonts w:ascii="Times New Roman" w:hAnsi="Times New Roman" w:cs="Times New Roman"/>
          <w:b/>
          <w:i w:val="0"/>
          <w:sz w:val="24"/>
        </w:rPr>
        <w:t>penilaian ekuitas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equity valuation</w:t>
      </w:r>
      <w:r>
        <w:rPr>
          <w:rFonts w:ascii="Times New Roman" w:hAnsi="Times New Roman" w:cs="Times New Roman"/>
          <w:b w:val="0"/>
          <w:i w:val="0"/>
          <w:sz w:val="24"/>
        </w:rPr>
        <w:t>), lebih informatif bagi investor (Wolk et al., 2017, PDF hlm. 12).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Elemen OCI dan Pos yang Tetap di Tempat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Elemen OCI (SFAS No. 130)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penyesuaian translasi mata uang asing saat mata uang fungsional bukan dolar AS; untung-rugi kepemilikan belum direalisasi atas sekuritas </w:t>
      </w:r>
      <w:r>
        <w:rPr>
          <w:rFonts w:ascii="Times New Roman" w:hAnsi="Times New Roman" w:cs="Times New Roman"/>
          <w:b/>
          <w:i w:val="0"/>
          <w:sz w:val="24"/>
        </w:rPr>
        <w:t>tersedia untuk dijual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available-for-sale</w:t>
      </w:r>
      <w:r>
        <w:rPr>
          <w:rFonts w:ascii="Times New Roman" w:hAnsi="Times New Roman" w:cs="Times New Roman"/>
          <w:b w:val="0"/>
          <w:i w:val="0"/>
          <w:sz w:val="24"/>
        </w:rPr>
        <w:t>); penyesuaian liabilitas pensiun minimum (Wolk et al., 2017, PDF hlm. 12).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Pos yang TIDAK dipindahkan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Times New Roman" w:hAnsi="Times New Roman" w:cs="Times New Roman"/>
          <w:b/>
          <w:i w:val="0"/>
          <w:sz w:val="24"/>
        </w:rPr>
        <w:t>operasi yang dihentikan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discontinued operations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), </w:t>
      </w:r>
      <w:r>
        <w:rPr>
          <w:rFonts w:ascii="Times New Roman" w:hAnsi="Times New Roman" w:cs="Times New Roman"/>
          <w:b/>
          <w:i w:val="0"/>
          <w:sz w:val="24"/>
        </w:rPr>
        <w:t>pos luar biasa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extraordinary items</w:t>
      </w:r>
      <w:r>
        <w:rPr>
          <w:rFonts w:ascii="Times New Roman" w:hAnsi="Times New Roman" w:cs="Times New Roman"/>
          <w:b w:val="0"/>
          <w:i w:val="0"/>
          <w:sz w:val="24"/>
        </w:rPr>
        <w:t>), dan efek kumulatif perubahan prinsip tetap di posisi semula, agar tatanan yang ada tak terganggu.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*Prior period adjustments</w:t>
      </w:r>
      <w:r>
        <w:rPr>
          <w:rFonts w:ascii="Times New Roman" w:hAnsi="Times New Roman" w:cs="Times New Roman"/>
          <w:b w:val="0"/>
          <w:i w:val="0"/>
          <w:sz w:val="24"/>
        </w:rPr>
        <w:t>*: tetap dibebankan langsung ke laba ditahan, sebab penyajian ulang retroaktif laba tahun lalu pada dasarnya sudah menyajikan ulang laba komprehensif periode terdampak (Wolk et al., 2017, PDF hlm. 12).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EPS dan Penilaian Wolk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Tanpa EPS untuk CI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Times New Roman" w:hAnsi="Times New Roman" w:cs="Times New Roman"/>
          <w:b/>
          <w:i w:val="0"/>
          <w:sz w:val="24"/>
        </w:rPr>
        <w:t>laba per saham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earnings per share</w:t>
      </w:r>
      <w:r>
        <w:rPr>
          <w:rFonts w:ascii="Times New Roman" w:hAnsi="Times New Roman" w:cs="Times New Roman"/>
          <w:b w:val="0"/>
          <w:i w:val="0"/>
          <w:sz w:val="24"/>
        </w:rPr>
        <w:t>, EPS) tak boleh dihitung untuk laba komprehensif, sebab jika disajikan dalam laporan perubahan ekuitas, EPS bisa tidak konsisten antarperusahaan.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Penilaian Wolk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tepat dan tepat waktu, tetapi berhati-hati dan </w:t>
      </w:r>
      <w:r>
        <w:rPr>
          <w:rFonts w:ascii="Times New Roman" w:hAnsi="Times New Roman" w:cs="Times New Roman"/>
          <w:b/>
          <w:i w:val="0"/>
          <w:sz w:val="24"/>
        </w:rPr>
        <w:t>evolusioner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evolutionary</w:t>
      </w:r>
      <w:r>
        <w:rPr>
          <w:rFonts w:ascii="Times New Roman" w:hAnsi="Times New Roman" w:cs="Times New Roman"/>
          <w:b w:val="0"/>
          <w:i w:val="0"/>
          <w:sz w:val="24"/>
        </w:rPr>
        <w:t>) — ketegangan antara menyempurnakan ukuran laba dan keengganan mengusik konvensi mapan (Wolk et al., 2017, PDF hlm. 12).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Tiga Format Pelaporan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SFAS No. 130 mengizinkan tiga format: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Format (1)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>laporan kinerja keuangan gabungan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combined statement</w:t>
      </w:r>
      <w:r>
        <w:rPr>
          <w:rFonts w:ascii="Times New Roman" w:hAnsi="Times New Roman" w:cs="Times New Roman"/>
          <w:b w:val="0"/>
          <w:i w:val="0"/>
          <w:sz w:val="24"/>
        </w:rPr>
        <w:t>): elemen dan total laba komprehensif tampil di bawah laba bersih.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Format (2)</w:t>
      </w:r>
      <w:r>
        <w:rPr>
          <w:rFonts w:ascii="Times New Roman" w:hAnsi="Times New Roman" w:cs="Times New Roman"/>
          <w:b w:val="0"/>
          <w:i w:val="0"/>
          <w:sz w:val="24"/>
        </w:rPr>
        <w:t>: laporan laba komprehensif terpisah yang dimulai dari laba bersih.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Format (3)</w:t>
      </w:r>
      <w:r>
        <w:rPr>
          <w:rFonts w:ascii="Times New Roman" w:hAnsi="Times New Roman" w:cs="Times New Roman"/>
          <w:b w:val="0"/>
          <w:i w:val="0"/>
          <w:sz w:val="24"/>
        </w:rPr>
        <w:t>: di dalam laporan perubahan ekuitas.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Preferensi Dewan</w:t>
      </w:r>
      <w:r>
        <w:rPr>
          <w:rFonts w:ascii="Times New Roman" w:hAnsi="Times New Roman" w:cs="Times New Roman"/>
          <w:b w:val="0"/>
          <w:i w:val="0"/>
          <w:sz w:val="24"/>
        </w:rPr>
        <w:t>: format (1) (Wolk et al., 2017, PDF hlm. 13).</w:t>
      </w:r>
    </w:p>
    <w:p>
      <w:pPr>
        <w:spacing w:lineRule="exact" w:line="240" w:before="0" w:after="0"/>
        <w:jc w:val="center"/>
      </w:pPr>
      <w:r>
        <w:rPr>
          <w:rFonts w:ascii="Times New Roman" w:hAnsi="Times New Roman" w:cs="Times New Roman"/>
          <w:b/>
          <w:i w:val="0"/>
          <w:sz w:val="22"/>
        </w:rPr>
        <w:t xml:space="preserve">Tabel 2. </w:t>
      </w:r>
      <w:r>
        <w:rPr>
          <w:rFonts w:ascii="Times New Roman" w:hAnsi="Times New Roman" w:cs="Times New Roman"/>
          <w:b w:val="0"/>
          <w:i w:val="0"/>
          <w:sz w:val="22"/>
        </w:rPr>
        <w:t>Tiga format pelaporan comprehensive income menurut SFAS No. 130</w:t>
      </w:r>
    </w:p>
    <w:p>
      <w:pPr>
        <w:spacing w:lineRule="exact" w:line="240" w:before="0" w:after="80"/>
        <w:jc w:val="center"/>
      </w:pPr>
      <w:r>
        <w:rPr>
          <w:rFonts w:ascii="Times New Roman" w:hAnsi="Times New Roman" w:cs="Times New Roman"/>
          <w:b w:val="0"/>
          <w:i/>
          <w:sz w:val="22"/>
        </w:rPr>
        <w:t>Sumber: diolah dari Wolk et al. (2017), PDF hlm. 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Format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Deskripsi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Catatan</w:t>
            </w:r>
          </w:p>
        </w:tc>
      </w:tr>
      <w:tr>
        <w:tc>
          <w:tcPr>
            <w:tcW w:type="dxa" w:w="238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(1) Combined statement of financial performance</w:t>
            </w:r>
          </w:p>
        </w:tc>
        <w:tc>
          <w:tcPr>
            <w:tcW w:type="dxa" w:w="3742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Satu laporan: elemen comprehensive income dan totalnya tampil di bawah net income</w:t>
            </w:r>
          </w:p>
        </w:tc>
        <w:tc>
          <w:tcPr>
            <w:tcW w:type="dxa" w:w="238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Preferensi Board</w:t>
            </w:r>
          </w:p>
        </w:tc>
      </w:tr>
      <w:tr>
        <w:tc>
          <w:tcPr>
            <w:tcW w:type="dxa" w:w="238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(2) Separate statement of comprehensive income</w:t>
            </w:r>
          </w:p>
        </w:tc>
        <w:tc>
          <w:tcPr>
            <w:tcW w:type="dxa" w:w="3742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Laporan terpisah yang dimulai dari net income</w:t>
            </w:r>
          </w:p>
        </w:tc>
        <w:tc>
          <w:tcPr>
            <w:tcW w:type="dxa" w:w="238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Visibilitas CI tetap terjaga</w:t>
            </w:r>
          </w:p>
        </w:tc>
      </w:tr>
      <w:tr>
        <w:tc>
          <w:tcPr>
            <w:tcW w:type="dxa" w:w="238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(3) Dalam statement of changes in equity</w:t>
            </w:r>
          </w:p>
        </w:tc>
        <w:tc>
          <w:tcPr>
            <w:tcW w:type="dxa" w:w="3742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CI dilaporkan di dalam laporan perubahan ekuitas</w:t>
            </w:r>
          </w:p>
        </w:tc>
        <w:tc>
          <w:tcPr>
            <w:tcW w:type="dxa" w:w="238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Diprediksi dua anggota dissenting paling banyak dipakai — menurunkan visibilitas CI</w:t>
            </w:r>
          </w:p>
        </w:tc>
      </w:tr>
    </w:tbl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Dissent dua anggota FASB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yakin sebagian besar perusahaan akan memilih format (3), sehingga </w:t>
      </w:r>
      <w:r>
        <w:rPr>
          <w:rFonts w:ascii="Times New Roman" w:hAnsi="Times New Roman" w:cs="Times New Roman"/>
          <w:b/>
          <w:i w:val="0"/>
          <w:sz w:val="24"/>
        </w:rPr>
        <w:t>kepentingan dan visibilitas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laba komprehensif tergerus.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Tanggapan Wolk</w:t>
      </w:r>
      <w:r>
        <w:rPr>
          <w:rFonts w:ascii="Times New Roman" w:hAnsi="Times New Roman" w:cs="Times New Roman"/>
          <w:b w:val="0"/>
          <w:i w:val="0"/>
          <w:sz w:val="24"/>
        </w:rPr>
        <w:t>: kritik valid — tiga format adalah fleksibilitas berlebihan — tetapi secara neto SFAS No. 130 tetap menguntungkan penyajian laba (Wolk et al., 2017, PDF hlm. 13).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Setelah meninjau puncak logika all-inclusive ini, kita menelaah seksi nonoperasi laporan laba rugi pada Bagian VIII.</w:t>
      </w:r>
    </w:p>
    <w:p>
      <w:pPr>
        <w:spacing w:lineRule="exact" w:line="240" w:before="80" w:after="40"/>
        <w:jc w:val="left"/>
      </w:pPr>
      <w:r>
        <w:rPr>
          <w:rFonts w:ascii="Times New Roman" w:hAnsi="Times New Roman" w:cs="Times New Roman"/>
          <w:b/>
          <w:i w:val="0"/>
          <w:sz w:val="26"/>
        </w:rPr>
        <w:t>VIII. Seksi Nonoperasi: Extraordinary Items, Accounting Changes, dan Prior Period Adjustments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Sejak APB Opinion No. 9, </w:t>
      </w:r>
      <w:r>
        <w:rPr>
          <w:rFonts w:ascii="Times New Roman" w:hAnsi="Times New Roman" w:cs="Times New Roman"/>
          <w:b/>
          <w:i w:val="0"/>
          <w:sz w:val="24"/>
        </w:rPr>
        <w:t>seksi nonoperasi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laporan laba rugi memisahkan komponen berulang dari yang tidak berulang demi pengguna yang memproyeksikan masa depan (Wolk et al., 2017, PDF hlm. 13).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Tiga Subdivisi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Isi seksi nonoperasi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Times New Roman" w:hAnsi="Times New Roman" w:cs="Times New Roman"/>
          <w:b/>
          <w:i w:val="0"/>
          <w:sz w:val="24"/>
        </w:rPr>
        <w:t>pos luar biasa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extraordinary items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), </w:t>
      </w:r>
      <w:r>
        <w:rPr>
          <w:rFonts w:ascii="Times New Roman" w:hAnsi="Times New Roman" w:cs="Times New Roman"/>
          <w:b/>
          <w:i w:val="0"/>
          <w:sz w:val="24"/>
        </w:rPr>
        <w:t>perubahan akuntansi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accounting changes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), dan </w:t>
      </w:r>
      <w:r>
        <w:rPr>
          <w:rFonts w:ascii="Times New Roman" w:hAnsi="Times New Roman" w:cs="Times New Roman"/>
          <w:b/>
          <w:i w:val="0"/>
          <w:sz w:val="24"/>
        </w:rPr>
        <w:t>operasi yang dihentikan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discontinued operations</w:t>
      </w:r>
      <w:r>
        <w:rPr>
          <w:rFonts w:ascii="Times New Roman" w:hAnsi="Times New Roman" w:cs="Times New Roman"/>
          <w:b w:val="0"/>
          <w:i w:val="0"/>
          <w:sz w:val="24"/>
        </w:rPr>
        <w:t>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Ditambah *prior period adjustments</w:t>
      </w:r>
      <w:r>
        <w:rPr>
          <w:rFonts w:ascii="Times New Roman" w:hAnsi="Times New Roman" w:cs="Times New Roman"/>
          <w:b w:val="0"/>
          <w:i/>
          <w:sz w:val="24"/>
        </w:rPr>
        <w:t xml:space="preserve">: ada di laporan laba ditahan, sebagai kelanjutan dilema </w:t>
      </w:r>
      <w:r>
        <w:rPr>
          <w:rFonts w:ascii="Times New Roman" w:hAnsi="Times New Roman" w:cs="Times New Roman"/>
          <w:b w:val="0"/>
          <w:i w:val="0"/>
          <w:sz w:val="24"/>
        </w:rPr>
        <w:t>current operating versus all-inclusive* (Wolk et al., 2017, PDF hlm. 13).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Extraordinary Items: dari Finite ke Rigid Uniformity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Pergeseran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dari </w:t>
      </w:r>
      <w:r>
        <w:rPr>
          <w:rFonts w:ascii="Times New Roman" w:hAnsi="Times New Roman" w:cs="Times New Roman"/>
          <w:b/>
          <w:i w:val="0"/>
          <w:sz w:val="24"/>
        </w:rPr>
        <w:t>keseragaman terhingga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finite uniformity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ke </w:t>
      </w:r>
      <w:r>
        <w:rPr>
          <w:rFonts w:ascii="Times New Roman" w:hAnsi="Times New Roman" w:cs="Times New Roman"/>
          <w:b/>
          <w:i w:val="0"/>
          <w:sz w:val="24"/>
        </w:rPr>
        <w:t>keseragaman kaku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rigid uniformity</w:t>
      </w:r>
      <w:r>
        <w:rPr>
          <w:rFonts w:ascii="Times New Roman" w:hAnsi="Times New Roman" w:cs="Times New Roman"/>
          <w:b w:val="0"/>
          <w:i w:val="0"/>
          <w:sz w:val="24"/>
        </w:rPr>
        <w:t>) akibat penyalahgunaan.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ARB 32 / ARB 43</w:t>
      </w:r>
      <w:r>
        <w:rPr>
          <w:rFonts w:ascii="Times New Roman" w:hAnsi="Times New Roman" w:cs="Times New Roman"/>
          <w:b w:val="0"/>
          <w:i w:val="0"/>
          <w:sz w:val="24"/>
        </w:rPr>
        <w:t>: Bab 8 ARB 43 (cetak ulang ARB 32, 1947) terlalu samar sehingga praktiknya tak seragam.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APB Opinion No. 9</w:t>
      </w:r>
      <w:r>
        <w:rPr>
          <w:rFonts w:ascii="Times New Roman" w:hAnsi="Times New Roman" w:cs="Times New Roman"/>
          <w:b w:val="0"/>
          <w:i w:val="0"/>
          <w:sz w:val="24"/>
        </w:rPr>
        <w:t>: menertibkan dengan seksi khusus dan definisi baru yang tetap ambigu (Wolk et al., 2017, PDF hlm. 13–14).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APB Opinion No. 30 (1973)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keseragaman kaku — pos harus </w:t>
      </w:r>
      <w:r>
        <w:rPr>
          <w:rFonts w:ascii="Times New Roman" w:hAnsi="Times New Roman" w:cs="Times New Roman"/>
          <w:b/>
          <w:i w:val="0"/>
          <w:sz w:val="24"/>
        </w:rPr>
        <w:t>sekaligus tidak lazim sifatnya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unusual in nature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</w:t>
      </w:r>
      <w:r>
        <w:rPr>
          <w:rFonts w:ascii="Times New Roman" w:hAnsi="Times New Roman" w:cs="Times New Roman"/>
          <w:b/>
          <w:i w:val="0"/>
          <w:sz w:val="24"/>
        </w:rPr>
        <w:t>dan jarang terjadi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infrequent in occurrence</w:t>
      </w:r>
      <w:r>
        <w:rPr>
          <w:rFonts w:ascii="Times New Roman" w:hAnsi="Times New Roman" w:cs="Times New Roman"/>
          <w:b w:val="0"/>
          <w:i w:val="0"/>
          <w:sz w:val="24"/>
        </w:rPr>
        <w:t>); embun beku kebun jeruk Florida utara tidak luar biasa karena lazim tiap 3–4 tahun.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Penyajian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pos luar biasa disajikan tepat </w:t>
      </w:r>
      <w:r>
        <w:rPr>
          <w:rFonts w:ascii="Times New Roman" w:hAnsi="Times New Roman" w:cs="Times New Roman"/>
          <w:b/>
          <w:i w:val="0"/>
          <w:sz w:val="24"/>
        </w:rPr>
        <w:t>di atas laba bersih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dan </w:t>
      </w:r>
      <w:r>
        <w:rPr>
          <w:rFonts w:ascii="Times New Roman" w:hAnsi="Times New Roman" w:cs="Times New Roman"/>
          <w:b/>
          <w:i w:val="0"/>
          <w:sz w:val="24"/>
        </w:rPr>
        <w:t>neto setelah pajak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pos yang tidak lazim </w:t>
      </w:r>
      <w:r>
        <w:rPr>
          <w:rFonts w:ascii="Times New Roman" w:hAnsi="Times New Roman" w:cs="Times New Roman"/>
          <w:b w:val="0"/>
          <w:i/>
          <w:sz w:val="24"/>
        </w:rPr>
        <w:t>atau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jarang (bukan keduanya) disajikan bersama pos berulang, dan jika material dipisahkan di atas kaption </w:t>
      </w:r>
      <w:r>
        <w:rPr>
          <w:rFonts w:ascii="Times New Roman" w:hAnsi="Times New Roman" w:cs="Times New Roman"/>
          <w:b w:val="0"/>
          <w:i/>
          <w:sz w:val="24"/>
        </w:rPr>
        <w:t>income before extraordinary items</w:t>
      </w:r>
      <w:r>
        <w:rPr>
          <w:rFonts w:ascii="Times New Roman" w:hAnsi="Times New Roman" w:cs="Times New Roman"/>
          <w:b w:val="0"/>
          <w:i w:val="0"/>
          <w:sz w:val="24"/>
        </w:rPr>
        <w:t>, bukan neto pajak (Wolk et al., 2017, PDF hlm. 14).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Accounting Changes: Tiga Jenis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Tiga kategori</w:t>
      </w:r>
      <w:r>
        <w:rPr>
          <w:rFonts w:ascii="Times New Roman" w:hAnsi="Times New Roman" w:cs="Times New Roman"/>
          <w:b w:val="0"/>
          <w:i w:val="0"/>
          <w:sz w:val="24"/>
        </w:rPr>
        <w:t>: perubahan prinsip akuntansi, perubahan estimasi akuntansi (umur aset direvisi lebih pendek), dan perubahan entitas pelaporan (Wolk et al., 2017, PDF hlm. 15).</w:t>
      </w:r>
    </w:p>
    <w:p>
      <w:pPr>
        <w:spacing w:lineRule="exact" w:line="240" w:before="0" w:after="0"/>
        <w:jc w:val="center"/>
      </w:pPr>
      <w:r>
        <w:rPr>
          <w:rFonts w:ascii="Times New Roman" w:hAnsi="Times New Roman" w:cs="Times New Roman"/>
          <w:b/>
          <w:i w:val="0"/>
          <w:sz w:val="22"/>
        </w:rPr>
        <w:t xml:space="preserve">Tabel 3. </w:t>
      </w:r>
      <w:r>
        <w:rPr>
          <w:rFonts w:ascii="Times New Roman" w:hAnsi="Times New Roman" w:cs="Times New Roman"/>
          <w:b w:val="0"/>
          <w:i w:val="0"/>
          <w:sz w:val="22"/>
        </w:rPr>
        <w:t>Tiga jenis perubahan akuntansi dan perlakuannya</w:t>
      </w:r>
    </w:p>
    <w:p>
      <w:pPr>
        <w:spacing w:lineRule="exact" w:line="240" w:before="0" w:after="80"/>
        <w:jc w:val="center"/>
      </w:pPr>
      <w:r>
        <w:rPr>
          <w:rFonts w:ascii="Times New Roman" w:hAnsi="Times New Roman" w:cs="Times New Roman"/>
          <w:b w:val="0"/>
          <w:i/>
          <w:sz w:val="22"/>
        </w:rPr>
        <w:t>Sumber: diolah dari Wolk et al. (2017), PDF hlm. 15–16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381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Jenis perubahan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APB Opinion No. 20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SFAS No. 154</w:t>
            </w:r>
          </w:p>
        </w:tc>
      </w:tr>
      <w:tr>
        <w:tc>
          <w:tcPr>
            <w:tcW w:type="dxa" w:w="238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Change in accounting principle (prinsip GAAP lama → GAAP lain)</w:t>
            </w:r>
          </w:p>
        </w:tc>
        <w:tc>
          <w:tcPr>
            <w:tcW w:type="dxa" w:w="306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Cumulative effect disajikan di laporan laba rugi berjalan, tepat di bawah extraordinary items</w:t>
            </w:r>
          </w:p>
        </w:tc>
        <w:tc>
          <w:tcPr>
            <w:tcW w:type="dxa" w:w="306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Retrospektif ke semua laporan laba rugi terdampak, kecuali impraktis; saldo neraca disesuaikan ke awal periode pertama yang disajikan</w:t>
            </w:r>
          </w:p>
        </w:tc>
      </w:tr>
      <w:tr>
        <w:tc>
          <w:tcPr>
            <w:tcW w:type="dxa" w:w="238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Change in accounting estimate (informasi baru atas estimasi)</w:t>
            </w:r>
          </w:p>
        </w:tc>
        <w:tc>
          <w:tcPr>
            <w:tcW w:type="dxa" w:w="306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Prospektif: periode berjalan dan/atau periode mendatang</w:t>
            </w:r>
          </w:p>
        </w:tc>
        <w:tc>
          <w:tcPr>
            <w:tcW w:type="dxa" w:w="306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Sama (prospektif); perubahan depresiasi/deplesi/amortisasi akibat perubahan prinsip diperlakukan sebagai perubahan estimasi</w:t>
            </w:r>
          </w:p>
        </w:tc>
      </w:tr>
      <w:tr>
        <w:tc>
          <w:tcPr>
            <w:tcW w:type="dxa" w:w="238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Change in reporting entity (komposisi entitas pelapor berubah)</w:t>
            </w:r>
          </w:p>
        </w:tc>
        <w:tc>
          <w:tcPr>
            <w:tcW w:type="dxa" w:w="306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Restate seluruh laporan periode sebelumnya; ungkap sifat, alasan, dan efeknya</w:t>
            </w:r>
          </w:p>
        </w:tc>
        <w:tc>
          <w:tcPr>
            <w:tcW w:type="dxa" w:w="306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Tidak diubah oleh SFAS 154</w:t>
            </w:r>
          </w:p>
        </w:tc>
      </w:tr>
    </w:tbl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APB Opinion No. 20</w:t>
      </w:r>
      <w:r>
        <w:rPr>
          <w:rFonts w:ascii="Times New Roman" w:hAnsi="Times New Roman" w:cs="Times New Roman"/>
          <w:b w:val="0"/>
          <w:i w:val="0"/>
          <w:sz w:val="24"/>
        </w:rPr>
        <w:t>: efek kumulatif perubahan prinsip dimasukkan tepat di bawah pos luar biasa pada laporan periode berjalan.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SFAS No. 154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mensyaratkan </w:t>
      </w:r>
      <w:r>
        <w:rPr>
          <w:rFonts w:ascii="Times New Roman" w:hAnsi="Times New Roman" w:cs="Times New Roman"/>
          <w:b/>
          <w:i w:val="0"/>
          <w:sz w:val="24"/>
        </w:rPr>
        <w:t>penyajian ulang retrospektif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retrospective restatement</w:t>
      </w:r>
      <w:r>
        <w:rPr>
          <w:rFonts w:ascii="Times New Roman" w:hAnsi="Times New Roman" w:cs="Times New Roman"/>
          <w:b w:val="0"/>
          <w:i w:val="0"/>
          <w:sz w:val="24"/>
        </w:rPr>
        <w:t>) atas semua laporan terdampak kecuali tidak praktis.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Perubahan estimasi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ditangani prospektif; menurut SFAS No. 154, perubahan prinsip lewat metode penyusutan kini diperlakukan </w:t>
      </w:r>
      <w:r>
        <w:rPr>
          <w:rFonts w:ascii="Times New Roman" w:hAnsi="Times New Roman" w:cs="Times New Roman"/>
          <w:b/>
          <w:i w:val="0"/>
          <w:sz w:val="24"/>
        </w:rPr>
        <w:t>prospektif sebagai perubahan estimasi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Perubahan entitas</w:t>
      </w:r>
      <w:r>
        <w:rPr>
          <w:rFonts w:ascii="Times New Roman" w:hAnsi="Times New Roman" w:cs="Times New Roman"/>
          <w:b w:val="0"/>
          <w:i w:val="0"/>
          <w:sz w:val="24"/>
        </w:rPr>
        <w:t>: APB Opinion No. 20 mewajibkan penyajian ulang seluruh periode lalu — secara umum FASB memihak penyajian ulang retroaktif (Wolk et al., 2017, PDF hlm. 15).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Prior Period Adjustments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Perlakuan dasar</w:t>
      </w:r>
      <w:r>
        <w:rPr>
          <w:rFonts w:ascii="Times New Roman" w:hAnsi="Times New Roman" w:cs="Times New Roman"/>
          <w:b w:val="0"/>
          <w:i w:val="0"/>
          <w:sz w:val="24"/>
        </w:rPr>
        <w:t>: dibebankan/dikreditkan ke saldo awal laba ditahan neto pajak, sehingga dikecualikan dari laba bersih periode berjalan.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APB Opinion No. 9</w:t>
      </w:r>
      <w:r>
        <w:rPr>
          <w:rFonts w:ascii="Times New Roman" w:hAnsi="Times New Roman" w:cs="Times New Roman"/>
          <w:b w:val="0"/>
          <w:i w:val="0"/>
          <w:sz w:val="24"/>
        </w:rPr>
        <w:t>: mula-mula menetapkan kriteria restriktif.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SEC / SAB No. 8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staf SEC lewat </w:t>
      </w:r>
      <w:r>
        <w:rPr>
          <w:rFonts w:ascii="Times New Roman" w:hAnsi="Times New Roman" w:cs="Times New Roman"/>
          <w:b w:val="0"/>
          <w:i/>
          <w:sz w:val="24"/>
        </w:rPr>
        <w:t>Staff Accounting Bulletin No. 8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mengeluarkan beban/kredit litigasi dari kategori ini.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SFAS No. 16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membatasi prior period adjustments hanya pada </w:t>
      </w:r>
      <w:r>
        <w:rPr>
          <w:rFonts w:ascii="Times New Roman" w:hAnsi="Times New Roman" w:cs="Times New Roman"/>
          <w:b/>
          <w:i w:val="0"/>
          <w:sz w:val="24"/>
        </w:rPr>
        <w:t>koreksi kesalahan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laporan periode lalu serta realisasi manfaat pajak atas </w:t>
      </w:r>
      <w:r>
        <w:rPr>
          <w:rFonts w:ascii="Times New Roman" w:hAnsi="Times New Roman" w:cs="Times New Roman"/>
          <w:b/>
          <w:i w:val="0"/>
          <w:sz w:val="24"/>
        </w:rPr>
        <w:t>kerugian operasi terbawa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loss carryforward</w:t>
      </w:r>
      <w:r>
        <w:rPr>
          <w:rFonts w:ascii="Times New Roman" w:hAnsi="Times New Roman" w:cs="Times New Roman"/>
          <w:b w:val="0"/>
          <w:i w:val="0"/>
          <w:sz w:val="24"/>
        </w:rPr>
        <w:t>) prapenggabungan anak perusahaan yang dibeli (Wolk et al., 2017, PDF hlm. 16).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Seluruh arsitektur ini menjernihkan distinksi komponen berulang dan </w:t>
      </w:r>
      <w:r>
        <w:rPr>
          <w:rFonts w:ascii="Times New Roman" w:hAnsi="Times New Roman" w:cs="Times New Roman"/>
          <w:b/>
          <w:i w:val="0"/>
          <w:sz w:val="24"/>
        </w:rPr>
        <w:t>transitori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bagi pengguna yang memforecast kinerja — kebutuhan akan ukuran ringkas dan terbandingkan inilah yang melatari </w:t>
      </w:r>
      <w:r>
        <w:rPr>
          <w:rFonts w:ascii="Times New Roman" w:hAnsi="Times New Roman" w:cs="Times New Roman"/>
          <w:b w:val="0"/>
          <w:i/>
          <w:sz w:val="24"/>
        </w:rPr>
        <w:t>earnings per share</w:t>
      </w:r>
      <w:r>
        <w:rPr>
          <w:rFonts w:ascii="Times New Roman" w:hAnsi="Times New Roman" w:cs="Times New Roman"/>
          <w:b w:val="0"/>
          <w:i w:val="0"/>
          <w:sz w:val="24"/>
        </w:rPr>
        <w:t>, Bagian IX.</w:t>
      </w:r>
    </w:p>
    <w:p>
      <w:pPr>
        <w:spacing w:lineRule="exact" w:line="240" w:before="80" w:after="40"/>
        <w:jc w:val="left"/>
      </w:pPr>
      <w:r>
        <w:rPr>
          <w:rFonts w:ascii="Times New Roman" w:hAnsi="Times New Roman" w:cs="Times New Roman"/>
          <w:b/>
          <w:i w:val="0"/>
          <w:sz w:val="26"/>
        </w:rPr>
        <w:t>IX. Earnings per Share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/>
          <w:i w:val="0"/>
          <w:sz w:val="24"/>
        </w:rPr>
        <w:t>Laba per saham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earnings per share</w:t>
      </w:r>
      <w:r>
        <w:rPr>
          <w:rFonts w:ascii="Times New Roman" w:hAnsi="Times New Roman" w:cs="Times New Roman"/>
          <w:b w:val="0"/>
          <w:i w:val="0"/>
          <w:sz w:val="24"/>
        </w:rPr>
        <w:t>, EPS) adalah satu angka yang dipakai pengguna untuk membaca kinerja entitas. Karena begitu diandalkan, angka ini juga rawan direkayasa.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Konsep Indikator Ringkas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Summary indicator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istilah dari memorandum diskusi FASB 1979 </w:t>
      </w:r>
      <w:r>
        <w:rPr>
          <w:rFonts w:ascii="Times New Roman" w:hAnsi="Times New Roman" w:cs="Times New Roman"/>
          <w:b w:val="0"/>
          <w:i/>
          <w:sz w:val="24"/>
        </w:rPr>
        <w:t>Reporting Earnings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untuk satu angka tunggal yang mampu mengomunikasikan informasi luas tentang kinerja (Wolk et al., 2017, PDF hlm. 17).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EPS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/>
          <w:b w:val="0"/>
          <w:i/>
          <w:sz w:val="24"/>
        </w:rPr>
        <w:t>summary indicator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yang paling lazim dipakai.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Daya tarik = kerawanan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karena pengguna sangat bersandar pada satu angka demi </w:t>
      </w:r>
      <w:r>
        <w:rPr>
          <w:rFonts w:ascii="Times New Roman" w:hAnsi="Times New Roman" w:cs="Times New Roman"/>
          <w:b w:val="0"/>
          <w:i/>
          <w:sz w:val="24"/>
        </w:rPr>
        <w:t>decision usefulness</w:t>
      </w:r>
      <w:r>
        <w:rPr>
          <w:rFonts w:ascii="Times New Roman" w:hAnsi="Times New Roman" w:cs="Times New Roman"/>
          <w:b w:val="0"/>
          <w:i w:val="0"/>
          <w:sz w:val="24"/>
        </w:rPr>
        <w:t>, insentif manajemen untuk merekayasanya besar.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Dari APB 15 yang Kaku ke Suspensi SFAS 21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Sebelum APB Opinion No. 9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pelaporan dan cara hitung EPS sepenuhnya diskresi manajemen, sehingga menyesatkan pengguna (Wolk et al., 2017, PDF hlm. 17).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APB Opinion No. 15 (1969)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aturan kaku agar EPS mencerminkan substansi ekonomi struktur modal, tetapi begitu kompleks hingga butuh buku interpretatif setebal </w:t>
      </w:r>
      <w:r>
        <w:rPr>
          <w:rFonts w:ascii="Times New Roman" w:hAnsi="Times New Roman" w:cs="Times New Roman"/>
          <w:b/>
          <w:i w:val="0"/>
          <w:sz w:val="24"/>
        </w:rPr>
        <w:t>116 halaman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SFAS No. 21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menangguhkan APB Opinion No. 15 bagi entitas nonpublik.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Tiga Rasional SFAS 128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Lahir dari kerja sama FASB–IASB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>SFAS No. 128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terbit dengan tiga rasionalisasi (Wolk et al., 2017, PDF hlm. 17).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Komparabilitas internasional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menyelaraskan praktik lintas negara.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Penyederhanaan komputasi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memangkas perhitungan yang artifisial.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Revisi pengungkapan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memperbaiki cara penyajian.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Eliminasi PEPS dan Aturan 3%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Penghapusan primary EPS (PEPS)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kategori "terdilusi sebagian" yang memasukkan efek konvertibel ke penyebut bila </w:t>
      </w:r>
      <w:r>
        <w:rPr>
          <w:rFonts w:ascii="Times New Roman" w:hAnsi="Times New Roman" w:cs="Times New Roman"/>
          <w:b w:val="0"/>
          <w:i/>
          <w:sz w:val="24"/>
        </w:rPr>
        <w:t>effective rate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penerbitan tak melebihi dua pertiga </w:t>
      </w:r>
      <w:r>
        <w:rPr>
          <w:rFonts w:ascii="Times New Roman" w:hAnsi="Times New Roman" w:cs="Times New Roman"/>
          <w:b w:val="0"/>
          <w:i/>
          <w:sz w:val="24"/>
        </w:rPr>
        <w:t>Aa bond rate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(Wolk et al., 2017, PDF hlm. 17–18).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"Less is more"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karena perhitungan PEPS artifisial, menghapusnya adalah kasus klasik di mana informasi yang lebih sedikit justru menghasilkan kegunaan lebih besar.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Eliminasi aturan 3%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aturan yang membebaskan entitas menyajikan EPS terdilusi penuh bila selisihnya tidak melebihi 3% dari EPS sederhana ikut dihapus.</w:t>
      </w:r>
    </w:p>
    <w:p>
      <w:pPr>
        <w:spacing w:lineRule="exact" w:line="240" w:before="0" w:after="0"/>
        <w:jc w:val="center"/>
      </w:pPr>
      <w:r>
        <w:rPr>
          <w:rFonts w:ascii="Times New Roman" w:hAnsi="Times New Roman" w:cs="Times New Roman"/>
          <w:b/>
          <w:i w:val="0"/>
          <w:sz w:val="22"/>
        </w:rPr>
        <w:t xml:space="preserve">Tabel 4. </w:t>
      </w:r>
      <w:r>
        <w:rPr>
          <w:rFonts w:ascii="Times New Roman" w:hAnsi="Times New Roman" w:cs="Times New Roman"/>
          <w:b w:val="0"/>
          <w:i w:val="0"/>
          <w:sz w:val="22"/>
        </w:rPr>
        <w:t>Pergeseran APB Opinion No. 15 ke SFAS No. 128 dalam pelaporan EPS</w:t>
      </w:r>
    </w:p>
    <w:p>
      <w:pPr>
        <w:spacing w:lineRule="exact" w:line="240" w:before="0" w:after="80"/>
        <w:jc w:val="center"/>
      </w:pPr>
      <w:r>
        <w:rPr>
          <w:rFonts w:ascii="Times New Roman" w:hAnsi="Times New Roman" w:cs="Times New Roman"/>
          <w:b w:val="0"/>
          <w:i/>
          <w:sz w:val="22"/>
        </w:rPr>
        <w:t>Sumber: diolah dari Wolk et al. (2017), PDF hlm. 17–18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041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Aspek</w:t>
            </w:r>
          </w:p>
        </w:tc>
        <w:tc>
          <w:tcPr>
            <w:tcW w:type="dxa" w:w="3231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APB Opinion No. 15</w:t>
            </w:r>
          </w:p>
        </w:tc>
        <w:tc>
          <w:tcPr>
            <w:tcW w:type="dxa" w:w="3231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SFAS No. 128</w:t>
            </w:r>
          </w:p>
        </w:tc>
      </w:tr>
      <w:tr>
        <w:tc>
          <w:tcPr>
            <w:tcW w:type="dxa" w:w="204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Kategori EPS</w:t>
            </w:r>
          </w:p>
        </w:tc>
        <w:tc>
          <w:tcPr>
            <w:tcW w:type="dxa" w:w="323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Primary EPS (PEPS) dan fully diluted EPS</w:t>
            </w:r>
          </w:p>
        </w:tc>
        <w:tc>
          <w:tcPr>
            <w:tcW w:type="dxa" w:w="323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Basic EPS (tanpa dilusi) dan diluted EPS (dilusi maksimum)</w:t>
            </w:r>
          </w:p>
        </w:tc>
      </w:tr>
      <w:tr>
        <w:tc>
          <w:tcPr>
            <w:tcW w:type="dxa" w:w="204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PEPS</w:t>
            </w:r>
          </w:p>
        </w:tc>
        <w:tc>
          <w:tcPr>
            <w:tcW w:type="dxa" w:w="323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Wajib: memasukkan convertible securities bila effective rate ≤ 2/3 Aa bond rate saat terbit</w:t>
            </w:r>
          </w:p>
        </w:tc>
        <w:tc>
          <w:tcPr>
            <w:tcW w:type="dxa" w:w="323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Dieliminasi — perhitungan artifisial yang sulit dipahami pengguna</w:t>
            </w:r>
          </w:p>
        </w:tc>
      </w:tr>
      <w:tr>
        <w:tc>
          <w:tcPr>
            <w:tcW w:type="dxa" w:w="204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Aturan 3%</w:t>
            </w:r>
          </w:p>
        </w:tc>
        <w:tc>
          <w:tcPr>
            <w:tcW w:type="dxa" w:w="323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Bila dilusi penuh ≤ 3% dari simple EPS, cukup simple EPS</w:t>
            </w:r>
          </w:p>
        </w:tc>
        <w:tc>
          <w:tcPr>
            <w:tcW w:type="dxa" w:w="323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Dieliminasi — basic dan diluted selalu disajikan</w:t>
            </w:r>
          </w:p>
        </w:tc>
      </w:tr>
      <w:tr>
        <w:tc>
          <w:tcPr>
            <w:tcW w:type="dxa" w:w="204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Rekonsiliasi</w:t>
            </w:r>
          </w:p>
        </w:tc>
        <w:tc>
          <w:tcPr>
            <w:tcW w:type="dxa" w:w="323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Tidak diwajibkan</w:t>
            </w:r>
          </w:p>
        </w:tc>
        <w:tc>
          <w:tcPr>
            <w:tcW w:type="dxa" w:w="323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Wajib: rekonsiliasi pembilang dan penyebut basic ↔ diluted</w:t>
            </w:r>
          </w:p>
        </w:tc>
      </w:tr>
      <w:tr>
        <w:tc>
          <w:tcPr>
            <w:tcW w:type="dxa" w:w="204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Penyajian</w:t>
            </w:r>
          </w:p>
        </w:tc>
        <w:tc>
          <w:tcPr>
            <w:tcW w:type="dxa" w:w="323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Direkomendasikan kuat di laporan laba rugi</w:t>
            </w:r>
          </w:p>
        </w:tc>
        <w:tc>
          <w:tcPr>
            <w:tcW w:type="dxa" w:w="3231"/>
          </w:tcPr>
          <w:p>
            <w:pPr>
              <w:spacing w:lineRule="exact" w:line="2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Wajib di muka laporan laba rugi, untuk income before discontinued operations/extraordinary items dan net income; tidak untuk comprehensive income</w:t>
            </w:r>
          </w:p>
        </w:tc>
      </w:tr>
    </w:tbl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Basic vs Diluted EPS dan Rekonsiliasi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Basic EPS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EPS tanpa dilusi, wajib disajikan di bawah SFAS No. 128 (Wolk et al., 2017, PDF hlm. 18).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Diluted EPS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EPS dengan dilusi maksimum.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Penyajian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keduanya tampil langsung </w:t>
      </w:r>
      <w:r>
        <w:rPr>
          <w:rFonts w:ascii="Times New Roman" w:hAnsi="Times New Roman" w:cs="Times New Roman"/>
          <w:b/>
          <w:i w:val="0"/>
          <w:sz w:val="24"/>
        </w:rPr>
        <w:t>di muka laporan laba rugi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untuk laba sebelum operasi dihentikan dan pos luar biasa maupun laba bersih, tetapi </w:t>
      </w:r>
      <w:r>
        <w:rPr>
          <w:rFonts w:ascii="Times New Roman" w:hAnsi="Times New Roman" w:cs="Times New Roman"/>
          <w:b/>
          <w:i w:val="0"/>
          <w:sz w:val="24"/>
        </w:rPr>
        <w:t>bukan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laba komprehensif.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Rekonsiliasi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pembilang dan penyebut antara basic dan diluted wajib direkonsiliasi agar pengguna menilai efek penuh dilusi.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Gema dilema keseragaman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menghapus PEPS dan aturan 3% berarti memilih </w:t>
      </w:r>
      <w:r>
        <w:rPr>
          <w:rFonts w:ascii="Times New Roman" w:hAnsi="Times New Roman" w:cs="Times New Roman"/>
          <w:b/>
          <w:i w:val="0"/>
          <w:sz w:val="24"/>
        </w:rPr>
        <w:t>keseragaman kaku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rigid uniformity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di atas </w:t>
      </w:r>
      <w:r>
        <w:rPr>
          <w:rFonts w:ascii="Times New Roman" w:hAnsi="Times New Roman" w:cs="Times New Roman"/>
          <w:b/>
          <w:i w:val="0"/>
          <w:sz w:val="24"/>
        </w:rPr>
        <w:t>keseragaman terhingga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finite uniformity</w:t>
      </w:r>
      <w:r>
        <w:rPr>
          <w:rFonts w:ascii="Times New Roman" w:hAnsi="Times New Roman" w:cs="Times New Roman"/>
          <w:b w:val="0"/>
          <w:i w:val="0"/>
          <w:sz w:val="24"/>
        </w:rPr>
        <w:t>): memangkas keluwesan demi komparabilitas lintas negara.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Pelajaran bahwa kompleksitas dan diskresi manajemen menggerus kegunaan angka ringkas diperdalam pada Bagian X.</w:t>
      </w:r>
    </w:p>
    <w:p>
      <w:pPr>
        <w:spacing w:lineRule="exact" w:line="240" w:before="80" w:after="40"/>
        <w:jc w:val="left"/>
      </w:pPr>
      <w:r>
        <w:rPr>
          <w:rFonts w:ascii="Times New Roman" w:hAnsi="Times New Roman" w:cs="Times New Roman"/>
          <w:b/>
          <w:i w:val="0"/>
          <w:sz w:val="26"/>
        </w:rPr>
        <w:t>X. Topik Khusus dalam Pengukuran Laba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Empat topik berikut menunjukkan bagaimana konsensus standar tumbuh lambat namun berdampak material karena tiadanya kerangka teori yang konsisten. Masing-masing menjadi laboratorium tarik-menarik </w:t>
      </w:r>
      <w:r>
        <w:rPr>
          <w:rFonts w:ascii="Times New Roman" w:hAnsi="Times New Roman" w:cs="Times New Roman"/>
          <w:b w:val="0"/>
          <w:i/>
          <w:sz w:val="24"/>
        </w:rPr>
        <w:t>decision usefulness</w:t>
      </w:r>
      <w:r>
        <w:rPr>
          <w:rFonts w:ascii="Times New Roman" w:hAnsi="Times New Roman" w:cs="Times New Roman"/>
          <w:b w:val="0"/>
          <w:i w:val="0"/>
          <w:sz w:val="24"/>
        </w:rPr>
        <w:t>, kesetiaan representasional (</w:t>
      </w:r>
      <w:r>
        <w:rPr>
          <w:rFonts w:ascii="Times New Roman" w:hAnsi="Times New Roman" w:cs="Times New Roman"/>
          <w:b w:val="0"/>
          <w:i/>
          <w:sz w:val="24"/>
        </w:rPr>
        <w:t>representational faithfulness</w:t>
      </w:r>
      <w:r>
        <w:rPr>
          <w:rFonts w:ascii="Times New Roman" w:hAnsi="Times New Roman" w:cs="Times New Roman"/>
          <w:b w:val="0"/>
          <w:i w:val="0"/>
          <w:sz w:val="24"/>
        </w:rPr>
        <w:t>), dan konsekuensi ekonomi (</w:t>
      </w:r>
      <w:r>
        <w:rPr>
          <w:rFonts w:ascii="Times New Roman" w:hAnsi="Times New Roman" w:cs="Times New Roman"/>
          <w:b w:val="0"/>
          <w:i/>
          <w:sz w:val="24"/>
        </w:rPr>
        <w:t>economic consequences</w:t>
      </w:r>
      <w:r>
        <w:rPr>
          <w:rFonts w:ascii="Times New Roman" w:hAnsi="Times New Roman" w:cs="Times New Roman"/>
          <w:b w:val="0"/>
          <w:i w:val="0"/>
          <w:sz w:val="24"/>
        </w:rPr>
        <w:t>) (Wolk et al., 2017, PDF hlm. 18).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Development Stage Enterprises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Definisi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>entitas tahap pengembangan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development stage enterprise</w:t>
      </w:r>
      <w:r>
        <w:rPr>
          <w:rFonts w:ascii="Times New Roman" w:hAnsi="Times New Roman" w:cs="Times New Roman"/>
          <w:b w:val="0"/>
          <w:i w:val="0"/>
          <w:sz w:val="24"/>
        </w:rPr>
        <w:t>) merintis usaha baru dan belum menghasilkan pendapatan berarti (Wolk et al., 2017, PDF hlm. 18–19).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Sebelum 1976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entitas ini menangguhkan biaya, sementara entitas operasional membebankannya.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SFAS No. 7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yang menentukan perlakuan adalah </w:t>
      </w:r>
      <w:r>
        <w:rPr>
          <w:rFonts w:ascii="Times New Roman" w:hAnsi="Times New Roman" w:cs="Times New Roman"/>
          <w:b/>
          <w:i w:val="0"/>
          <w:sz w:val="24"/>
        </w:rPr>
        <w:t>sifat biaya, bukan sifat entitas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Pilihan teoretis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memilih </w:t>
      </w:r>
      <w:r>
        <w:rPr>
          <w:rFonts w:ascii="Times New Roman" w:hAnsi="Times New Roman" w:cs="Times New Roman"/>
          <w:b/>
          <w:i w:val="0"/>
          <w:sz w:val="24"/>
        </w:rPr>
        <w:t>keseragaman kaku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rigid uniformity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di atas </w:t>
      </w:r>
      <w:r>
        <w:rPr>
          <w:rFonts w:ascii="Times New Roman" w:hAnsi="Times New Roman" w:cs="Times New Roman"/>
          <w:b/>
          <w:i w:val="0"/>
          <w:sz w:val="24"/>
        </w:rPr>
        <w:t>keseragaman terhingga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finite uniformity</w:t>
      </w:r>
      <w:r>
        <w:rPr>
          <w:rFonts w:ascii="Times New Roman" w:hAnsi="Times New Roman" w:cs="Times New Roman"/>
          <w:b w:val="0"/>
          <w:i w:val="0"/>
          <w:sz w:val="24"/>
        </w:rPr>
        <w:t>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Troubled Debt Restructuring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Definisi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>restrukturisasi utang bermasalah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troubled debt restructuring</w:t>
      </w:r>
      <w:r>
        <w:rPr>
          <w:rFonts w:ascii="Times New Roman" w:hAnsi="Times New Roman" w:cs="Times New Roman"/>
          <w:b w:val="0"/>
          <w:i w:val="0"/>
          <w:sz w:val="24"/>
        </w:rPr>
        <w:t>) terjadi saat kreditor memberi konsesi karena debitor kesulitan keuangan (Wolk et al., 2017, PDF hlm. 19–20).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SFAS No. 15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disebut Wolk "kemenangan konsekuensi ekonomi atas kesetiaan representasional": selama arus kas </w:t>
      </w:r>
      <w:r>
        <w:rPr>
          <w:rFonts w:ascii="Times New Roman" w:hAnsi="Times New Roman" w:cs="Times New Roman"/>
          <w:b/>
          <w:i w:val="0"/>
          <w:sz w:val="24"/>
        </w:rPr>
        <w:t>tanpa didiskontokan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menutup nilai tercatat kewajiban, tidak ada untung-rugi diakui—padahal APB Opinion No. 21 membakukan pendiskontoan.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SFAS No. 114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mengubah sisi kreditor: arus kas didiskontokan dengan </w:t>
      </w:r>
      <w:r>
        <w:rPr>
          <w:rFonts w:ascii="Times New Roman" w:hAnsi="Times New Roman" w:cs="Times New Roman"/>
          <w:b/>
          <w:i w:val="0"/>
          <w:sz w:val="24"/>
        </w:rPr>
        <w:t>suku bunga efektif awal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original effective rate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dan penurunan nilai dibebankan sebagai </w:t>
      </w:r>
      <w:r>
        <w:rPr>
          <w:rFonts w:ascii="Times New Roman" w:hAnsi="Times New Roman" w:cs="Times New Roman"/>
          <w:b/>
          <w:i w:val="0"/>
          <w:sz w:val="24"/>
        </w:rPr>
        <w:t>beban piutang tak tertagih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bad debt expense</w:t>
      </w:r>
      <w:r>
        <w:rPr>
          <w:rFonts w:ascii="Times New Roman" w:hAnsi="Times New Roman" w:cs="Times New Roman"/>
          <w:b w:val="0"/>
          <w:i w:val="0"/>
          <w:sz w:val="24"/>
        </w:rPr>
        <w:t>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Dua dissent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dua anggota FASB mengusulkan </w:t>
      </w:r>
      <w:r>
        <w:rPr>
          <w:rFonts w:ascii="Times New Roman" w:hAnsi="Times New Roman" w:cs="Times New Roman"/>
          <w:b/>
          <w:i w:val="0"/>
          <w:sz w:val="24"/>
        </w:rPr>
        <w:t>suku bunga pasar terkini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Asimetri debitor–kreditor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hanya kreditor terikat SFAS No. 114 sedangkan debitor tetap tunduk SFAS No. 15, menimbulkan asimetri total—"evolusi yang lambat dan menyakitkan".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Early Extinguishment of Debt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APB Opinion No. 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untuk </w:t>
      </w:r>
      <w:r>
        <w:rPr>
          <w:rFonts w:ascii="Times New Roman" w:hAnsi="Times New Roman" w:cs="Times New Roman"/>
          <w:b/>
          <w:i w:val="0"/>
          <w:sz w:val="24"/>
        </w:rPr>
        <w:t>pelunasan dini utang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early extinguishment of debt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memilih </w:t>
      </w:r>
      <w:r>
        <w:rPr>
          <w:rFonts w:ascii="Times New Roman" w:hAnsi="Times New Roman" w:cs="Times New Roman"/>
          <w:b/>
          <w:i w:val="0"/>
          <w:sz w:val="24"/>
        </w:rPr>
        <w:t>pengakuan kini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dan semula menggolongkannya luar biasa (Wolk et al., 2017, PDF hlm. 20).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APB Opinion No. 30 (flip sembilan bulan)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membaliknya menjadi </w:t>
      </w:r>
      <w:r>
        <w:rPr>
          <w:rFonts w:ascii="Times New Roman" w:hAnsi="Times New Roman" w:cs="Times New Roman"/>
          <w:b/>
          <w:i w:val="0"/>
          <w:sz w:val="24"/>
        </w:rPr>
        <w:t>bukan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pos luar biasa.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SFAS No. 4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bila material, mewajibkan pelaporan layaknya pos luar biasa, </w:t>
      </w:r>
      <w:r>
        <w:rPr>
          <w:rFonts w:ascii="Times New Roman" w:hAnsi="Times New Roman" w:cs="Times New Roman"/>
          <w:b/>
          <w:i w:val="0"/>
          <w:sz w:val="24"/>
        </w:rPr>
        <w:t>neto setelah pajak</w:t>
      </w:r>
      <w:r>
        <w:rPr>
          <w:rFonts w:ascii="Times New Roman" w:hAnsi="Times New Roman" w:cs="Times New Roman"/>
          <w:b w:val="0"/>
          <w:i w:val="0"/>
          <w:sz w:val="24"/>
        </w:rPr>
        <w:t>, sebagai konsesi kepada konstituen.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Stock Options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Tujuan vs penyalahgunaan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>opsi saham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stock options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dirancang </w:t>
      </w:r>
      <w:r>
        <w:rPr>
          <w:rFonts w:ascii="Times New Roman" w:hAnsi="Times New Roman" w:cs="Times New Roman"/>
          <w:b/>
          <w:i w:val="0"/>
          <w:sz w:val="24"/>
        </w:rPr>
        <w:t>menyelaraskan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kepentingan manajemen dan pemegang saham (teori keagenan), namun mendorong manipulasi laba—</w:t>
      </w:r>
      <w:r>
        <w:rPr>
          <w:rFonts w:ascii="Times New Roman" w:hAnsi="Times New Roman" w:cs="Times New Roman"/>
          <w:b/>
          <w:i w:val="0"/>
          <w:sz w:val="24"/>
        </w:rPr>
        <w:t>WorldCom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mengapitalisasi beban setidaknya </w:t>
      </w:r>
      <w:r>
        <w:rPr>
          <w:rFonts w:ascii="Times New Roman" w:hAnsi="Times New Roman" w:cs="Times New Roman"/>
          <w:b/>
          <w:i w:val="0"/>
          <w:sz w:val="24"/>
        </w:rPr>
        <w:t>US$7 miliar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(Wolk et al., 2017, PDF hlm. 20–21).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APB Opinion No. 25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membebankan </w:t>
      </w:r>
      <w:r>
        <w:rPr>
          <w:rFonts w:ascii="Times New Roman" w:hAnsi="Times New Roman" w:cs="Times New Roman"/>
          <w:b/>
          <w:i w:val="0"/>
          <w:sz w:val="24"/>
        </w:rPr>
        <w:t>opsi saham nonkualifikasi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nonqualified stock options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sebesar selisih nilai pasar dan harga pelaksanaan pada </w:t>
      </w:r>
      <w:r>
        <w:rPr>
          <w:rFonts w:ascii="Times New Roman" w:hAnsi="Times New Roman" w:cs="Times New Roman"/>
          <w:b/>
          <w:i w:val="0"/>
          <w:sz w:val="24"/>
        </w:rPr>
        <w:t>tanggal pengukuran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measurement date</w:t>
      </w:r>
      <w:r>
        <w:rPr>
          <w:rFonts w:ascii="Times New Roman" w:hAnsi="Times New Roman" w:cs="Times New Roman"/>
          <w:b w:val="0"/>
          <w:i w:val="0"/>
          <w:sz w:val="24"/>
        </w:rPr>
        <w:t>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Exposure draft Juni 1993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FASB mengusulkan pengukuran berbasis </w:t>
      </w:r>
      <w:r>
        <w:rPr>
          <w:rFonts w:ascii="Times New Roman" w:hAnsi="Times New Roman" w:cs="Times New Roman"/>
          <w:b/>
          <w:i w:val="0"/>
          <w:sz w:val="24"/>
        </w:rPr>
        <w:t>Black-Scholes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Penarikan Desember 1994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kritik kesetiaan representasional dan tekanan eksekutif keuangan membatalkannya (Wolk et al., 2017, PDF hlm. 22–23).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SFAS No. 123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mundur ke pengungkapan catatan kaki saja.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SFAS No. 123R (2004)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mewajibkan pengakuan beban berdasarkan </w:t>
      </w:r>
      <w:r>
        <w:rPr>
          <w:rFonts w:ascii="Times New Roman" w:hAnsi="Times New Roman" w:cs="Times New Roman"/>
          <w:b/>
          <w:i w:val="0"/>
          <w:sz w:val="24"/>
        </w:rPr>
        <w:t>nilai wajar tanggal pemberian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grant-date fair value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)—dekat dengan </w:t>
      </w:r>
      <w:r>
        <w:rPr>
          <w:rFonts w:ascii="Times New Roman" w:hAnsi="Times New Roman" w:cs="Times New Roman"/>
          <w:b/>
          <w:i w:val="0"/>
          <w:sz w:val="24"/>
        </w:rPr>
        <w:t>IFRS 2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Backdating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penetapan tanggal opsi ke harga terendah menambah problem; Efendi et al. (2012) menemukan </w:t>
      </w:r>
      <w:r>
        <w:rPr>
          <w:rFonts w:ascii="Times New Roman" w:hAnsi="Times New Roman" w:cs="Times New Roman"/>
          <w:b/>
          <w:i w:val="0"/>
          <w:sz w:val="24"/>
        </w:rPr>
        <w:t>pergantian paksa CEO dan CFO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lebih tinggi.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1585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5_stock_op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85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40" w:before="0" w:after="0"/>
        <w:jc w:val="center"/>
      </w:pPr>
      <w:r>
        <w:rPr>
          <w:rFonts w:ascii="Times New Roman" w:hAnsi="Times New Roman" w:cs="Times New Roman"/>
          <w:b/>
          <w:i w:val="0"/>
          <w:sz w:val="22"/>
        </w:rPr>
        <w:t xml:space="preserve">Gambar 5. </w:t>
      </w:r>
      <w:r>
        <w:rPr>
          <w:rFonts w:ascii="Times New Roman" w:hAnsi="Times New Roman" w:cs="Times New Roman"/>
          <w:b w:val="0"/>
          <w:i w:val="0"/>
          <w:sz w:val="22"/>
        </w:rPr>
        <w:t>Lini masa standar kompensasi opsi saham</w:t>
      </w:r>
    </w:p>
    <w:p>
      <w:pPr>
        <w:spacing w:lineRule="exact" w:line="240" w:before="0" w:after="120"/>
        <w:jc w:val="center"/>
      </w:pPr>
      <w:r>
        <w:rPr>
          <w:rFonts w:ascii="Times New Roman" w:hAnsi="Times New Roman" w:cs="Times New Roman"/>
          <w:b w:val="0"/>
          <w:i/>
          <w:sz w:val="22"/>
        </w:rPr>
        <w:t>Sumber: diolah dari Wolk et al. (2017), PDF hlm. 20–24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Teori entitas vs proprietari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di bawah </w:t>
      </w:r>
      <w:r>
        <w:rPr>
          <w:rFonts w:ascii="Times New Roman" w:hAnsi="Times New Roman" w:cs="Times New Roman"/>
          <w:b/>
          <w:i w:val="0"/>
          <w:sz w:val="24"/>
        </w:rPr>
        <w:t>teori entitas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entity theory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penerima opsi adalah pemilik sehingga biayanya hanya biaya peluang, bukan beban; di bawah </w:t>
      </w:r>
      <w:r>
        <w:rPr>
          <w:rFonts w:ascii="Times New Roman" w:hAnsi="Times New Roman" w:cs="Times New Roman"/>
          <w:b/>
          <w:i w:val="0"/>
          <w:sz w:val="24"/>
        </w:rPr>
        <w:t>teori proprietari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proprietary theory</w:t>
      </w:r>
      <w:r>
        <w:rPr>
          <w:rFonts w:ascii="Times New Roman" w:hAnsi="Times New Roman" w:cs="Times New Roman"/>
          <w:b w:val="0"/>
          <w:i w:val="0"/>
          <w:sz w:val="24"/>
        </w:rPr>
        <w:t>) opsi adalah biaya riil karena saham pemegang luar terdilusi (Wolk et al., 2017, PDF hlm. 23–24).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Usul reformat Wolk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laporan laba rugi disusun ulang: </w:t>
      </w:r>
      <w:r>
        <w:rPr>
          <w:rFonts w:ascii="Times New Roman" w:hAnsi="Times New Roman" w:cs="Times New Roman"/>
          <w:b/>
          <w:i w:val="0"/>
          <w:sz w:val="24"/>
        </w:rPr>
        <w:t>laba entitas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entity income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tanpa beban bunga, dikurangi biaya bunga dan opsi menjadi </w:t>
      </w:r>
      <w:r>
        <w:rPr>
          <w:rFonts w:ascii="Times New Roman" w:hAnsi="Times New Roman" w:cs="Times New Roman"/>
          <w:b/>
          <w:i w:val="0"/>
          <w:sz w:val="24"/>
        </w:rPr>
        <w:t>laba proprietari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proprietary income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), sekaligus </w:t>
      </w:r>
      <w:r>
        <w:rPr>
          <w:rFonts w:ascii="Times New Roman" w:hAnsi="Times New Roman" w:cs="Times New Roman"/>
          <w:b/>
          <w:i w:val="0"/>
          <w:sz w:val="24"/>
        </w:rPr>
        <w:t>berartikulasi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dengan arus kas.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Ketika diskresi terbuka, pengukuran laba menjelma alat </w:t>
      </w:r>
      <w:r>
        <w:rPr>
          <w:rFonts w:ascii="Times New Roman" w:hAnsi="Times New Roman" w:cs="Times New Roman"/>
          <w:b/>
          <w:i w:val="0"/>
          <w:sz w:val="24"/>
        </w:rPr>
        <w:t>manajemen laba</w:t>
      </w:r>
      <w:r>
        <w:rPr>
          <w:rFonts w:ascii="Times New Roman" w:hAnsi="Times New Roman" w:cs="Times New Roman"/>
          <w:b w:val="0"/>
          <w:i w:val="0"/>
          <w:sz w:val="24"/>
        </w:rPr>
        <w:t>—bahasan Bagian XI.</w:t>
      </w:r>
    </w:p>
    <w:p>
      <w:pPr>
        <w:spacing w:lineRule="exact" w:line="240" w:before="80" w:after="40"/>
        <w:jc w:val="left"/>
      </w:pPr>
      <w:r>
        <w:rPr>
          <w:rFonts w:ascii="Times New Roman" w:hAnsi="Times New Roman" w:cs="Times New Roman"/>
          <w:b/>
          <w:i w:val="0"/>
          <w:sz w:val="26"/>
        </w:rPr>
        <w:t>XI. Earnings Management dan Income Smoothing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/>
          <w:i w:val="0"/>
          <w:sz w:val="24"/>
        </w:rPr>
        <w:t>Manajemen laba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earnings management</w:t>
      </w:r>
      <w:r>
        <w:rPr>
          <w:rFonts w:ascii="Times New Roman" w:hAnsi="Times New Roman" w:cs="Times New Roman"/>
          <w:b w:val="0"/>
          <w:i w:val="0"/>
          <w:sz w:val="24"/>
        </w:rPr>
        <w:t>) adalah upaya manajemen menggeser angka laba demi keuntungan privat. Bagian ini membedah motif, mekanisme, dan kasus perataan laba.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Definisi dan Motif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Definisi Schipper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"intervensi yang disengaja dalam proses pelaporan keuangan eksternal dengan maksud memperoleh keuntungan privat" (Wolk et al., 2017, PDF hlm. 24).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Akar teori keagenan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agency theory</w:t>
      </w:r>
      <w:r>
        <w:rPr>
          <w:rFonts w:ascii="Times New Roman" w:hAnsi="Times New Roman" w:cs="Times New Roman"/>
          <w:b w:val="0"/>
          <w:i w:val="0"/>
          <w:sz w:val="24"/>
        </w:rPr>
        <w:t>) — manajemen dapat memengaruhi laba untuk tiga motif berikut.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Maksimalkan kompensasi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menaikkan laba agar bonus naik.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Hindari pelanggaran perjanjian utang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debt covenants</w:t>
      </w:r>
      <w:r>
        <w:rPr>
          <w:rFonts w:ascii="Times New Roman" w:hAnsi="Times New Roman" w:cs="Times New Roman"/>
          <w:b w:val="0"/>
          <w:i w:val="0"/>
          <w:sz w:val="24"/>
        </w:rPr>
        <w:t>) — menjaga laba di atas ambang kovenan.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Minimalkan laba dilaporkan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meredam campur tangan pemerintah bila visibilitas politik tinggi.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Asimetri meet/beat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jauh lebih banyak laba kuartalan tepat melampaui ekspektasi analis ketimbang sedikit meleset, menegaskan dimensi </w:t>
      </w:r>
      <w:r>
        <w:rPr>
          <w:rFonts w:ascii="Times New Roman" w:hAnsi="Times New Roman" w:cs="Times New Roman"/>
          <w:b/>
          <w:i w:val="0"/>
          <w:sz w:val="24"/>
        </w:rPr>
        <w:t>informasi asimetris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(laba dikelola hakikatnya informasi orang dalam).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19514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bar6_taksonomi_e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5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240" w:before="0" w:after="0"/>
        <w:jc w:val="center"/>
      </w:pPr>
      <w:r>
        <w:rPr>
          <w:rFonts w:ascii="Times New Roman" w:hAnsi="Times New Roman" w:cs="Times New Roman"/>
          <w:b/>
          <w:i w:val="0"/>
          <w:sz w:val="22"/>
        </w:rPr>
        <w:t xml:space="preserve">Gambar 6. </w:t>
      </w:r>
      <w:r>
        <w:rPr>
          <w:rFonts w:ascii="Times New Roman" w:hAnsi="Times New Roman" w:cs="Times New Roman"/>
          <w:b w:val="0"/>
          <w:i w:val="0"/>
          <w:sz w:val="22"/>
        </w:rPr>
        <w:t>Taksonomi earnings management dan tiga mekanisme income smoothing</w:t>
      </w:r>
    </w:p>
    <w:p>
      <w:pPr>
        <w:spacing w:lineRule="exact" w:line="240" w:before="0" w:after="120"/>
        <w:jc w:val="center"/>
      </w:pPr>
      <w:r>
        <w:rPr>
          <w:rFonts w:ascii="Times New Roman" w:hAnsi="Times New Roman" w:cs="Times New Roman"/>
          <w:b w:val="0"/>
          <w:i/>
          <w:sz w:val="22"/>
        </w:rPr>
        <w:t>Sumber: diolah dari Wolk et al. (2017), PDF hlm. 24–28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Bentuk dan Bukti Empiris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Classification shifting (McVay)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/>
          <w:b w:val="0"/>
          <w:i/>
          <w:sz w:val="24"/>
        </w:rPr>
        <w:t>pergeseran klasifikasi</w:t>
      </w:r>
      <w:r>
        <w:rPr>
          <w:rFonts w:ascii="Times New Roman" w:hAnsi="Times New Roman" w:cs="Times New Roman"/>
          <w:b w:val="0"/>
          <w:i w:val="0"/>
          <w:sz w:val="24"/>
        </w:rPr>
        <w:t>: komponen biaya inti digeser ke segmen bawah laporan laba rugi sehingga marjin laba kotor membaik sementara total laba tetap (Wolk et al., 2017, PDF hlm. 24).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Kasus Borden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pengajuan SEC Borden Incorporated 1992 ketika </w:t>
      </w:r>
      <w:r>
        <w:rPr>
          <w:rFonts w:ascii="Times New Roman" w:hAnsi="Times New Roman" w:cs="Times New Roman"/>
          <w:b/>
          <w:i w:val="0"/>
          <w:sz w:val="24"/>
        </w:rPr>
        <w:t>US$192 juta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beban pemasaran muncul sebagai </w:t>
      </w:r>
      <w:r>
        <w:rPr>
          <w:rFonts w:ascii="Times New Roman" w:hAnsi="Times New Roman" w:cs="Times New Roman"/>
          <w:b w:val="0"/>
          <w:i/>
          <w:sz w:val="24"/>
        </w:rPr>
        <w:t>restructuring charge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Inflasi akuisisi (Erickson &amp; Wang)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pengakuisisi menaikkan laba sebelum akuisisi saham agar saham yang ditukar berkurang.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Deflasi buyout (Wu vs DeAngelo)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Wu menemukan laba dimanipulasi turun menjelang </w:t>
      </w:r>
      <w:r>
        <w:rPr>
          <w:rFonts w:ascii="Times New Roman" w:hAnsi="Times New Roman" w:cs="Times New Roman"/>
          <w:b/>
          <w:i w:val="0"/>
          <w:sz w:val="24"/>
        </w:rPr>
        <w:t>management buyout</w:t>
      </w:r>
      <w:r>
        <w:rPr>
          <w:rFonts w:ascii="Times New Roman" w:hAnsi="Times New Roman" w:cs="Times New Roman"/>
          <w:b w:val="0"/>
          <w:i w:val="0"/>
          <w:sz w:val="24"/>
        </w:rPr>
        <w:t>—berlawanan dengan temuan DeAngelo.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Kasznik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pemberi prakiraan laba sukarela menaikkan laba dengan menurunkan </w:t>
      </w:r>
      <w:r>
        <w:rPr>
          <w:rFonts w:ascii="Times New Roman" w:hAnsi="Times New Roman" w:cs="Times New Roman"/>
          <w:b/>
          <w:i w:val="0"/>
          <w:sz w:val="24"/>
        </w:rPr>
        <w:t>akrual diskresioner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bila prakiraannya terlalu tinggi.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Sulit dideteksi + keseriusan SEC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deteksinya sukar dan SEC menanggapinya serius.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Studi auditor (Nelson, Elliott &amp; Tarpley)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>standar tidak presisi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mengundang manipulasi cadangan, sedangkan </w:t>
      </w:r>
      <w:r>
        <w:rPr>
          <w:rFonts w:ascii="Times New Roman" w:hAnsi="Times New Roman" w:cs="Times New Roman"/>
          <w:b/>
          <w:i w:val="0"/>
          <w:sz w:val="24"/>
        </w:rPr>
        <w:t>standar presisi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mengundang penstrukturan transaksi (Wolk et al., 2017, PDF hlm. 25).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Kompensasi dan Akrual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Ceiling dan floor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bonus berbasis laba lazimnya memiliki </w:t>
      </w:r>
      <w:r>
        <w:rPr>
          <w:rFonts w:ascii="Times New Roman" w:hAnsi="Times New Roman" w:cs="Times New Roman"/>
          <w:b/>
          <w:i w:val="0"/>
          <w:sz w:val="24"/>
        </w:rPr>
        <w:t>batas atas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ceiling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dan </w:t>
      </w:r>
      <w:r>
        <w:rPr>
          <w:rFonts w:ascii="Times New Roman" w:hAnsi="Times New Roman" w:cs="Times New Roman"/>
          <w:b/>
          <w:i w:val="0"/>
          <w:sz w:val="24"/>
        </w:rPr>
        <w:t>batas bawah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floor</w:t>
      </w:r>
      <w:r>
        <w:rPr>
          <w:rFonts w:ascii="Times New Roman" w:hAnsi="Times New Roman" w:cs="Times New Roman"/>
          <w:b w:val="0"/>
          <w:i w:val="0"/>
          <w:sz w:val="24"/>
        </w:rPr>
        <w:t>) (Wolk et al., 2017, PDF hlm. 26).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Healy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di atas plafon dan di bawah lantai, laba </w:t>
      </w:r>
      <w:r>
        <w:rPr>
          <w:rFonts w:ascii="Times New Roman" w:hAnsi="Times New Roman" w:cs="Times New Roman"/>
          <w:b/>
          <w:i w:val="0"/>
          <w:sz w:val="24"/>
        </w:rPr>
        <w:t>ditangguhkan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ke periode berikut melalui akrual akhir tahun.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Discretionary accruals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>akrual diskresioner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(beban piutang tak tertagih, penambahan produksi penyerap overhead manufaktur tetap, estimasi beban garansi) dapat dikendalikan jangka pendek tetapi sulit dibedakan dari </w:t>
      </w:r>
      <w:r>
        <w:rPr>
          <w:rFonts w:ascii="Times New Roman" w:hAnsi="Times New Roman" w:cs="Times New Roman"/>
          <w:b/>
          <w:i w:val="0"/>
          <w:sz w:val="24"/>
        </w:rPr>
        <w:t>akrual nondiskresioner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Real-cost accruals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pengendalian biaya riil seperti iklan dan litbang.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Income Smoothing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Motif valuasi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>perataan laba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income smoothing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bertumpu pada hipotesis bahwa aliran laba lebih stabil menghasilkan </w:t>
      </w:r>
      <w:r>
        <w:rPr>
          <w:rFonts w:ascii="Times New Roman" w:hAnsi="Times New Roman" w:cs="Times New Roman"/>
          <w:b/>
          <w:i w:val="0"/>
          <w:sz w:val="24"/>
        </w:rPr>
        <w:t>penilaian perusahaan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firm valuation</w:t>
      </w:r>
      <w:r>
        <w:rPr>
          <w:rFonts w:ascii="Times New Roman" w:hAnsi="Times New Roman" w:cs="Times New Roman"/>
          <w:b w:val="0"/>
          <w:i w:val="0"/>
          <w:sz w:val="24"/>
        </w:rPr>
        <w:t>) lebih tinggi—mengandaikan pasar naif (Wolk et al., 2017, PDF hlm. 26).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Ronen &amp; Sadan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menafsirkannya sebagai upaya </w:t>
      </w:r>
      <w:r>
        <w:rPr>
          <w:rFonts w:ascii="Times New Roman" w:hAnsi="Times New Roman" w:cs="Times New Roman"/>
          <w:b/>
          <w:i w:val="0"/>
          <w:sz w:val="24"/>
        </w:rPr>
        <w:t>memfasilitasi prediksi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arus kas masa depan.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Tiga mekanisme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>pengaturan waktu transaksi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(paling langsung), </w:t>
      </w:r>
      <w:r>
        <w:rPr>
          <w:rFonts w:ascii="Times New Roman" w:hAnsi="Times New Roman" w:cs="Times New Roman"/>
          <w:b/>
          <w:i w:val="0"/>
          <w:sz w:val="24"/>
        </w:rPr>
        <w:t>pemilihan metode alokasi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dan </w:t>
      </w:r>
      <w:r>
        <w:rPr>
          <w:rFonts w:ascii="Times New Roman" w:hAnsi="Times New Roman" w:cs="Times New Roman"/>
          <w:b/>
          <w:i w:val="0"/>
          <w:sz w:val="24"/>
        </w:rPr>
        <w:t>perataan klasifikatori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laba operasi versus nonoperasi—yang setelah APB Opinion No. 30 nyaris tak bersisa.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Profil perata (Chaney &amp; Jeter)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perusahaan perata cenderung lebih besar dengan akrual diskresioner absolut lebih besar.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DeFond &amp; Park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pola "</w:t>
      </w:r>
      <w:r>
        <w:rPr>
          <w:rFonts w:ascii="Times New Roman" w:hAnsi="Times New Roman" w:cs="Times New Roman"/>
          <w:b/>
          <w:i w:val="0"/>
          <w:sz w:val="24"/>
        </w:rPr>
        <w:t>meminjam</w:t>
      </w:r>
      <w:r>
        <w:rPr>
          <w:rFonts w:ascii="Times New Roman" w:hAnsi="Times New Roman" w:cs="Times New Roman"/>
          <w:b w:val="0"/>
          <w:i w:val="0"/>
          <w:sz w:val="24"/>
        </w:rPr>
        <w:t>" laba dari masa depan saat laba kini buruk dan "</w:t>
      </w:r>
      <w:r>
        <w:rPr>
          <w:rFonts w:ascii="Times New Roman" w:hAnsi="Times New Roman" w:cs="Times New Roman"/>
          <w:b/>
          <w:i w:val="0"/>
          <w:sz w:val="24"/>
        </w:rPr>
        <w:t>menyimpan</w:t>
      </w:r>
      <w:r>
        <w:rPr>
          <w:rFonts w:ascii="Times New Roman" w:hAnsi="Times New Roman" w:cs="Times New Roman"/>
          <w:b w:val="0"/>
          <w:i w:val="0"/>
          <w:sz w:val="24"/>
        </w:rPr>
        <w:t>"-nya saat prospek suram.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Tiga masalah riset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motivasinya tidak cukup tegas memprediksi rupa laba teratakan; laba </w:t>
      </w:r>
      <w:r>
        <w:rPr>
          <w:rFonts w:ascii="Times New Roman" w:hAnsi="Times New Roman" w:cs="Times New Roman"/>
          <w:b/>
          <w:i w:val="0"/>
          <w:sz w:val="24"/>
        </w:rPr>
        <w:t>tak teratakan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tidak terhitung; inflasi menimbulkan drift naik yang melebih-lebihkan perataan.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Bukti random-walk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studi </w:t>
      </w:r>
      <w:r>
        <w:rPr>
          <w:rFonts w:ascii="Times New Roman" w:hAnsi="Times New Roman" w:cs="Times New Roman"/>
          <w:b w:val="0"/>
          <w:i/>
          <w:sz w:val="24"/>
        </w:rPr>
        <w:t>time-series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mendeskripsikan laba sebagai </w:t>
      </w:r>
      <w:r>
        <w:rPr>
          <w:rFonts w:ascii="Times New Roman" w:hAnsi="Times New Roman" w:cs="Times New Roman"/>
          <w:b/>
          <w:i w:val="0"/>
          <w:sz w:val="24"/>
        </w:rPr>
        <w:t>random walk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dengan sedikit drift naik dan ini </w:t>
      </w:r>
      <w:r>
        <w:rPr>
          <w:rFonts w:ascii="Times New Roman" w:hAnsi="Times New Roman" w:cs="Times New Roman"/>
          <w:b/>
          <w:i w:val="0"/>
          <w:sz w:val="24"/>
        </w:rPr>
        <w:t>tidak mendukung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hipotesis perataan, sebab jika perataan masif model rata-rata bergerak semestinya mengungguli random walk (Wolk et al., 2017, PDF hlm. 27).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Manajemen laba dan perataan menutup kualitas pengukuran laba sekaligus menyiapkan Bagian XII.</w:t>
      </w:r>
    </w:p>
    <w:p>
      <w:pPr>
        <w:spacing w:lineRule="exact" w:line="240" w:before="80" w:after="40"/>
        <w:jc w:val="left"/>
      </w:pPr>
      <w:r>
        <w:rPr>
          <w:rFonts w:ascii="Times New Roman" w:hAnsi="Times New Roman" w:cs="Times New Roman"/>
          <w:b/>
          <w:i w:val="0"/>
          <w:sz w:val="26"/>
        </w:rPr>
        <w:t>XII. Perkembangan dalam Income Statement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Beberapa gagasan baru menghidupkan lagi ketegangan lama: laba ingin berguna untuk memprediksi, tetapi pengukurannya harus tetap andal (Wolk et al., 2017, PDF hlm. 28).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Cash Earnings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Howell ingin laporan laba rugi diganti laporan operasi berbasis arus kas.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Usulan inti: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ganti laporan laba rugi dengan laporan operasi berbasis </w:t>
      </w:r>
      <w:r>
        <w:rPr>
          <w:rFonts w:ascii="Times New Roman" w:hAnsi="Times New Roman" w:cs="Times New Roman"/>
          <w:b w:val="0"/>
          <w:i/>
          <w:sz w:val="24"/>
        </w:rPr>
        <w:t>cash earnings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Cara hitung: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sz w:val="24"/>
        </w:rPr>
        <w:t>operating income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= pendapatan tunai − arus kas keluar operasi, lalu dikurangi beban dan akrual nonkas (</w:t>
      </w:r>
      <w:r>
        <w:rPr>
          <w:rFonts w:ascii="Times New Roman" w:hAnsi="Times New Roman" w:cs="Times New Roman"/>
          <w:b/>
          <w:i w:val="0"/>
          <w:sz w:val="24"/>
        </w:rPr>
        <w:t>depresiasi</w:t>
      </w:r>
      <w:r>
        <w:rPr>
          <w:rFonts w:ascii="Times New Roman" w:hAnsi="Times New Roman" w:cs="Times New Roman"/>
          <w:b w:val="0"/>
          <w:i w:val="0"/>
          <w:sz w:val="24"/>
        </w:rPr>
        <w:t>, amortisasi, keuntungan, kerugian).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Nama kurang tepat: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disebut "cash earnings" padahal unsur nonkas tetap dikurangkan.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Bunga: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diperlakukan sebagai </w:t>
      </w:r>
      <w:r>
        <w:rPr>
          <w:rFonts w:ascii="Times New Roman" w:hAnsi="Times New Roman" w:cs="Times New Roman"/>
          <w:b w:val="0"/>
          <w:i/>
          <w:sz w:val="24"/>
        </w:rPr>
        <w:t>financing cost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sehingga </w:t>
      </w:r>
      <w:r>
        <w:rPr>
          <w:rFonts w:ascii="Times New Roman" w:hAnsi="Times New Roman" w:cs="Times New Roman"/>
          <w:b w:val="0"/>
          <w:i/>
          <w:sz w:val="24"/>
        </w:rPr>
        <w:t>operating income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sejalan dengan bagian pertama </w:t>
      </w:r>
      <w:r>
        <w:rPr>
          <w:rFonts w:ascii="Times New Roman" w:hAnsi="Times New Roman" w:cs="Times New Roman"/>
          <w:b w:val="0"/>
          <w:i/>
          <w:sz w:val="24"/>
        </w:rPr>
        <w:t>statement of cash flows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(Wolk et al., 2017, PDF hlm. 28).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Bantahan penulis: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arus kas memang penting, tetapi akrual tetap berguna memprediksi laba masa depan.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Jalan lebih baik: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bukan membuang akrual, melainkan memperbaiki metode penghapusan aset jangka panjang yang terlalu fleksibel; usulan Howell dinilai terlalu mahal (Wolk et al., 2017, PDF hlm. 28).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Pro Forma Earnings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/>
          <w:sz w:val="24"/>
        </w:rPr>
        <w:t>Pro forma earnings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adalah ukuran pelengkap laba GAAP yang dipakai analis.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Rasional: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bersifat prediktif karena mengeluarkan peristiwa sekali waktu.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Penyalahgunaan: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manajemen kerap memakainya untuk menyingkirkan </w:t>
      </w:r>
      <w:r>
        <w:rPr>
          <w:rFonts w:ascii="Times New Roman" w:hAnsi="Times New Roman" w:cs="Times New Roman"/>
          <w:b w:val="0"/>
          <w:i/>
          <w:sz w:val="24"/>
        </w:rPr>
        <w:t>bad news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tetapi menahan unsur menguntungkan, sehingga laporan menjadi bias (Wolk et al., 2017, PDF hlm. 28–29).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Respons SEC 2001: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SEC memberi saran kehati-hatian dalam penyajian pro forma (Wolk et al., 2017, PDF hlm. 29).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Regulation G 2002: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mewajibkan informasi GAAP disajikan dengan keutamaan setara (</w:t>
      </w:r>
      <w:r>
        <w:rPr>
          <w:rFonts w:ascii="Times New Roman" w:hAnsi="Times New Roman" w:cs="Times New Roman"/>
          <w:b w:val="0"/>
          <w:i/>
          <w:sz w:val="24"/>
        </w:rPr>
        <w:t>equal prominence</w:t>
      </w:r>
      <w:r>
        <w:rPr>
          <w:rFonts w:ascii="Times New Roman" w:hAnsi="Times New Roman" w:cs="Times New Roman"/>
          <w:b w:val="0"/>
          <w:i w:val="0"/>
          <w:sz w:val="24"/>
        </w:rPr>
        <w:t>) terhadap non-GAAP, dan menuntut rekonsiliasi pro forma ke laba GAAP; sejak itu pelaporan membaik (Wolk et al., 2017, PDF hlm. 29).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Laporan G4+1 dan Pendekatan Matrix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Laporan </w:t>
      </w:r>
      <w:r>
        <w:rPr>
          <w:rFonts w:ascii="Times New Roman" w:hAnsi="Times New Roman" w:cs="Times New Roman"/>
          <w:b/>
          <w:i w:val="0"/>
          <w:sz w:val="24"/>
        </w:rPr>
        <w:t>G4+1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menempuh arah berlawanan dari pro forma namun bertujuan sama: memilah laba yang berkelanjutan dari yang sekali waktu.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Satu laporan tunggal, tiga komponen: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(1) hasil aktivitas operasi/perdagangan; (2) hasil aktivitas pendanaan dan </w:t>
      </w:r>
      <w:r>
        <w:rPr>
          <w:rFonts w:ascii="Times New Roman" w:hAnsi="Times New Roman" w:cs="Times New Roman"/>
          <w:b w:val="0"/>
          <w:i/>
          <w:sz w:val="24"/>
        </w:rPr>
        <w:t>treasury</w:t>
      </w:r>
      <w:r>
        <w:rPr>
          <w:rFonts w:ascii="Times New Roman" w:hAnsi="Times New Roman" w:cs="Times New Roman"/>
          <w:b w:val="0"/>
          <w:i w:val="0"/>
          <w:sz w:val="24"/>
        </w:rPr>
        <w:t>; (3) keuntungan dan kerugian lain-lain.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Tujuan: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sz w:val="24"/>
        </w:rPr>
        <w:t>earnings sustainability</w:t>
      </w:r>
      <w:r>
        <w:rPr>
          <w:rFonts w:ascii="Times New Roman" w:hAnsi="Times New Roman" w:cs="Times New Roman"/>
          <w:b w:val="0"/>
          <w:i w:val="0"/>
          <w:sz w:val="24"/>
        </w:rPr>
        <w:t>, memisahkan unsur permanen dari transitori; tetapi restrukturisasi sulit diklasifikasikan (Wolk et al., 2017, PDF hlm. 29).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Barker (format matrix):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memisahkan kolom keberlanjutan dari kolom </w:t>
      </w:r>
      <w:r>
        <w:rPr>
          <w:rFonts w:ascii="Times New Roman" w:hAnsi="Times New Roman" w:cs="Times New Roman"/>
          <w:b w:val="0"/>
          <w:i/>
          <w:sz w:val="24"/>
        </w:rPr>
        <w:t>remeasurement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(pos tidak berulang seperti perubahan nilai wajar).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Glover et al. (matrix):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memakai distingsi </w:t>
      </w:r>
      <w:r>
        <w:rPr>
          <w:rFonts w:ascii="Times New Roman" w:hAnsi="Times New Roman" w:cs="Times New Roman"/>
          <w:b w:val="0"/>
          <w:i/>
          <w:sz w:val="24"/>
        </w:rPr>
        <w:t>fact versus forecast</w:t>
      </w:r>
      <w:r>
        <w:rPr>
          <w:rFonts w:ascii="Times New Roman" w:hAnsi="Times New Roman" w:cs="Times New Roman"/>
          <w:b w:val="0"/>
          <w:i w:val="0"/>
          <w:sz w:val="24"/>
        </w:rPr>
        <w:t>, namun mengakui sulit diterapkan pada nilai wajar.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Penilaian: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dari semua itu, distingsi </w:t>
      </w:r>
      <w:r>
        <w:rPr>
          <w:rFonts w:ascii="Times New Roman" w:hAnsi="Times New Roman" w:cs="Times New Roman"/>
          <w:b w:val="0"/>
          <w:i/>
          <w:sz w:val="24"/>
        </w:rPr>
        <w:t>recurring–nonrecurring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dinilai paling menjanjikan (Wolk et al., 2017, PDF hlm. 29–30).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Retrospective Reports, Quality of Earnings, dan Restatements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Bagian ini menutup dengan tiga isu kualitas laba.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Retrospective reports (Lundholm):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pelaporan akurasi </w:t>
      </w:r>
      <w:r>
        <w:rPr>
          <w:rFonts w:ascii="Times New Roman" w:hAnsi="Times New Roman" w:cs="Times New Roman"/>
          <w:b w:val="0"/>
          <w:i/>
          <w:sz w:val="24"/>
        </w:rPr>
        <w:t>ex post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atas estimasi demi akuntabilitas manajemen; terkendala akrual yang baru tuntas lebih dari satu tahun (Wolk et al., 2017, PDF hlm. 30).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Quality of earnings (dua makna):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(1) laba yang berkelanjutan; (2) kebalikan dari </w:t>
      </w:r>
      <w:r>
        <w:rPr>
          <w:rFonts w:ascii="Times New Roman" w:hAnsi="Times New Roman" w:cs="Times New Roman"/>
          <w:b w:val="0"/>
          <w:i/>
          <w:sz w:val="24"/>
        </w:rPr>
        <w:t>earnings management</w:t>
      </w:r>
      <w:r>
        <w:rPr>
          <w:rFonts w:ascii="Times New Roman" w:hAnsi="Times New Roman" w:cs="Times New Roman"/>
          <w:b w:val="0"/>
          <w:i w:val="0"/>
          <w:sz w:val="24"/>
        </w:rPr>
        <w:t>. Keduanya bermuara pada soal uniformitas dan kemustahilan merepresentasikan "true income" (Wolk et al., 2017, PDF hlm. 30).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Restatements meningkat: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sz w:val="24"/>
        </w:rPr>
        <w:t>financial statement restatements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tumbuh hingga </w:t>
      </w:r>
      <w:r>
        <w:rPr>
          <w:rFonts w:ascii="Times New Roman" w:hAnsi="Times New Roman" w:cs="Times New Roman"/>
          <w:b/>
          <w:i w:val="0"/>
          <w:sz w:val="24"/>
        </w:rPr>
        <w:t>1.420 pada 2006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(Wolk et al., 2017, PDF hlm. 30–31).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Pemicu restatements: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kelemahan pengendalian internal yang terungkap lewat </w:t>
      </w:r>
      <w:r>
        <w:rPr>
          <w:rFonts w:ascii="Times New Roman" w:hAnsi="Times New Roman" w:cs="Times New Roman"/>
          <w:b/>
          <w:i w:val="0"/>
          <w:sz w:val="24"/>
        </w:rPr>
        <w:t>Section 404 Sarbanes-Oxley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kerumitan standar (terutama </w:t>
      </w:r>
      <w:r>
        <w:rPr>
          <w:rFonts w:ascii="Times New Roman" w:hAnsi="Times New Roman" w:cs="Times New Roman"/>
          <w:b/>
          <w:i w:val="0"/>
          <w:sz w:val="24"/>
        </w:rPr>
        <w:t>sewa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); dan </w:t>
      </w:r>
      <w:r>
        <w:rPr>
          <w:rFonts w:ascii="Times New Roman" w:hAnsi="Times New Roman" w:cs="Times New Roman"/>
          <w:b/>
          <w:i w:val="0"/>
          <w:sz w:val="24"/>
        </w:rPr>
        <w:t>SAB 99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yang menghapus ambang materialitas 5% dari laba bersih (Wolk et al., 2017, PDF hlm. 30–31).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Jembatan: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perkembangan ini menyiapkan landasan bagi sintesis pada Bagian XIII.</w:t>
      </w:r>
    </w:p>
    <w:p>
      <w:pPr>
        <w:spacing w:lineRule="exact" w:line="240" w:before="80" w:after="40"/>
        <w:jc w:val="left"/>
      </w:pPr>
      <w:r>
        <w:rPr>
          <w:rFonts w:ascii="Times New Roman" w:hAnsi="Times New Roman" w:cs="Times New Roman"/>
          <w:b/>
          <w:i w:val="0"/>
          <w:sz w:val="26"/>
        </w:rPr>
        <w:t>XIII. Sintesis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Bagian ini merangkai benang merah seluruh bab tanpa menambah klaim baru.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Busur Argumen Bab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Fondasi: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laporan laba rugi berakar pada model </w:t>
      </w:r>
      <w:r>
        <w:rPr>
          <w:rFonts w:ascii="Times New Roman" w:hAnsi="Times New Roman" w:cs="Times New Roman"/>
          <w:b w:val="0"/>
          <w:i/>
          <w:sz w:val="24"/>
        </w:rPr>
        <w:t>historical cost</w:t>
      </w:r>
      <w:r>
        <w:rPr>
          <w:rFonts w:ascii="Times New Roman" w:hAnsi="Times New Roman" w:cs="Times New Roman"/>
          <w:b w:val="0"/>
          <w:i w:val="0"/>
          <w:sz w:val="24"/>
        </w:rPr>
        <w:t>—pengakuan pendapatan dan penandingan beban (</w:t>
      </w:r>
      <w:r>
        <w:rPr>
          <w:rFonts w:ascii="Times New Roman" w:hAnsi="Times New Roman" w:cs="Times New Roman"/>
          <w:b w:val="0"/>
          <w:i/>
          <w:sz w:val="24"/>
        </w:rPr>
        <w:t>matching</w:t>
      </w:r>
      <w:r>
        <w:rPr>
          <w:rFonts w:ascii="Times New Roman" w:hAnsi="Times New Roman" w:cs="Times New Roman"/>
          <w:b w:val="0"/>
          <w:i w:val="0"/>
          <w:sz w:val="24"/>
        </w:rPr>
        <w:t>) (Wolk et al., 2017, PDF hlm. 31).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Arah perkembangan FASB: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condong ke </w:t>
      </w:r>
      <w:r>
        <w:rPr>
          <w:rFonts w:ascii="Times New Roman" w:hAnsi="Times New Roman" w:cs="Times New Roman"/>
          <w:b w:val="0"/>
          <w:i/>
          <w:sz w:val="24"/>
        </w:rPr>
        <w:t>rigid uniformity</w:t>
      </w:r>
      <w:r>
        <w:rPr>
          <w:rFonts w:ascii="Times New Roman" w:hAnsi="Times New Roman" w:cs="Times New Roman"/>
          <w:b w:val="0"/>
          <w:i w:val="0"/>
          <w:sz w:val="24"/>
        </w:rPr>
        <w:t>, baik pada pengakuan pendapatan maupun pengakuan beban yang sebagian besar berbasis alokasi arbitrer (Wolk et al., 2017, PDF hlm. 31).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Dua tarikan berlawanan: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sz w:val="24"/>
        </w:rPr>
        <w:t>comprehensive income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mendorong jalur </w:t>
      </w:r>
      <w:r>
        <w:rPr>
          <w:rFonts w:ascii="Times New Roman" w:hAnsi="Times New Roman" w:cs="Times New Roman"/>
          <w:b w:val="0"/>
          <w:i/>
          <w:sz w:val="24"/>
        </w:rPr>
        <w:t>all-inclusive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sedangkan pro forma, salah satu pandangan </w:t>
      </w:r>
      <w:r>
        <w:rPr>
          <w:rFonts w:ascii="Times New Roman" w:hAnsi="Times New Roman" w:cs="Times New Roman"/>
          <w:b w:val="0"/>
          <w:i/>
          <w:sz w:val="24"/>
        </w:rPr>
        <w:t>quality of earnings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dan laporan G4+1 mengarah ke </w:t>
      </w:r>
      <w:r>
        <w:rPr>
          <w:rFonts w:ascii="Times New Roman" w:hAnsi="Times New Roman" w:cs="Times New Roman"/>
          <w:b w:val="0"/>
          <w:i/>
          <w:sz w:val="24"/>
        </w:rPr>
        <w:t>current operating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demi tujuan prediktif (Wolk et al., 2017, PDF hlm. 31).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Belum tuntas: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dialektika antara kedua aliran ini tetap belum terselesaikan.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Pergeseran historis: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selama lima dekade laporan laba rugi dominan, tetapi sejak FASB berdiri ada gerak "membersihkan" neraca dan beralih ke pendekatan </w:t>
      </w:r>
      <w:r>
        <w:rPr>
          <w:rFonts w:ascii="Times New Roman" w:hAnsi="Times New Roman" w:cs="Times New Roman"/>
          <w:b w:val="0"/>
          <w:i/>
          <w:sz w:val="24"/>
        </w:rPr>
        <w:t>asset–liability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yang konsisten dengan proyek kerangka konseptual (Wolk et al., 2017, PDF hlm. 31).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Artikulasi balik: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benang merah ini menyambung ke pembahasan kerangka konseptual pada Pertemuan VIII.</w:t>
      </w:r>
    </w:p>
    <w:p>
      <w:pPr>
        <w:spacing w:lineRule="exact" w:line="240" w:before="40" w:after="20"/>
        <w:jc w:val="left"/>
      </w:pPr>
      <w:r>
        <w:rPr>
          <w:rFonts w:ascii="Times New Roman" w:hAnsi="Times New Roman" w:cs="Times New Roman"/>
          <w:b/>
          <w:i/>
          <w:sz w:val="24"/>
        </w:rPr>
        <w:t>Kaitan dengan Tema Kuliah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Decision usefulness: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angka laba tetap mengandung informasi yang berguna meski sarat alokasi arbitrer.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Information asymmetry &amp; teori keagenan: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sz w:val="24"/>
        </w:rPr>
        <w:t>earnings management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mencerminkan informasi orang dalam dan kontrak kompensasi yang melekat pada angka laba—tempat keleluasaan penyusun bersinggungan dengan kepentingan pemegang saham.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Efficient markets: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reaksi pasar atas </w:t>
      </w:r>
      <w:r>
        <w:rPr>
          <w:rFonts w:ascii="Times New Roman" w:hAnsi="Times New Roman" w:cs="Times New Roman"/>
          <w:b w:val="0"/>
          <w:i/>
          <w:sz w:val="24"/>
        </w:rPr>
        <w:t>big bath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dan relevansi nilai laba menunjukkan laba tetap dihargai meski tidak sempurna.</w:t>
      </w:r>
    </w:p>
    <w:p>
      <w:pPr>
        <w:spacing w:lineRule="exact" w:line="240" w:before="0" w:after="20"/>
        <w:ind w:left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/>
          <w:b/>
          <w:i w:val="0"/>
          <w:sz w:val="24"/>
        </w:rPr>
        <w:t>Historical cost vs fair value: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ketegangan ini muncul pada arbitrasi alokasi beban dan pada perbatasan </w:t>
      </w:r>
      <w:r>
        <w:rPr>
          <w:rFonts w:ascii="Times New Roman" w:hAnsi="Times New Roman" w:cs="Times New Roman"/>
          <w:b w:val="0"/>
          <w:i/>
          <w:sz w:val="24"/>
        </w:rPr>
        <w:t>fact versus forecast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yang dieksplorasi pendekatan matrix.</w:t>
      </w:r>
    </w:p>
    <w:p>
      <w:pPr>
        <w:spacing w:lineRule="exact" w:line="240" w:before="0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Pada akhirnya, laporan laba rugi paling tepat dipahami sebagai medan ketegangan yang lestari: antara </w:t>
      </w:r>
      <w:r>
        <w:rPr>
          <w:rFonts w:ascii="Times New Roman" w:hAnsi="Times New Roman" w:cs="Times New Roman"/>
          <w:b w:val="0"/>
          <w:i/>
          <w:sz w:val="24"/>
        </w:rPr>
        <w:t>relevance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dan </w:t>
      </w:r>
      <w:r>
        <w:rPr>
          <w:rFonts w:ascii="Times New Roman" w:hAnsi="Times New Roman" w:cs="Times New Roman"/>
          <w:b w:val="0"/>
          <w:i/>
          <w:sz w:val="24"/>
        </w:rPr>
        <w:t>reliability</w:t>
      </w:r>
      <w:r>
        <w:rPr>
          <w:rFonts w:ascii="Times New Roman" w:hAnsi="Times New Roman" w:cs="Times New Roman"/>
          <w:b w:val="0"/>
          <w:i w:val="0"/>
          <w:sz w:val="24"/>
        </w:rPr>
        <w:t>, antara cita-cita ekonomik tentang laba "sejati" dan keterbatasan praktis pengukuran, serta antara kebutuhan informasi pengguna dan keleluasaan (</w:t>
      </w:r>
      <w:r>
        <w:rPr>
          <w:rFonts w:ascii="Times New Roman" w:hAnsi="Times New Roman" w:cs="Times New Roman"/>
          <w:b w:val="0"/>
          <w:i/>
          <w:sz w:val="24"/>
        </w:rPr>
        <w:t>discretion</w:t>
      </w:r>
      <w:r>
        <w:rPr>
          <w:rFonts w:ascii="Times New Roman" w:hAnsi="Times New Roman" w:cs="Times New Roman"/>
          <w:b w:val="0"/>
          <w:i w:val="0"/>
          <w:sz w:val="24"/>
        </w:rPr>
        <w:t>) penyusun. Tidak ada satu format pun yang sanggup meniadakan ketegangan itu; masing-masing hanya memindahkan titik kompromi. Justru di dalam ketegangan inilah teori akuntansi bekerja—bukan untuk menghapusnya, melainkan mengelolanya dengan perbaikan yang lambat namun ajek.</w:t>
      </w:r>
    </w:p>
    <w:p>
      <w:pPr>
        <w:spacing w:lineRule="exact" w:line="240" w:before="80" w:after="40"/>
        <w:jc w:val="left"/>
      </w:pPr>
      <w:r>
        <w:rPr>
          <w:rFonts w:ascii="Times New Roman" w:hAnsi="Times New Roman" w:cs="Times New Roman"/>
          <w:b/>
          <w:i w:val="0"/>
          <w:sz w:val="26"/>
        </w:rPr>
        <w:t>XIV. Referensi</w:t>
      </w:r>
    </w:p>
    <w:p>
      <w:pPr>
        <w:spacing w:lineRule="exact" w:line="240" w:before="0" w:after="80"/>
        <w:ind w:left="425" w:hanging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Wolk, H. I., Dodd, J. L., &amp; Rozycki, J. J. (2017). </w:t>
      </w:r>
      <w:r>
        <w:rPr>
          <w:rFonts w:ascii="Times New Roman" w:hAnsi="Times New Roman" w:cs="Times New Roman"/>
          <w:b w:val="0"/>
          <w:i/>
          <w:sz w:val="24"/>
        </w:rPr>
        <w:t>Accounting Theory: Conceptual Issues in a Political and Economic Environment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(9th ed.). Thousand Oaks, CA: Sage Publications. Bab 12, "The Income Statement" (print pp. 337–373; edisi SAGE Knowledge, 34 hlm.).</w:t>
      </w:r>
    </w:p>
    <w:p>
      <w:pPr>
        <w:spacing w:lineRule="exact" w:line="240" w:before="0" w:after="80"/>
        <w:ind w:left="425" w:hanging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Silabus Pelaporan Keuangan Korporat (MNK202), Pascasarjana STIE YKPN Yogyakarta, Tahun Ajaran 2025/2026.</w:t>
      </w:r>
    </w:p>
    <w:sectPr w:rsidR="00FC693F" w:rsidRPr="0006063C" w:rsidSect="00034616">
      <w:footerReference w:type="default" r:id="rId9"/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/>
        <w:b w:val="0"/>
        <w:i w:val="0"/>
        <w:sz w:val="22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