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i w:val="0"/>
          <w:sz w:val="32"/>
        </w:rPr>
        <w:t>RINGKASAN MATERI KULIAH (RMK)</w:t>
      </w:r>
    </w:p>
    <w:p>
      <w:pPr>
        <w:spacing w:lineRule="exact" w:line="360" w:before="0" w:after="120"/>
        <w:jc w:val="center"/>
      </w:pPr>
      <w:r>
        <w:rPr>
          <w:rFonts w:ascii="Times New Roman" w:hAnsi="Times New Roman" w:cs="Times New Roman"/>
          <w:b w:val="0"/>
          <w:i w:val="0"/>
          <w:sz w:val="28"/>
        </w:rPr>
        <w:t>Pelaporan Keuangan Korporat</w:t>
      </w:r>
    </w:p>
    <w:p>
      <w:pPr>
        <w:spacing w:lineRule="exact" w:line="360" w:before="0" w:after="120"/>
        <w:jc w:val="center"/>
      </w:pPr>
      <w:r>
        <w:rPr>
          <w:rFonts w:ascii="Times New Roman" w:hAnsi="Times New Roman" w:cs="Times New Roman"/>
          <w:b/>
          <w:i w:val="0"/>
          <w:sz w:val="28"/>
        </w:rPr>
        <w:t>Statement of Cash Flows</w:t>
      </w:r>
    </w:p>
    <w:p>
      <w:pPr>
        <w:spacing w:lineRule="exact" w:line="360" w:before="0" w:after="120"/>
        <w:jc w:val="center"/>
      </w:pPr>
      <w:r>
        <w:rPr>
          <w:rFonts w:ascii="Times New Roman" w:hAnsi="Times New Roman" w:cs="Times New Roman"/>
          <w:b w:val="0"/>
          <w:i w:val="0"/>
          <w:sz w:val="24"/>
        </w:rPr>
        <w:t>Wolk, Dodd &amp; Rozycki — Accounting Theory: Conceptual Issues in a Political and Economic Environment (Chapter 13)</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Disusun oleh Kelompok 2:</w:t>
      </w:r>
    </w:p>
    <w:p>
      <w:pPr>
        <w:spacing w:lineRule="exact" w:line="360" w:before="0" w:after="120"/>
        <w:jc w:val="center"/>
      </w:pPr>
      <w:r>
        <w:rPr>
          <w:rFonts w:ascii="Times New Roman" w:hAnsi="Times New Roman" w:cs="Times New Roman"/>
          <w:b/>
          <w:i w:val="0"/>
          <w:sz w:val="24"/>
        </w:rPr>
        <w:t>Satriyo Nugroho — 122501039</w:t>
      </w:r>
    </w:p>
    <w:p>
      <w:pPr>
        <w:spacing w:lineRule="exact" w:line="360" w:before="0" w:after="120"/>
        <w:jc w:val="center"/>
      </w:pPr>
      <w:r>
        <w:rPr>
          <w:rFonts w:ascii="Times New Roman" w:hAnsi="Times New Roman" w:cs="Times New Roman"/>
          <w:b/>
          <w:i w:val="0"/>
          <w:sz w:val="24"/>
        </w:rPr>
        <w:t>Mario Da Costa — 122501048</w:t>
      </w:r>
    </w:p>
    <w:p>
      <w:pPr>
        <w:spacing w:lineRule="exact" w:line="360" w:before="0" w:after="120"/>
        <w:jc w:val="center"/>
      </w:pPr>
      <w:r>
        <w:rPr>
          <w:rFonts w:ascii="Times New Roman" w:hAnsi="Times New Roman" w:cs="Times New Roman"/>
          <w:b/>
          <w:i w:val="0"/>
          <w:sz w:val="24"/>
        </w:rPr>
        <w:t>Amelda Putri Zhany Wiguna — 122501067</w:t>
      </w:r>
    </w:p>
    <w:p>
      <w:pPr>
        <w:spacing w:lineRule="exact" w:line="360" w:before="0" w:after="120"/>
        <w:jc w:val="center"/>
      </w:pPr>
      <w:r>
        <w:rPr>
          <w:rFonts w:ascii="Times New Roman" w:hAnsi="Times New Roman" w:cs="Times New Roman"/>
          <w:b/>
          <w:i w:val="0"/>
          <w:sz w:val="24"/>
        </w:rPr>
        <w:t>Ahmad Ramadhan — 122501078</w:t>
      </w:r>
    </w:p>
    <w:p>
      <w:pPr>
        <w:spacing w:lineRule="exact" w:line="360" w:before="0" w:after="120"/>
        <w:jc w:val="center"/>
      </w:pPr>
      <w:r>
        <w:rPr>
          <w:rFonts w:ascii="Times New Roman" w:hAnsi="Times New Roman" w:cs="Times New Roman"/>
          <w:b/>
          <w:i w:val="0"/>
          <w:sz w:val="24"/>
        </w:rPr>
        <w:t>Nida Nur Cahyati — 122501084</w:t>
      </w:r>
    </w:p>
    <w:p>
      <w:pPr>
        <w:spacing w:lineRule="exact" w:line="360" w:before="0" w:after="120"/>
        <w:jc w:val="center"/>
      </w:pPr>
      <w:r>
        <w:rPr>
          <w:rFonts w:ascii="Times New Roman" w:hAnsi="Times New Roman" w:cs="Times New Roman"/>
          <w:b/>
          <w:i w:val="0"/>
          <w:sz w:val="24"/>
        </w:rPr>
        <w:t>Priska Putri Parungky — 122501094</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Program Studi Magister Akuntansi</w:t>
      </w:r>
    </w:p>
    <w:p>
      <w:pPr>
        <w:spacing w:lineRule="exact" w:line="360" w:before="0" w:after="120"/>
        <w:jc w:val="center"/>
      </w:pPr>
      <w:r>
        <w:rPr>
          <w:rFonts w:ascii="Times New Roman" w:hAnsi="Times New Roman" w:cs="Times New Roman"/>
          <w:b/>
          <w:i w:val="0"/>
          <w:sz w:val="24"/>
        </w:rPr>
        <w:t>Juni 2026</w:t>
      </w:r>
    </w:p>
    <w:p>
      <w:r>
        <w:br w:type="page"/>
      </w:r>
    </w:p>
    <w:p>
      <w:pPr>
        <w:spacing w:lineRule="exact" w:line="360" w:before="240" w:after="120"/>
        <w:jc w:val="left"/>
      </w:pPr>
      <w:r>
        <w:rPr>
          <w:rFonts w:ascii="Times New Roman" w:hAnsi="Times New Roman" w:cs="Times New Roman"/>
          <w:b/>
          <w:i w:val="0"/>
          <w:sz w:val="26"/>
        </w:rPr>
        <w:t>I. Pendahuluan dan Tujuan Pembelajaran</w:t>
      </w:r>
    </w:p>
    <w:p>
      <w:pPr>
        <w:spacing w:lineRule="exact" w:line="360" w:before="0" w:after="120"/>
        <w:jc w:val="both"/>
      </w:pPr>
      <w:r>
        <w:rPr>
          <w:rFonts w:ascii="Times New Roman" w:hAnsi="Times New Roman" w:cs="Times New Roman"/>
          <w:b w:val="0"/>
          <w:i w:val="0"/>
          <w:sz w:val="24"/>
        </w:rPr>
        <w:t xml:space="preserve">Bab ini dibuka dengan sebuah kiasan dari musikal </w:t>
      </w:r>
      <w:r>
        <w:rPr>
          <w:rFonts w:ascii="Times New Roman" w:hAnsi="Times New Roman" w:cs="Times New Roman"/>
          <w:b w:val="0"/>
          <w:i/>
          <w:sz w:val="24"/>
        </w:rPr>
        <w:t>The Music Man</w:t>
      </w:r>
      <w:r>
        <w:rPr>
          <w:rFonts w:ascii="Times New Roman" w:hAnsi="Times New Roman" w:cs="Times New Roman"/>
          <w:b w:val="0"/>
          <w:i w:val="0"/>
          <w:sz w:val="24"/>
        </w:rPr>
        <w:t xml:space="preserve"> karya Meredith Willson, ketika para penjual menyuarakan syarat penjualan yang harus dibayar tunai — "</w:t>
      </w:r>
      <w:r>
        <w:rPr>
          <w:rFonts w:ascii="Times New Roman" w:hAnsi="Times New Roman" w:cs="Times New Roman"/>
          <w:b w:val="0"/>
          <w:i/>
          <w:sz w:val="24"/>
        </w:rPr>
        <w:t>cash</w:t>
      </w:r>
      <w:r>
        <w:rPr>
          <w:rFonts w:ascii="Times New Roman" w:hAnsi="Times New Roman" w:cs="Times New Roman"/>
          <w:b w:val="0"/>
          <w:i w:val="0"/>
          <w:sz w:val="24"/>
        </w:rPr>
        <w:t xml:space="preserve"> untuk barang dagangan, </w:t>
      </w:r>
      <w:r>
        <w:rPr>
          <w:rFonts w:ascii="Times New Roman" w:hAnsi="Times New Roman" w:cs="Times New Roman"/>
          <w:b w:val="0"/>
          <w:i/>
          <w:sz w:val="24"/>
        </w:rPr>
        <w:t>cash</w:t>
      </w:r>
      <w:r>
        <w:rPr>
          <w:rFonts w:ascii="Times New Roman" w:hAnsi="Times New Roman" w:cs="Times New Roman"/>
          <w:b w:val="0"/>
          <w:i w:val="0"/>
          <w:sz w:val="24"/>
        </w:rPr>
        <w:t xml:space="preserve"> untuk </w:t>
      </w:r>
      <w:r>
        <w:rPr>
          <w:rFonts w:ascii="Times New Roman" w:hAnsi="Times New Roman" w:cs="Times New Roman"/>
          <w:b w:val="0"/>
          <w:i/>
          <w:sz w:val="24"/>
        </w:rPr>
        <w:t>button hooks</w:t>
      </w:r>
      <w:r>
        <w:rPr>
          <w:rFonts w:ascii="Times New Roman" w:hAnsi="Times New Roman" w:cs="Times New Roman"/>
          <w:b w:val="0"/>
          <w:i w:val="0"/>
          <w:sz w:val="24"/>
        </w:rPr>
        <w:t xml:space="preserve">." Pesan di balik kiasan itu sederhana namun mendasar: tagihan, investasi, utang, dan dividen pada akhirnya dibayar dengan kas, bukan dengan laba akuntansi. Sebuah perusahaan boleh saja melaporkan laba yang besar, tetapi apabila ia tidak mampu menghasilkan kas yang cukup, perusahaan tersebut menghadapi kepunahan. Inilah yang ditegaskan oleh frasa </w:t>
      </w:r>
      <w:r>
        <w:rPr>
          <w:rFonts w:ascii="Times New Roman" w:hAnsi="Times New Roman" w:cs="Times New Roman"/>
          <w:b w:val="0"/>
          <w:i/>
          <w:sz w:val="24"/>
        </w:rPr>
        <w:t>"cash is cash is cash"</w:t>
      </w:r>
      <w:r>
        <w:rPr>
          <w:rFonts w:ascii="Times New Roman" w:hAnsi="Times New Roman" w:cs="Times New Roman"/>
          <w:b w:val="0"/>
          <w:i w:val="0"/>
          <w:sz w:val="24"/>
        </w:rPr>
        <w:t xml:space="preserve"> — kas adalah kas, kas adalah kas — sebuah ungkapan yang menekankan sifat literal dan tidak ambigu dari kas dibandingkan dengan ukuran-ukuran akrual yang sarat asumsi (Wolk et al., 2017, PDF hlm. 2).</w:t>
      </w:r>
    </w:p>
    <w:p>
      <w:pPr>
        <w:spacing w:lineRule="exact" w:line="360" w:before="0" w:after="120"/>
        <w:jc w:val="both"/>
      </w:pPr>
      <w:r>
        <w:rPr>
          <w:rFonts w:ascii="Times New Roman" w:hAnsi="Times New Roman" w:cs="Times New Roman"/>
          <w:b w:val="0"/>
          <w:i w:val="0"/>
          <w:sz w:val="24"/>
        </w:rPr>
        <w:t xml:space="preserve">Untuk memahami posisi laporan arus kas dalam pelaporan keuangan modern, perlu ditelusuri alur sejarah yang menjembataninya. Pada tahun 1971, </w:t>
      </w:r>
      <w:r>
        <w:rPr>
          <w:rFonts w:ascii="Times New Roman" w:hAnsi="Times New Roman" w:cs="Times New Roman"/>
          <w:b w:val="0"/>
          <w:i/>
          <w:sz w:val="24"/>
        </w:rPr>
        <w:t>Accounting Principles Board</w:t>
      </w:r>
      <w:r>
        <w:rPr>
          <w:rFonts w:ascii="Times New Roman" w:hAnsi="Times New Roman" w:cs="Times New Roman"/>
          <w:b w:val="0"/>
          <w:i w:val="0"/>
          <w:sz w:val="24"/>
        </w:rPr>
        <w:t xml:space="preserve"> (APB) mewajibkan penyusunan </w:t>
      </w:r>
      <w:r>
        <w:rPr>
          <w:rFonts w:ascii="Times New Roman" w:hAnsi="Times New Roman" w:cs="Times New Roman"/>
          <w:b w:val="0"/>
          <w:i/>
          <w:sz w:val="24"/>
        </w:rPr>
        <w:t>Statement of Changes in Financial Position</w:t>
      </w:r>
      <w:r>
        <w:rPr>
          <w:rFonts w:ascii="Times New Roman" w:hAnsi="Times New Roman" w:cs="Times New Roman"/>
          <w:b w:val="0"/>
          <w:i w:val="0"/>
          <w:sz w:val="24"/>
        </w:rPr>
        <w:t xml:space="preserve"> (SCFP) — sebuah laporan aliran dana (</w:t>
      </w:r>
      <w:r>
        <w:rPr>
          <w:rFonts w:ascii="Times New Roman" w:hAnsi="Times New Roman" w:cs="Times New Roman"/>
          <w:b w:val="0"/>
          <w:i/>
          <w:sz w:val="24"/>
        </w:rPr>
        <w:t>funds flow</w:t>
      </w:r>
      <w:r>
        <w:rPr>
          <w:rFonts w:ascii="Times New Roman" w:hAnsi="Times New Roman" w:cs="Times New Roman"/>
          <w:b w:val="0"/>
          <w:i w:val="0"/>
          <w:sz w:val="24"/>
        </w:rPr>
        <w:t xml:space="preserve">) yang melaporkan perubahan saldo akun aset, liabilitas, dan ekuitas pemilik. Enam belas tahun kemudian, pada 1987, </w:t>
      </w:r>
      <w:r>
        <w:rPr>
          <w:rFonts w:ascii="Times New Roman" w:hAnsi="Times New Roman" w:cs="Times New Roman"/>
          <w:b w:val="0"/>
          <w:i/>
          <w:sz w:val="24"/>
        </w:rPr>
        <w:t>Financial Accounting Standards Board</w:t>
      </w:r>
      <w:r>
        <w:rPr>
          <w:rFonts w:ascii="Times New Roman" w:hAnsi="Times New Roman" w:cs="Times New Roman"/>
          <w:b w:val="0"/>
          <w:i w:val="0"/>
          <w:sz w:val="24"/>
        </w:rPr>
        <w:t xml:space="preserve"> (FASB) mewajibkan </w:t>
      </w:r>
      <w:r>
        <w:rPr>
          <w:rFonts w:ascii="Times New Roman" w:hAnsi="Times New Roman" w:cs="Times New Roman"/>
          <w:b w:val="0"/>
          <w:i/>
          <w:sz w:val="24"/>
        </w:rPr>
        <w:t>statement of cash flows</w:t>
      </w:r>
      <w:r>
        <w:rPr>
          <w:rFonts w:ascii="Times New Roman" w:hAnsi="Times New Roman" w:cs="Times New Roman"/>
          <w:b w:val="0"/>
          <w:i w:val="0"/>
          <w:sz w:val="24"/>
        </w:rPr>
        <w:t xml:space="preserve"> (SCF) melalui </w:t>
      </w:r>
      <w:r>
        <w:rPr>
          <w:rFonts w:ascii="Times New Roman" w:hAnsi="Times New Roman" w:cs="Times New Roman"/>
          <w:b/>
          <w:i w:val="0"/>
          <w:sz w:val="24"/>
        </w:rPr>
        <w:t>SFAS No. 95</w:t>
      </w:r>
      <w:r>
        <w:rPr>
          <w:rFonts w:ascii="Times New Roman" w:hAnsi="Times New Roman" w:cs="Times New Roman"/>
          <w:b w:val="0"/>
          <w:i w:val="0"/>
          <w:sz w:val="24"/>
        </w:rPr>
        <w:t>, yang menggantikan SCFP. Transisi dari 1971 ke 1987 ini mencerminkan ketertarikan FASB pada pelaporan berbasis kas sebagai pelengkap atas laporan laba rugi dan neraca yang berbasis akrual (Wolk et al., 2017, PDF hlm. 2).</w:t>
      </w:r>
    </w:p>
    <w:p>
      <w:pPr>
        <w:spacing w:lineRule="exact" w:line="360" w:before="0" w:after="120"/>
        <w:jc w:val="both"/>
      </w:pPr>
      <w:r>
        <w:rPr>
          <w:rFonts w:ascii="Times New Roman" w:hAnsi="Times New Roman" w:cs="Times New Roman"/>
          <w:b w:val="0"/>
          <w:i w:val="0"/>
          <w:sz w:val="24"/>
        </w:rPr>
        <w:t xml:space="preserve">Bab ini menyusun pembahasannya mengikuti alur tersebut: mula-mula menjelaskan SCFP beserta struktur dan motivasinya, lalu beralih ke motivasi dan struktur SCF. Di sepanjang pembahasan, bab ini menyoroti dua persoalan struktural utama. Persoalan pertama adalah </w:t>
      </w:r>
      <w:r>
        <w:rPr>
          <w:rFonts w:ascii="Times New Roman" w:hAnsi="Times New Roman" w:cs="Times New Roman"/>
          <w:b/>
          <w:i w:val="0"/>
          <w:sz w:val="24"/>
        </w:rPr>
        <w:t>masalah nonartikulasi</w:t>
      </w:r>
      <w:r>
        <w:rPr>
          <w:rFonts w:ascii="Times New Roman" w:hAnsi="Times New Roman" w:cs="Times New Roman"/>
          <w:b w:val="0"/>
          <w:i w:val="0"/>
          <w:sz w:val="24"/>
        </w:rPr>
        <w:t xml:space="preserve"> (</w:t>
      </w:r>
      <w:r>
        <w:rPr>
          <w:rFonts w:ascii="Times New Roman" w:hAnsi="Times New Roman" w:cs="Times New Roman"/>
          <w:b w:val="0"/>
          <w:i/>
          <w:sz w:val="24"/>
        </w:rPr>
        <w:t>nonarticulation problem</w:t>
      </w:r>
      <w:r>
        <w:rPr>
          <w:rFonts w:ascii="Times New Roman" w:hAnsi="Times New Roman" w:cs="Times New Roman"/>
          <w:b w:val="0"/>
          <w:i w:val="0"/>
          <w:sz w:val="24"/>
        </w:rPr>
        <w:t xml:space="preserve">) yang timbul dari penggunaan </w:t>
      </w:r>
      <w:r>
        <w:rPr>
          <w:rFonts w:ascii="Times New Roman" w:hAnsi="Times New Roman" w:cs="Times New Roman"/>
          <w:b w:val="0"/>
          <w:i/>
          <w:sz w:val="24"/>
        </w:rPr>
        <w:t>metode tidak langsung</w:t>
      </w:r>
      <w:r>
        <w:rPr>
          <w:rFonts w:ascii="Times New Roman" w:hAnsi="Times New Roman" w:cs="Times New Roman"/>
          <w:b w:val="0"/>
          <w:i w:val="0"/>
          <w:sz w:val="24"/>
        </w:rPr>
        <w:t xml:space="preserve"> pada bagian operasi. Persoalan kedua adalah </w:t>
      </w:r>
      <w:r>
        <w:rPr>
          <w:rFonts w:ascii="Times New Roman" w:hAnsi="Times New Roman" w:cs="Times New Roman"/>
          <w:b/>
          <w:i w:val="0"/>
          <w:sz w:val="24"/>
        </w:rPr>
        <w:t>masalah klasifikasi</w:t>
      </w:r>
      <w:r>
        <w:rPr>
          <w:rFonts w:ascii="Times New Roman" w:hAnsi="Times New Roman" w:cs="Times New Roman"/>
          <w:b w:val="0"/>
          <w:i w:val="0"/>
          <w:sz w:val="24"/>
        </w:rPr>
        <w:t xml:space="preserve"> — inkonsistensi yang muncul dari trikotomi tiga arah FASB (operasi, investasi, pendanaan). Dari kedua persoalan ini, bab menekankan satu prinsip pembacaan: SCF harus dipertimbangkan </w:t>
      </w:r>
      <w:r>
        <w:rPr>
          <w:rFonts w:ascii="Times New Roman" w:hAnsi="Times New Roman" w:cs="Times New Roman"/>
          <w:b/>
          <w:i w:val="0"/>
          <w:sz w:val="24"/>
        </w:rPr>
        <w:t>secara utuh</w:t>
      </w:r>
      <w:r>
        <w:rPr>
          <w:rFonts w:ascii="Times New Roman" w:hAnsi="Times New Roman" w:cs="Times New Roman"/>
          <w:b w:val="0"/>
          <w:i w:val="0"/>
          <w:sz w:val="24"/>
        </w:rPr>
        <w:t xml:space="preserve"> (</w:t>
      </w:r>
      <w:r>
        <w:rPr>
          <w:rFonts w:ascii="Times New Roman" w:hAnsi="Times New Roman" w:cs="Times New Roman"/>
          <w:b w:val="0"/>
          <w:i/>
          <w:sz w:val="24"/>
        </w:rPr>
        <w:t>in its entirety</w:t>
      </w:r>
      <w:r>
        <w:rPr>
          <w:rFonts w:ascii="Times New Roman" w:hAnsi="Times New Roman" w:cs="Times New Roman"/>
          <w:b w:val="0"/>
          <w:i w:val="0"/>
          <w:sz w:val="24"/>
        </w:rPr>
        <w:t xml:space="preserve">), bukan sepotong-sepotong. Sebagai respons atas kekurangan SCF, bab kemudian memperkenalkan </w:t>
      </w:r>
      <w:r>
        <w:rPr>
          <w:rFonts w:ascii="Times New Roman" w:hAnsi="Times New Roman" w:cs="Times New Roman"/>
          <w:b w:val="0"/>
          <w:i/>
          <w:sz w:val="24"/>
        </w:rPr>
        <w:t>free cash flow</w:t>
      </w:r>
      <w:r>
        <w:rPr>
          <w:rFonts w:ascii="Times New Roman" w:hAnsi="Times New Roman" w:cs="Times New Roman"/>
          <w:b w:val="0"/>
          <w:i w:val="0"/>
          <w:sz w:val="24"/>
        </w:rPr>
        <w:t xml:space="preserve"> (FCF) — sebuah ukuran non-GAAP yang justru berkembang sebagian karena keterbatasan SCF — dan ditutup dengan tinjauan riset teoretis-empiris serta rekomendasi perbaikan (Wolk et al., 2017, PDF hlm. 2).</w:t>
      </w:r>
    </w:p>
    <w:p>
      <w:pPr>
        <w:spacing w:lineRule="exact" w:line="360" w:before="0" w:after="120"/>
        <w:jc w:val="both"/>
      </w:pPr>
      <w:r>
        <w:rPr>
          <w:rFonts w:ascii="Times New Roman" w:hAnsi="Times New Roman" w:cs="Times New Roman"/>
          <w:b w:val="0"/>
          <w:i w:val="0"/>
          <w:sz w:val="24"/>
        </w:rPr>
        <w:t xml:space="preserve">Secara lebih spesifik, tujuan pembelajaran bab ini menuntun pembaca untuk memahami konstruksi dasar SCFP; memahami motivasi FASB beralih dari SCFP ke laporan arus kas; memahami persyaratan SCF serta masalah nonartikulasi yang muncul ketika </w:t>
      </w:r>
      <w:r>
        <w:rPr>
          <w:rFonts w:ascii="Times New Roman" w:hAnsi="Times New Roman" w:cs="Times New Roman"/>
          <w:b w:val="0"/>
          <w:i/>
          <w:sz w:val="24"/>
        </w:rPr>
        <w:t>metode tidak langsung</w:t>
      </w:r>
      <w:r>
        <w:rPr>
          <w:rFonts w:ascii="Times New Roman" w:hAnsi="Times New Roman" w:cs="Times New Roman"/>
          <w:b w:val="0"/>
          <w:i w:val="0"/>
          <w:sz w:val="24"/>
        </w:rPr>
        <w:t xml:space="preserve"> digunakan; memahami masalah klasifikasi dalam trikotomi operasi, investasi, dan pendanaan; mengapresiasi kegunaan analitis SCF bagi beragam pengguna; serta memahami arti penting dan kegunaan </w:t>
      </w:r>
      <w:r>
        <w:rPr>
          <w:rFonts w:ascii="Times New Roman" w:hAnsi="Times New Roman" w:cs="Times New Roman"/>
          <w:b w:val="0"/>
          <w:i/>
          <w:sz w:val="24"/>
        </w:rPr>
        <w:t>free cash flow</w:t>
      </w:r>
      <w:r>
        <w:rPr>
          <w:rFonts w:ascii="Times New Roman" w:hAnsi="Times New Roman" w:cs="Times New Roman"/>
          <w:b w:val="0"/>
          <w:i w:val="0"/>
          <w:sz w:val="24"/>
        </w:rPr>
        <w:t xml:space="preserve"> (Wolk et al., 2017, PDF hlm. 2). Keenam tujuan ini menjadi benang merah yang menstrukturkan keseluruhan ringkasan ini, dan akan terjawab secara berurutan di bagian-bagian berikutnya.</w:t>
      </w:r>
    </w:p>
    <w:p>
      <w:pPr>
        <w:spacing w:lineRule="exact" w:line="360" w:before="240" w:after="120"/>
        <w:jc w:val="left"/>
      </w:pPr>
      <w:r>
        <w:rPr>
          <w:rFonts w:ascii="Times New Roman" w:hAnsi="Times New Roman" w:cs="Times New Roman"/>
          <w:b/>
          <w:i w:val="0"/>
          <w:sz w:val="26"/>
        </w:rPr>
        <w:t>II. Statement of Changes in Financial Position (APB Opinion No. 19)</w:t>
      </w:r>
    </w:p>
    <w:p>
      <w:pPr>
        <w:spacing w:lineRule="exact" w:line="360" w:before="0" w:after="120"/>
        <w:jc w:val="both"/>
      </w:pPr>
      <w:r>
        <w:rPr>
          <w:rFonts w:ascii="Times New Roman" w:hAnsi="Times New Roman" w:cs="Times New Roman"/>
          <w:b w:val="0"/>
          <w:i w:val="0"/>
          <w:sz w:val="24"/>
        </w:rPr>
        <w:t xml:space="preserve">Untuk mengapresiasi SCF secara penuh, kita perlu memahami terlebih dahulu struktur dan motivasi pendahulunya, yakni SCFP. SCFP sendiri merupakan penerus dari </w:t>
      </w:r>
      <w:r>
        <w:rPr>
          <w:rFonts w:ascii="Times New Roman" w:hAnsi="Times New Roman" w:cs="Times New Roman"/>
          <w:b w:val="0"/>
          <w:i/>
          <w:sz w:val="24"/>
        </w:rPr>
        <w:t>funds flow statement</w:t>
      </w:r>
      <w:r>
        <w:rPr>
          <w:rFonts w:ascii="Times New Roman" w:hAnsi="Times New Roman" w:cs="Times New Roman"/>
          <w:b w:val="0"/>
          <w:i w:val="0"/>
          <w:sz w:val="24"/>
        </w:rPr>
        <w:t xml:space="preserve"> (laporan aliran dana) yang lebih lama. Pada laporan aliran dana tersebut, akun-akun modal kerja didefinisikan sebagai pembentuk </w:t>
      </w:r>
      <w:r>
        <w:rPr>
          <w:rFonts w:ascii="Times New Roman" w:hAnsi="Times New Roman" w:cs="Times New Roman"/>
          <w:b/>
          <w:i w:val="0"/>
          <w:sz w:val="24"/>
        </w:rPr>
        <w:t>saldo dana</w:t>
      </w:r>
      <w:r>
        <w:rPr>
          <w:rFonts w:ascii="Times New Roman" w:hAnsi="Times New Roman" w:cs="Times New Roman"/>
          <w:b w:val="0"/>
          <w:i w:val="0"/>
          <w:sz w:val="24"/>
        </w:rPr>
        <w:t xml:space="preserve"> (</w:t>
      </w:r>
      <w:r>
        <w:rPr>
          <w:rFonts w:ascii="Times New Roman" w:hAnsi="Times New Roman" w:cs="Times New Roman"/>
          <w:b w:val="0"/>
          <w:i/>
          <w:sz w:val="24"/>
        </w:rPr>
        <w:t>fund balance</w:t>
      </w:r>
      <w:r>
        <w:rPr>
          <w:rFonts w:ascii="Times New Roman" w:hAnsi="Times New Roman" w:cs="Times New Roman"/>
          <w:b w:val="0"/>
          <w:i w:val="0"/>
          <w:sz w:val="24"/>
        </w:rPr>
        <w:t>); tujuannya adalah menunjukkan bagaimana saldo dana itu meningkat dari laba dan sumber lain, serta menurun karena rugi dan penggunaan lain. Konsep aliran dana ini merepresentasikan sumber daya perusahaan yang likuid dan tersedia secara siap pakai (Wolk et al., 2017, PDF hlm. 3).</w:t>
      </w:r>
    </w:p>
    <w:p>
      <w:pPr>
        <w:spacing w:lineRule="exact" w:line="360" w:before="0" w:after="120"/>
        <w:jc w:val="both"/>
      </w:pPr>
      <w:r>
        <w:rPr>
          <w:rFonts w:ascii="Times New Roman" w:hAnsi="Times New Roman" w:cs="Times New Roman"/>
          <w:b/>
          <w:i w:val="0"/>
          <w:sz w:val="24"/>
        </w:rPr>
        <w:t>APB Opinion No. 19</w:t>
      </w:r>
      <w:r>
        <w:rPr>
          <w:rFonts w:ascii="Times New Roman" w:hAnsi="Times New Roman" w:cs="Times New Roman"/>
          <w:b w:val="0"/>
          <w:i w:val="0"/>
          <w:sz w:val="24"/>
        </w:rPr>
        <w:t xml:space="preserve"> menetapkan bahwa tujuan pelaporan SCFP adalah untuk (a) melengkapi pengungkapan perubahan posisi keuangan, (b) mengikhtisarkan aktivitas pendanaan dan investasi, serta (c) melaporkan aliran dana dari operasi (Wolk et al., 2017, PDF hlm. 3). Penting untuk dicatat bahwa SCFP bersifat </w:t>
      </w:r>
      <w:r>
        <w:rPr>
          <w:rFonts w:ascii="Times New Roman" w:hAnsi="Times New Roman" w:cs="Times New Roman"/>
          <w:b/>
          <w:i w:val="0"/>
          <w:sz w:val="24"/>
        </w:rPr>
        <w:t>laporan keuangan turunan</w:t>
      </w:r>
      <w:r>
        <w:rPr>
          <w:rFonts w:ascii="Times New Roman" w:hAnsi="Times New Roman" w:cs="Times New Roman"/>
          <w:b w:val="0"/>
          <w:i w:val="0"/>
          <w:sz w:val="24"/>
        </w:rPr>
        <w:t xml:space="preserve"> (</w:t>
      </w:r>
      <w:r>
        <w:rPr>
          <w:rFonts w:ascii="Times New Roman" w:hAnsi="Times New Roman" w:cs="Times New Roman"/>
          <w:b w:val="0"/>
          <w:i/>
          <w:sz w:val="24"/>
        </w:rPr>
        <w:t>derivative statement</w:t>
      </w:r>
      <w:r>
        <w:rPr>
          <w:rFonts w:ascii="Times New Roman" w:hAnsi="Times New Roman" w:cs="Times New Roman"/>
          <w:b w:val="0"/>
          <w:i w:val="0"/>
          <w:sz w:val="24"/>
        </w:rPr>
        <w:t>) — ia bersandar pada definisi dan pengukuran elemen-elemen dari dua laporan lainnya, dan menyediakan cara berbeda untuk mengklasifikasikan serta melaporkan transaksi yang sama (Wolk et al., 2017, PDF hlm. 3). Sifat turunan ini kelak akan diwariskan pula kepada SCF.</w:t>
      </w:r>
    </w:p>
    <w:p>
      <w:pPr>
        <w:spacing w:lineRule="exact" w:line="360" w:before="0" w:after="120"/>
        <w:jc w:val="both"/>
      </w:pPr>
      <w:r>
        <w:rPr>
          <w:rFonts w:ascii="Times New Roman" w:hAnsi="Times New Roman" w:cs="Times New Roman"/>
          <w:b w:val="0"/>
          <w:i w:val="0"/>
          <w:sz w:val="24"/>
        </w:rPr>
        <w:t xml:space="preserve">Struktur SCFP, sebagaimana ditampilkan dalam </w:t>
      </w:r>
      <w:r>
        <w:rPr>
          <w:rFonts w:ascii="Times New Roman" w:hAnsi="Times New Roman" w:cs="Times New Roman"/>
          <w:b/>
          <w:i w:val="0"/>
          <w:sz w:val="24"/>
        </w:rPr>
        <w:t>Exhibit 13.1</w:t>
      </w:r>
      <w:r>
        <w:rPr>
          <w:rFonts w:ascii="Times New Roman" w:hAnsi="Times New Roman" w:cs="Times New Roman"/>
          <w:b w:val="0"/>
          <w:i w:val="0"/>
          <w:sz w:val="24"/>
        </w:rPr>
        <w:t xml:space="preserve"> (format standar SCFP), terdiri atas dua bagian yang saling menyeimbangkan. Bagian pertama, </w:t>
      </w:r>
      <w:r>
        <w:rPr>
          <w:rFonts w:ascii="Times New Roman" w:hAnsi="Times New Roman" w:cs="Times New Roman"/>
          <w:b/>
          <w:i w:val="0"/>
          <w:sz w:val="24"/>
        </w:rPr>
        <w:t>sumber daya</w:t>
      </w:r>
      <w:r>
        <w:rPr>
          <w:rFonts w:ascii="Times New Roman" w:hAnsi="Times New Roman" w:cs="Times New Roman"/>
          <w:b w:val="0"/>
          <w:i w:val="0"/>
          <w:sz w:val="24"/>
        </w:rPr>
        <w:t xml:space="preserve"> (</w:t>
      </w:r>
      <w:r>
        <w:rPr>
          <w:rFonts w:ascii="Times New Roman" w:hAnsi="Times New Roman" w:cs="Times New Roman"/>
          <w:b w:val="0"/>
          <w:i/>
          <w:sz w:val="24"/>
        </w:rPr>
        <w:t>sources of resources</w:t>
      </w:r>
      <w:r>
        <w:rPr>
          <w:rFonts w:ascii="Times New Roman" w:hAnsi="Times New Roman" w:cs="Times New Roman"/>
          <w:b w:val="0"/>
          <w:i w:val="0"/>
          <w:sz w:val="24"/>
        </w:rPr>
        <w:t xml:space="preserve">), setara dengan kredit transaksi; ia timbul dari kenaikan ekuitas dan penurunan aset. Kenaikan ekuitas mencerminkan pendanaan dari sumber eksternal — misalnya penerbitan utang atau saham — dan dari sumber internal seperti laba bersih serta hasil pelepasan aset. Bagian kedua, </w:t>
      </w:r>
      <w:r>
        <w:rPr>
          <w:rFonts w:ascii="Times New Roman" w:hAnsi="Times New Roman" w:cs="Times New Roman"/>
          <w:b/>
          <w:i w:val="0"/>
          <w:sz w:val="24"/>
        </w:rPr>
        <w:t>penggunaan sumber daya</w:t>
      </w:r>
      <w:r>
        <w:rPr>
          <w:rFonts w:ascii="Times New Roman" w:hAnsi="Times New Roman" w:cs="Times New Roman"/>
          <w:b w:val="0"/>
          <w:i w:val="0"/>
          <w:sz w:val="24"/>
        </w:rPr>
        <w:t xml:space="preserve"> (</w:t>
      </w:r>
      <w:r>
        <w:rPr>
          <w:rFonts w:ascii="Times New Roman" w:hAnsi="Times New Roman" w:cs="Times New Roman"/>
          <w:b w:val="0"/>
          <w:i/>
          <w:sz w:val="24"/>
        </w:rPr>
        <w:t>uses of resources</w:t>
      </w:r>
      <w:r>
        <w:rPr>
          <w:rFonts w:ascii="Times New Roman" w:hAnsi="Times New Roman" w:cs="Times New Roman"/>
          <w:b w:val="0"/>
          <w:i w:val="0"/>
          <w:sz w:val="24"/>
        </w:rPr>
        <w:t xml:space="preserve">), setara dengan debit transaksi; ia timbul dari penurunan ekuitas dan kenaikan aset. Penurunan ekuitas mencerminkan berkurangnya pendanaan perusahaan — pelunasan utang, pembelian saham treasuri, pembayaran dividen, serta rugi bersih — sedangkan kenaikan aset merupakan bentuk penggunaan daya (Wolk et al., 2017, PDF hlm. 3–4). Logika ini dirangkum dalam persamaan </w:t>
      </w:r>
      <w:r>
        <w:rPr>
          <w:rFonts w:ascii="Times New Roman" w:hAnsi="Times New Roman" w:cs="Times New Roman"/>
          <w:b/>
          <w:i w:val="0"/>
          <w:sz w:val="24"/>
        </w:rPr>
        <w:t>(13.1): kredit transaksi = debit transaksi</w:t>
      </w:r>
      <w:r>
        <w:rPr>
          <w:rFonts w:ascii="Times New Roman" w:hAnsi="Times New Roman" w:cs="Times New Roman"/>
          <w:b w:val="0"/>
          <w:i w:val="0"/>
          <w:sz w:val="24"/>
        </w:rPr>
        <w:t xml:space="preserve"> (Wolk et al., 2017, PDF hlm. 3), yang menegaskan bahwa SCFP pada hakikatnya bekerja di atas relasi debit–kredit pembukuan berpasangan. Di dalam kedua bagian itu, transaksi diklasifikasikan menjadi yang memengaruhi saldo dana dan yang memengaruhi akun lainnya, dengan pengaruh laba bersih terhadap saldo dana dilaporkan terpisah (Wolk et al., 2017, PDF hlm. 4).</w:t>
      </w:r>
    </w:p>
    <w:p>
      <w:pPr>
        <w:spacing w:lineRule="exact" w:line="360" w:before="0" w:after="120"/>
        <w:jc w:val="both"/>
      </w:pPr>
      <w:r>
        <w:rPr>
          <w:rFonts w:ascii="Times New Roman" w:hAnsi="Times New Roman" w:cs="Times New Roman"/>
          <w:b w:val="0"/>
          <w:i w:val="0"/>
          <w:sz w:val="24"/>
        </w:rPr>
        <w:t xml:space="preserve">Di sinilah perbedaan antara laporan aliran dana lama dan SCFP menjadi jelas. Laporan aliran dana pendahulu hanya memuat transaksi yang menambah saldo dana dari laba bersih atau sumber lain, sehingga transaksi yang tidak memengaruhi akun dana dikeluarkan — menghasilkan fokus likuiditas yang sempit. Dengan menambahkan transaksi yang tidak memengaruhi akun dana, SCFP berubah menjadi ikhtisar yang komprehensif, yang disebut pendekatan </w:t>
      </w:r>
      <w:r>
        <w:rPr>
          <w:rFonts w:ascii="Times New Roman" w:hAnsi="Times New Roman" w:cs="Times New Roman"/>
          <w:b/>
          <w:i w:val="0"/>
          <w:sz w:val="24"/>
        </w:rPr>
        <w:t>menyeluruh</w:t>
      </w:r>
      <w:r>
        <w:rPr>
          <w:rFonts w:ascii="Times New Roman" w:hAnsi="Times New Roman" w:cs="Times New Roman"/>
          <w:b w:val="0"/>
          <w:i w:val="0"/>
          <w:sz w:val="24"/>
        </w:rPr>
        <w:t xml:space="preserve"> atau </w:t>
      </w:r>
      <w:r>
        <w:rPr>
          <w:rFonts w:ascii="Times New Roman" w:hAnsi="Times New Roman" w:cs="Times New Roman"/>
          <w:b/>
          <w:i w:val="0"/>
          <w:sz w:val="24"/>
        </w:rPr>
        <w:t>semua-sumber-daya</w:t>
      </w:r>
      <w:r>
        <w:rPr>
          <w:rFonts w:ascii="Times New Roman" w:hAnsi="Times New Roman" w:cs="Times New Roman"/>
          <w:b w:val="0"/>
          <w:i w:val="0"/>
          <w:sz w:val="24"/>
        </w:rPr>
        <w:t xml:space="preserve"> (</w:t>
      </w:r>
      <w:r>
        <w:rPr>
          <w:rFonts w:ascii="Times New Roman" w:hAnsi="Times New Roman" w:cs="Times New Roman"/>
          <w:b w:val="0"/>
          <w:i/>
          <w:sz w:val="24"/>
        </w:rPr>
        <w:t>all-inclusive / all-resources</w:t>
      </w:r>
      <w:r>
        <w:rPr>
          <w:rFonts w:ascii="Times New Roman" w:hAnsi="Times New Roman" w:cs="Times New Roman"/>
          <w:b w:val="0"/>
          <w:i w:val="0"/>
          <w:sz w:val="24"/>
        </w:rPr>
        <w:t xml:space="preserve">). Transaksi tambahan ini mencakup aktivitas investasi dan pendanaan yang tidak menyentuh akun dana — misalnya konversi </w:t>
      </w:r>
      <w:r>
        <w:rPr>
          <w:rFonts w:ascii="Times New Roman" w:hAnsi="Times New Roman" w:cs="Times New Roman"/>
          <w:b w:val="0"/>
          <w:i/>
          <w:sz w:val="24"/>
        </w:rPr>
        <w:t>utang konvertibel</w:t>
      </w:r>
      <w:r>
        <w:rPr>
          <w:rFonts w:ascii="Times New Roman" w:hAnsi="Times New Roman" w:cs="Times New Roman"/>
          <w:b w:val="0"/>
          <w:i w:val="0"/>
          <w:sz w:val="24"/>
        </w:rPr>
        <w:t xml:space="preserve"> menjadi saham biasa, penerbitan saham untuk memperoleh aset nonmoneter, pembayaran dividen dalam bentuk properti alih-alih kas, serta pertukaran aset nonmoneter. APB Opinion No. 19 memilih pendekatan </w:t>
      </w:r>
      <w:r>
        <w:rPr>
          <w:rFonts w:ascii="Times New Roman" w:hAnsi="Times New Roman" w:cs="Times New Roman"/>
          <w:b w:val="0"/>
          <w:i/>
          <w:sz w:val="24"/>
        </w:rPr>
        <w:t>all-inclusive</w:t>
      </w:r>
      <w:r>
        <w:rPr>
          <w:rFonts w:ascii="Times New Roman" w:hAnsi="Times New Roman" w:cs="Times New Roman"/>
          <w:b w:val="0"/>
          <w:i w:val="0"/>
          <w:sz w:val="24"/>
        </w:rPr>
        <w:t xml:space="preserve"> ini, sembari tetap memuat laporan aliran dana di dalam SCFP (Wolk et al., 2017, PDF hlm. 4).</w:t>
      </w:r>
    </w:p>
    <w:p>
      <w:pPr>
        <w:spacing w:lineRule="exact" w:line="360" w:before="0" w:after="120"/>
        <w:jc w:val="both"/>
      </w:pPr>
      <w:r>
        <w:rPr>
          <w:rFonts w:ascii="Times New Roman" w:hAnsi="Times New Roman" w:cs="Times New Roman"/>
          <w:b w:val="0"/>
          <w:i w:val="0"/>
          <w:sz w:val="24"/>
        </w:rPr>
        <w:t xml:space="preserve">APB Opinion No. 19 mengizinkan salah satu dari </w:t>
      </w:r>
      <w:r>
        <w:rPr>
          <w:rFonts w:ascii="Times New Roman" w:hAnsi="Times New Roman" w:cs="Times New Roman"/>
          <w:b/>
          <w:i w:val="0"/>
          <w:sz w:val="24"/>
        </w:rPr>
        <w:t>empat definisi dana</w:t>
      </w:r>
      <w:r>
        <w:rPr>
          <w:rFonts w:ascii="Times New Roman" w:hAnsi="Times New Roman" w:cs="Times New Roman"/>
          <w:b w:val="0"/>
          <w:i w:val="0"/>
          <w:sz w:val="24"/>
        </w:rPr>
        <w:t>, sebuah contoh fleksibilitas standar tersebut:</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sz w:val="24"/>
        </w:rPr>
        <w:t>Cash</w:t>
      </w:r>
      <w:r>
        <w:rPr>
          <w:rFonts w:ascii="Times New Roman" w:hAnsi="Times New Roman" w:cs="Times New Roman"/>
          <w:b w:val="0"/>
          <w:i w:val="0"/>
          <w:sz w:val="24"/>
        </w:rPr>
        <w:t xml:space="preserve"> (kas) saja.</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Kas ditambah kas-mendekati-kas (</w:t>
      </w:r>
      <w:r>
        <w:rPr>
          <w:rFonts w:ascii="Times New Roman" w:hAnsi="Times New Roman" w:cs="Times New Roman"/>
          <w:b w:val="0"/>
          <w:i/>
          <w:sz w:val="24"/>
        </w:rPr>
        <w:t>near cash</w:t>
      </w:r>
      <w:r>
        <w:rPr>
          <w:rFonts w:ascii="Times New Roman" w:hAnsi="Times New Roman" w:cs="Times New Roman"/>
          <w:b w:val="0"/>
          <w:i w:val="0"/>
          <w:sz w:val="24"/>
        </w:rPr>
        <w:t>), yakni surat berharga jangka pendek yang dapat diperdagangkan dan investasi temporer lainnya.</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sz w:val="24"/>
        </w:rPr>
        <w:t>Quick assets</w:t>
      </w:r>
      <w:r>
        <w:rPr>
          <w:rFonts w:ascii="Times New Roman" w:hAnsi="Times New Roman" w:cs="Times New Roman"/>
          <w:b w:val="0"/>
          <w:i w:val="0"/>
          <w:sz w:val="24"/>
        </w:rPr>
        <w:t xml:space="preserve"> (aset cepat).</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sz w:val="24"/>
        </w:rPr>
        <w:t>Working capital</w:t>
      </w:r>
      <w:r>
        <w:rPr>
          <w:rFonts w:ascii="Times New Roman" w:hAnsi="Times New Roman" w:cs="Times New Roman"/>
          <w:b w:val="0"/>
          <w:i w:val="0"/>
          <w:sz w:val="24"/>
        </w:rPr>
        <w:t xml:space="preserve"> (modal kerja).</w:t>
      </w:r>
    </w:p>
    <w:p>
      <w:pPr>
        <w:spacing w:lineRule="exact" w:line="360" w:before="0" w:after="120"/>
        <w:jc w:val="both"/>
      </w:pPr>
      <w:r>
        <w:rPr>
          <w:rFonts w:ascii="Times New Roman" w:hAnsi="Times New Roman" w:cs="Times New Roman"/>
          <w:b w:val="0"/>
          <w:i w:val="0"/>
          <w:sz w:val="24"/>
        </w:rPr>
        <w:t xml:space="preserve">Dalam semua kasus, seluruh transaksi yang tidak memengaruhi akun dana tetap harus dimasukkan ke dalam SCFP, meskipun tidak berdampak langsung pada akun dana (Wolk et al., 2017, PDF hlm. 4). Pilihan definisi ini bukan tanpa konsekuensi biaya. Ketika dana didefinisikan sebagai modal kerja, transaksi non-dana yang harus dilaporkan terbatas pada transaksi nonmoneter (pertukaran nonmoneter dan konversi </w:t>
      </w:r>
      <w:r>
        <w:rPr>
          <w:rFonts w:ascii="Times New Roman" w:hAnsi="Times New Roman" w:cs="Times New Roman"/>
          <w:b w:val="0"/>
          <w:i/>
          <w:sz w:val="24"/>
        </w:rPr>
        <w:t>utang konvertibel</w:t>
      </w:r>
      <w:r>
        <w:rPr>
          <w:rFonts w:ascii="Times New Roman" w:hAnsi="Times New Roman" w:cs="Times New Roman"/>
          <w:b w:val="0"/>
          <w:i w:val="0"/>
          <w:sz w:val="24"/>
        </w:rPr>
        <w:t xml:space="preserve"> menjadi saham biasa). Sebaliknya, mendefinisikan dana sebagai kas justru menambah kerumitan karena banyak transaksi tidak memengaruhi kas sehingga makin banyak transaksi non-dana yang harus dilaporkan terpisah. Definisi modal kerja meminimalkan biaya penyusunan SCFP, dan karena itulah </w:t>
      </w:r>
      <w:r>
        <w:rPr>
          <w:rFonts w:ascii="Times New Roman" w:hAnsi="Times New Roman" w:cs="Times New Roman"/>
          <w:b/>
          <w:i w:val="0"/>
          <w:sz w:val="24"/>
        </w:rPr>
        <w:t>sebagian besar perusahaan memilih mendefinisikan dana sebagai modal kerja bersih</w:t>
      </w:r>
      <w:r>
        <w:rPr>
          <w:rFonts w:ascii="Times New Roman" w:hAnsi="Times New Roman" w:cs="Times New Roman"/>
          <w:b w:val="0"/>
          <w:i w:val="0"/>
          <w:sz w:val="24"/>
        </w:rPr>
        <w:t xml:space="preserve"> (Wolk et al., 2017, PDF hlm. 4).</w:t>
      </w:r>
    </w:p>
    <w:p>
      <w:pPr>
        <w:spacing w:lineRule="exact" w:line="360" w:before="0" w:after="120"/>
        <w:jc w:val="both"/>
      </w:pPr>
      <w:r>
        <w:rPr>
          <w:rFonts w:ascii="Times New Roman" w:hAnsi="Times New Roman" w:cs="Times New Roman"/>
          <w:b w:val="0"/>
          <w:i w:val="0"/>
          <w:sz w:val="24"/>
        </w:rPr>
        <w:t xml:space="preserve">Arti penting SCFP tumbuh secara bertahap melalui rangkaian otoritas. Pada </w:t>
      </w:r>
      <w:r>
        <w:rPr>
          <w:rFonts w:ascii="Times New Roman" w:hAnsi="Times New Roman" w:cs="Times New Roman"/>
          <w:b/>
          <w:i w:val="0"/>
          <w:sz w:val="24"/>
        </w:rPr>
        <w:t>1963, APB Opinion No. 3</w:t>
      </w:r>
      <w:r>
        <w:rPr>
          <w:rFonts w:ascii="Times New Roman" w:hAnsi="Times New Roman" w:cs="Times New Roman"/>
          <w:b w:val="0"/>
          <w:i w:val="0"/>
          <w:sz w:val="24"/>
        </w:rPr>
        <w:t xml:space="preserve"> </w:t>
      </w:r>
      <w:r>
        <w:rPr>
          <w:rFonts w:ascii="Times New Roman" w:hAnsi="Times New Roman" w:cs="Times New Roman"/>
          <w:b w:val="0"/>
          <w:i/>
          <w:sz w:val="24"/>
        </w:rPr>
        <w:t>merekomendasikan</w:t>
      </w:r>
      <w:r>
        <w:rPr>
          <w:rFonts w:ascii="Times New Roman" w:hAnsi="Times New Roman" w:cs="Times New Roman"/>
          <w:b w:val="0"/>
          <w:i w:val="0"/>
          <w:sz w:val="24"/>
        </w:rPr>
        <w:t xml:space="preserve"> pencantuman SCFP dalam laporan tahunan. </w:t>
      </w:r>
      <w:r>
        <w:rPr>
          <w:rFonts w:ascii="Times New Roman" w:hAnsi="Times New Roman" w:cs="Times New Roman"/>
          <w:b/>
          <w:i w:val="0"/>
          <w:sz w:val="24"/>
        </w:rPr>
        <w:t>SEC</w:t>
      </w:r>
      <w:r>
        <w:rPr>
          <w:rFonts w:ascii="Times New Roman" w:hAnsi="Times New Roman" w:cs="Times New Roman"/>
          <w:b w:val="0"/>
          <w:i w:val="0"/>
          <w:sz w:val="24"/>
        </w:rPr>
        <w:t xml:space="preserve"> kemudian menjadikannya wajib untuk pengajuan statutori mulai </w:t>
      </w:r>
      <w:r>
        <w:rPr>
          <w:rFonts w:ascii="Times New Roman" w:hAnsi="Times New Roman" w:cs="Times New Roman"/>
          <w:b/>
          <w:i w:val="0"/>
          <w:sz w:val="24"/>
        </w:rPr>
        <w:t>1971</w:t>
      </w:r>
      <w:r>
        <w:rPr>
          <w:rFonts w:ascii="Times New Roman" w:hAnsi="Times New Roman" w:cs="Times New Roman"/>
          <w:b w:val="0"/>
          <w:i w:val="0"/>
          <w:sz w:val="24"/>
        </w:rPr>
        <w:t xml:space="preserve">. Sebagai tanggapan, APB menerbitkan </w:t>
      </w:r>
      <w:r>
        <w:rPr>
          <w:rFonts w:ascii="Times New Roman" w:hAnsi="Times New Roman" w:cs="Times New Roman"/>
          <w:b/>
          <w:i w:val="0"/>
          <w:sz w:val="24"/>
        </w:rPr>
        <w:t>APB Opinion No. 19 pada 1971</w:t>
      </w:r>
      <w:r>
        <w:rPr>
          <w:rFonts w:ascii="Times New Roman" w:hAnsi="Times New Roman" w:cs="Times New Roman"/>
          <w:b w:val="0"/>
          <w:i w:val="0"/>
          <w:sz w:val="24"/>
        </w:rPr>
        <w:t>, yang menjadikan laporan tersebut wajib untuk pelaporan keuangan (Wolk et al., 2017, PDF hlm. 4). Sejarah berjenjang inilah — rekomendasi 1963, mandat SEC 1971, lalu mandat APB 1971 — yang menempatkan SCFP sebagai fondasi langsung bagi lahirnya SCF.</w:t>
      </w:r>
    </w:p>
    <w:p>
      <w:pPr>
        <w:spacing w:before="120" w:after="120"/>
        <w:jc w:val="center"/>
      </w:pPr>
      <w:r>
        <w:drawing>
          <wp:inline xmlns:a="http://schemas.openxmlformats.org/drawingml/2006/main" xmlns:pic="http://schemas.openxmlformats.org/drawingml/2006/picture">
            <wp:extent cx="5220000" cy="1503141"/>
            <wp:docPr id="1" name="Picture 1"/>
            <wp:cNvGraphicFramePr>
              <a:graphicFrameLocks noChangeAspect="1"/>
            </wp:cNvGraphicFramePr>
            <a:graphic>
              <a:graphicData uri="http://schemas.openxmlformats.org/drawingml/2006/picture">
                <pic:pic>
                  <pic:nvPicPr>
                    <pic:cNvPr id="0" name="diagram-timeline.png"/>
                    <pic:cNvPicPr/>
                  </pic:nvPicPr>
                  <pic:blipFill>
                    <a:blip r:embed="rId9"/>
                    <a:stretch>
                      <a:fillRect/>
                    </a:stretch>
                  </pic:blipFill>
                  <pic:spPr>
                    <a:xfrm>
                      <a:off x="0" y="0"/>
                      <a:ext cx="5220000" cy="1503141"/>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1. </w:t>
      </w:r>
      <w:r>
        <w:rPr>
          <w:rFonts w:ascii="Times New Roman" w:hAnsi="Times New Roman" w:cs="Times New Roman"/>
          <w:b w:val="0"/>
          <w:i w:val="0"/>
          <w:sz w:val="22"/>
        </w:rPr>
        <w:t>Lini masa evolusi pelaporan aliran dana, 1963–2008</w:t>
      </w:r>
    </w:p>
    <w:p>
      <w:pPr>
        <w:spacing w:lineRule="exact" w:line="360" w:before="0" w:after="240"/>
        <w:jc w:val="center"/>
      </w:pPr>
      <w:r>
        <w:rPr>
          <w:rFonts w:ascii="Times New Roman" w:hAnsi="Times New Roman" w:cs="Times New Roman"/>
          <w:b w:val="0"/>
          <w:i/>
          <w:sz w:val="22"/>
        </w:rPr>
        <w:t>Sumber: diolah dari Wolk, Dodd &amp; Rozycki (2017), PDF hlm. 4, 10–11</w:t>
      </w:r>
    </w:p>
    <w:p>
      <w:pPr>
        <w:spacing w:lineRule="exact" w:line="360" w:before="240" w:after="120"/>
        <w:jc w:val="left"/>
      </w:pPr>
      <w:r>
        <w:rPr>
          <w:rFonts w:ascii="Times New Roman" w:hAnsi="Times New Roman" w:cs="Times New Roman"/>
          <w:b/>
          <w:i w:val="0"/>
          <w:sz w:val="26"/>
        </w:rPr>
        <w:t>III. Motivasi Beralih ke Laporan Arus Kas</w:t>
      </w:r>
    </w:p>
    <w:p>
      <w:pPr>
        <w:spacing w:lineRule="exact" w:line="360" w:before="0" w:after="120"/>
        <w:jc w:val="both"/>
      </w:pPr>
      <w:r>
        <w:rPr>
          <w:rFonts w:ascii="Times New Roman" w:hAnsi="Times New Roman" w:cs="Times New Roman"/>
          <w:b w:val="0"/>
          <w:i w:val="0"/>
          <w:sz w:val="24"/>
        </w:rPr>
        <w:t xml:space="preserve">Pertanyaan yang menjembatani bab ini adalah: apa yang mendorong FASB menemukan kembali akuntansi berbasis kas sebagai pelengkap, dan mengapa konsep arus kas menggantikan konsep aliran dana / perubahan posisi keuangan yang lebih umum? (Wolk et al., 2017, PDF hlm. 4). Selama deliberasi FASB yang mengarah pada SCF, terbangun konsensus bahwa </w:t>
      </w:r>
      <w:r>
        <w:rPr>
          <w:rFonts w:ascii="Times New Roman" w:hAnsi="Times New Roman" w:cs="Times New Roman"/>
          <w:b/>
          <w:i w:val="0"/>
          <w:sz w:val="24"/>
        </w:rPr>
        <w:t>dana sebaiknya didefinisikan sebagai kas, bukan modal kerja bersih</w:t>
      </w:r>
      <w:r>
        <w:rPr>
          <w:rFonts w:ascii="Times New Roman" w:hAnsi="Times New Roman" w:cs="Times New Roman"/>
          <w:b w:val="0"/>
          <w:i w:val="0"/>
          <w:sz w:val="24"/>
        </w:rPr>
        <w:t xml:space="preserve"> (Wolk et al., 2017, PDF hlm. 5).</w:t>
      </w:r>
    </w:p>
    <w:p>
      <w:pPr>
        <w:spacing w:lineRule="exact" w:line="360" w:before="0" w:after="120"/>
        <w:jc w:val="both"/>
      </w:pPr>
      <w:r>
        <w:rPr>
          <w:rFonts w:ascii="Times New Roman" w:hAnsi="Times New Roman" w:cs="Times New Roman"/>
          <w:b w:val="0"/>
          <w:i w:val="0"/>
          <w:sz w:val="24"/>
        </w:rPr>
        <w:t xml:space="preserve">Pergeseran ini berakar pada kesadaran bahwa modal kerja bersih merupakan ukuran likuiditas yang buruk karena tiga kelemahan. </w:t>
      </w:r>
      <w:r>
        <w:rPr>
          <w:rFonts w:ascii="Times New Roman" w:hAnsi="Times New Roman" w:cs="Times New Roman"/>
          <w:b w:val="0"/>
          <w:i/>
          <w:sz w:val="24"/>
        </w:rPr>
        <w:t>Pertama</w:t>
      </w:r>
      <w:r>
        <w:rPr>
          <w:rFonts w:ascii="Times New Roman" w:hAnsi="Times New Roman" w:cs="Times New Roman"/>
          <w:b w:val="0"/>
          <w:i w:val="0"/>
          <w:sz w:val="24"/>
        </w:rPr>
        <w:t>, beban dan kredit tangguhan (</w:t>
      </w:r>
      <w:r>
        <w:rPr>
          <w:rFonts w:ascii="Times New Roman" w:hAnsi="Times New Roman" w:cs="Times New Roman"/>
          <w:b w:val="0"/>
          <w:i/>
          <w:sz w:val="24"/>
        </w:rPr>
        <w:t>deferred charges and credits</w:t>
      </w:r>
      <w:r>
        <w:rPr>
          <w:rFonts w:ascii="Times New Roman" w:hAnsi="Times New Roman" w:cs="Times New Roman"/>
          <w:b w:val="0"/>
          <w:i w:val="0"/>
          <w:sz w:val="24"/>
        </w:rPr>
        <w:t xml:space="preserve">) termasuk dalam modal kerja bersih, padahal keduanya tidak memiliki konsekuensi arus kas apa pun. </w:t>
      </w:r>
      <w:r>
        <w:rPr>
          <w:rFonts w:ascii="Times New Roman" w:hAnsi="Times New Roman" w:cs="Times New Roman"/>
          <w:b w:val="0"/>
          <w:i/>
          <w:sz w:val="24"/>
        </w:rPr>
        <w:t>Kedua</w:t>
      </w:r>
      <w:r>
        <w:rPr>
          <w:rFonts w:ascii="Times New Roman" w:hAnsi="Times New Roman" w:cs="Times New Roman"/>
          <w:b w:val="0"/>
          <w:i w:val="0"/>
          <w:sz w:val="24"/>
        </w:rPr>
        <w:t xml:space="preserve">, konversi aset lancar menjadi kas dapat memakan waktu setahun atau lebih bagi perusahaan dengan siklus operasi yang panjang, sehingga predikat "lancar" tidak menjamin ketersediaan kas dalam waktu dekat. </w:t>
      </w:r>
      <w:r>
        <w:rPr>
          <w:rFonts w:ascii="Times New Roman" w:hAnsi="Times New Roman" w:cs="Times New Roman"/>
          <w:b w:val="0"/>
          <w:i/>
          <w:sz w:val="24"/>
        </w:rPr>
        <w:t>Ketiga</w:t>
      </w:r>
      <w:r>
        <w:rPr>
          <w:rFonts w:ascii="Times New Roman" w:hAnsi="Times New Roman" w:cs="Times New Roman"/>
          <w:b w:val="0"/>
          <w:i w:val="0"/>
          <w:sz w:val="24"/>
        </w:rPr>
        <w:t>, pos-pos seperti persediaan dicatat atas dasar biaya, sehingga tidak secara eksplisit mengukur potensi arus kas dari persediaan tersebut (Wolk et al., 2017, PDF hlm. 5). Ketiga kelemahan ini secara bersama-sama menunjukkan bahwa angka modal kerja bersih dapat menyesatkan apabila dibaca sebagai indikator likuiditas.</w:t>
      </w:r>
    </w:p>
    <w:p>
      <w:pPr>
        <w:spacing w:lineRule="exact" w:line="360" w:before="0" w:after="120"/>
        <w:jc w:val="both"/>
      </w:pPr>
      <w:r>
        <w:rPr>
          <w:rFonts w:ascii="Times New Roman" w:hAnsi="Times New Roman" w:cs="Times New Roman"/>
          <w:b w:val="0"/>
          <w:i w:val="0"/>
          <w:sz w:val="24"/>
        </w:rPr>
        <w:t xml:space="preserve">Sebaliknya, pelaporan arus kas menarik justru karena keterusterangan dan interpretasinya yang literal — sekali lagi tercermin dalam frasa </w:t>
      </w:r>
      <w:r>
        <w:rPr>
          <w:rFonts w:ascii="Times New Roman" w:hAnsi="Times New Roman" w:cs="Times New Roman"/>
          <w:b w:val="0"/>
          <w:i/>
          <w:sz w:val="24"/>
        </w:rPr>
        <w:t>"cash is cash is cash"</w:t>
      </w:r>
      <w:r>
        <w:rPr>
          <w:rFonts w:ascii="Times New Roman" w:hAnsi="Times New Roman" w:cs="Times New Roman"/>
          <w:b w:val="0"/>
          <w:i w:val="0"/>
          <w:sz w:val="24"/>
        </w:rPr>
        <w:t xml:space="preserve"> (Wolk et al., 2017, PDF hlm. 5). Kas tidak memerlukan asumsi penilaian, tidak mengandung tangguhan, dan tidak bergantung pada kebijakan akuntansi yang dipilih manajemen; ia adalah sumber daya yang konkret dan dapat diverifikasi.</w:t>
      </w:r>
    </w:p>
    <w:p>
      <w:pPr>
        <w:spacing w:lineRule="exact" w:line="360" w:before="0" w:after="120"/>
        <w:jc w:val="both"/>
      </w:pPr>
      <w:r>
        <w:rPr>
          <w:rFonts w:ascii="Times New Roman" w:hAnsi="Times New Roman" w:cs="Times New Roman"/>
          <w:b w:val="0"/>
          <w:i w:val="0"/>
          <w:sz w:val="24"/>
        </w:rPr>
        <w:t xml:space="preserve">Motivasi ini berakar pula pada tujuan-tujuan pelaporan keuangan yang lebih luas. </w:t>
      </w:r>
      <w:r>
        <w:rPr>
          <w:rFonts w:ascii="Times New Roman" w:hAnsi="Times New Roman" w:cs="Times New Roman"/>
          <w:b/>
          <w:i w:val="0"/>
          <w:sz w:val="24"/>
        </w:rPr>
        <w:t>SFAC No. 1</w:t>
      </w:r>
      <w:r>
        <w:rPr>
          <w:rFonts w:ascii="Times New Roman" w:hAnsi="Times New Roman" w:cs="Times New Roman"/>
          <w:b w:val="0"/>
          <w:i w:val="0"/>
          <w:sz w:val="24"/>
        </w:rPr>
        <w:t xml:space="preserve"> mencantumkan tiga tujuan umum pelaporan keuangan. Tujuan pertama bersifat luas: pelaporan keuangan harus menyediakan informasi yang berguna bagi investor dan kreditor — baik yang ada maupun yang potensial — serta pengguna lain dalam membuat keputusan investasi, kredit, dan keputusan serupa secara rasional. Dua tujuan tambahan merupakan cara spesifik untuk memenuhi tujuan pertama: (1) melaporkan informasi tentang sumber daya bersih perusahaan dan perubahannya, dan (2) melaporkan informasi yang berguna untuk menilai arus kas masa depan. Pada dekade 1980-an, kedua tujuan inilah yang memotivasi FASB mengadopsi SCF (Wolk et al., 2017, PDF hlm. 5). Dengan demikian, peralihan ke laporan arus kas bukanlah keputusan teknis yang berdiri sendiri, melainkan konsekuensi logis dari kerangka konseptual yang menempatkan penilaian arus kas masa depan sebagai salah satu tujuan inti pelaporan.</w:t>
      </w:r>
    </w:p>
    <w:p>
      <w:pPr>
        <w:spacing w:lineRule="exact" w:line="360" w:before="240" w:after="120"/>
        <w:jc w:val="left"/>
      </w:pPr>
      <w:r>
        <w:rPr>
          <w:rFonts w:ascii="Times New Roman" w:hAnsi="Times New Roman" w:cs="Times New Roman"/>
          <w:b/>
          <w:i w:val="0"/>
          <w:sz w:val="26"/>
        </w:rPr>
        <w:t>IV. Persyaratan dan Struktur SCF (SFAS No. 95)</w:t>
      </w:r>
    </w:p>
    <w:p>
      <w:pPr>
        <w:spacing w:lineRule="exact" w:line="360" w:before="0" w:after="120"/>
        <w:jc w:val="both"/>
      </w:pPr>
      <w:r>
        <w:rPr>
          <w:rFonts w:ascii="Times New Roman" w:hAnsi="Times New Roman" w:cs="Times New Roman"/>
          <w:b w:val="0"/>
          <w:i w:val="0"/>
          <w:sz w:val="24"/>
        </w:rPr>
        <w:t xml:space="preserve">Setelah motivasi mapan, </w:t>
      </w:r>
      <w:r>
        <w:rPr>
          <w:rFonts w:ascii="Times New Roman" w:hAnsi="Times New Roman" w:cs="Times New Roman"/>
          <w:b/>
          <w:i w:val="0"/>
          <w:sz w:val="24"/>
        </w:rPr>
        <w:t>SFAC No. 5</w:t>
      </w:r>
      <w:r>
        <w:rPr>
          <w:rFonts w:ascii="Times New Roman" w:hAnsi="Times New Roman" w:cs="Times New Roman"/>
          <w:b w:val="0"/>
          <w:i w:val="0"/>
          <w:sz w:val="24"/>
        </w:rPr>
        <w:t xml:space="preserve"> menegaskan kegunaan SCF lebih lanjut. Di dalamnya, FASB menyatakan bahwa SCF menyediakan informasi berguna tentang aktivitas entitas dalam menghasilkan kas melalui operasi (untuk melunasi utang, membagikan dividen, dan menginvestasikan kembali guna mempertahankan atau memperluas kapasitas operasi); tentang aktivitas pendanaan (utang dan ekuitas); serta tentang investasi dan pembelanjaan kas. Informasi penerimaan dan pembayaran kas berjalan ini berguna untuk menilai </w:t>
      </w:r>
      <w:r>
        <w:rPr>
          <w:rFonts w:ascii="Times New Roman" w:hAnsi="Times New Roman" w:cs="Times New Roman"/>
          <w:b/>
          <w:i w:val="0"/>
          <w:sz w:val="24"/>
        </w:rPr>
        <w:t>likuiditas, fleksibilitas keuangan, profitabilitas, dan risiko</w:t>
      </w:r>
      <w:r>
        <w:rPr>
          <w:rFonts w:ascii="Times New Roman" w:hAnsi="Times New Roman" w:cs="Times New Roman"/>
          <w:b w:val="0"/>
          <w:i w:val="0"/>
          <w:sz w:val="24"/>
        </w:rPr>
        <w:t xml:space="preserve"> entitas (Wolk et al., 2017, PDF hlm. 5).</w:t>
      </w:r>
    </w:p>
    <w:p>
      <w:pPr>
        <w:spacing w:lineRule="exact" w:line="360" w:before="0" w:after="120"/>
        <w:jc w:val="both"/>
      </w:pPr>
      <w:r>
        <w:rPr>
          <w:rFonts w:ascii="Times New Roman" w:hAnsi="Times New Roman" w:cs="Times New Roman"/>
          <w:b w:val="0"/>
          <w:i w:val="0"/>
          <w:sz w:val="24"/>
        </w:rPr>
        <w:t xml:space="preserve">Lebih jauh, sebuah memorandum diskusi FASB yang lebih awal mencantumkan </w:t>
      </w:r>
      <w:r>
        <w:rPr>
          <w:rFonts w:ascii="Times New Roman" w:hAnsi="Times New Roman" w:cs="Times New Roman"/>
          <w:b/>
          <w:i w:val="0"/>
          <w:sz w:val="24"/>
        </w:rPr>
        <w:t>enam alasan mengapa data arus kas merupakan pengungkapan pelengkap yang berguna</w:t>
      </w:r>
      <w:r>
        <w:rPr>
          <w:rFonts w:ascii="Times New Roman" w:hAnsi="Times New Roman" w:cs="Times New Roman"/>
          <w:b w:val="0"/>
          <w:i w:val="0"/>
          <w:sz w:val="24"/>
        </w:rPr>
        <w:t xml:space="preserve"> (Wolk et al., 2017, PDF hlm. 5):</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Memberikan umpan balik atas arus kas aktual.</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Membantu mengidentifikasi hubungan antara laba akuntansi dan arus kas.</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 xml:space="preserve">Memberikan informasi tentang </w:t>
      </w:r>
      <w:r>
        <w:rPr>
          <w:rFonts w:ascii="Times New Roman" w:hAnsi="Times New Roman" w:cs="Times New Roman"/>
          <w:b w:val="0"/>
          <w:i/>
          <w:sz w:val="24"/>
        </w:rPr>
        <w:t>quality of income</w:t>
      </w:r>
      <w:r>
        <w:rPr>
          <w:rFonts w:ascii="Times New Roman" w:hAnsi="Times New Roman" w:cs="Times New Roman"/>
          <w:b w:val="0"/>
          <w:i w:val="0"/>
          <w:sz w:val="24"/>
        </w:rPr>
        <w:t xml:space="preserve"> (kualitas laba).</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Meningkatkan komparabilitas informasi dalam laporan keuangan.</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Membantu menilai fleksibilitas dan likuiditas.</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Membantu memprediksi arus kas masa depan.</w:t>
      </w:r>
    </w:p>
    <w:p>
      <w:pPr>
        <w:spacing w:lineRule="exact" w:line="360" w:before="0" w:after="120"/>
        <w:jc w:val="both"/>
      </w:pPr>
      <w:r>
        <w:rPr>
          <w:rFonts w:ascii="Times New Roman" w:hAnsi="Times New Roman" w:cs="Times New Roman"/>
          <w:b w:val="0"/>
          <w:i w:val="0"/>
          <w:sz w:val="24"/>
        </w:rPr>
        <w:t xml:space="preserve">Keenam alasan ini sama-sama berurusan dengan keterbatasan akuntansi akrual; data arus kas hadir untuk melengkapi data akrual, bukan menggantikannya (Wolk et al., 2017, PDF hlm. 5). Beberapa di antaranya layak diuraikan lebih dalam karena mengandung konsep yang menjadi rujukan analis. Alasan ketiga memperkenalkan </w:t>
      </w:r>
      <w:r>
        <w:rPr>
          <w:rFonts w:ascii="Times New Roman" w:hAnsi="Times New Roman" w:cs="Times New Roman"/>
          <w:b w:val="0"/>
          <w:i/>
          <w:sz w:val="24"/>
        </w:rPr>
        <w:t>quality of income</w:t>
      </w:r>
      <w:r>
        <w:rPr>
          <w:rFonts w:ascii="Times New Roman" w:hAnsi="Times New Roman" w:cs="Times New Roman"/>
          <w:b w:val="0"/>
          <w:i w:val="0"/>
          <w:sz w:val="24"/>
        </w:rPr>
        <w:t xml:space="preserve"> — istilah yang digunakan analis untuk hubungan antara arus kas dan laba akuntansi. Semakin tinggi korelasi antara laba akuntansi dan arus kas, semakin tinggi kualitas laba tersebut. Konsep ini mencerminkan kesadaran bahwa laba akuntansi mengandung banyak akrual dan tangguhan nonkas, sehingga tidak selalu menjadi indikator likuiditas yang baik (Wolk et al., 2017, PDF hlm. 5–6). Alasan keempat berkaitan dengan masalah keseragaman (</w:t>
      </w:r>
      <w:r>
        <w:rPr>
          <w:rFonts w:ascii="Times New Roman" w:hAnsi="Times New Roman" w:cs="Times New Roman"/>
          <w:b w:val="0"/>
          <w:i/>
          <w:sz w:val="24"/>
        </w:rPr>
        <w:t>uniformity</w:t>
      </w:r>
      <w:r>
        <w:rPr>
          <w:rFonts w:ascii="Times New Roman" w:hAnsi="Times New Roman" w:cs="Times New Roman"/>
          <w:b w:val="0"/>
          <w:i w:val="0"/>
          <w:sz w:val="24"/>
        </w:rPr>
        <w:t>): keleluasaan dalam memilih kebijakan akuntansi merugikan komparabilitas, sedangkan arus kas dari operasi tunduk pada lebih sedikit pilihan kebijakan yang arbitrer sehingga lebih seragam dan lebih komparabel; karena itu SCF dianjurkan sebagai cara mengatasi kesewenang-wenangan pengukuran laba (Wolk et al., 2017, PDF hlm. 6).</w:t>
      </w:r>
    </w:p>
    <w:p>
      <w:pPr>
        <w:spacing w:lineRule="exact" w:line="360" w:before="0" w:after="120"/>
        <w:jc w:val="both"/>
      </w:pPr>
      <w:r>
        <w:rPr>
          <w:rFonts w:ascii="Times New Roman" w:hAnsi="Times New Roman" w:cs="Times New Roman"/>
          <w:b w:val="0"/>
          <w:i w:val="0"/>
          <w:sz w:val="24"/>
        </w:rPr>
        <w:t xml:space="preserve">Alasan kelima menuntut pembedaan dua konsep yang kerap dipertukarkan. </w:t>
      </w:r>
      <w:r>
        <w:rPr>
          <w:rFonts w:ascii="Times New Roman" w:hAnsi="Times New Roman" w:cs="Times New Roman"/>
          <w:b/>
          <w:i w:val="0"/>
          <w:sz w:val="24"/>
        </w:rPr>
        <w:t>Fleksibilitas keuangan</w:t>
      </w:r>
      <w:r>
        <w:rPr>
          <w:rFonts w:ascii="Times New Roman" w:hAnsi="Times New Roman" w:cs="Times New Roman"/>
          <w:b w:val="0"/>
          <w:i w:val="0"/>
          <w:sz w:val="24"/>
        </w:rPr>
        <w:t xml:space="preserve"> (</w:t>
      </w:r>
      <w:r>
        <w:rPr>
          <w:rFonts w:ascii="Times New Roman" w:hAnsi="Times New Roman" w:cs="Times New Roman"/>
          <w:b w:val="0"/>
          <w:i/>
          <w:sz w:val="24"/>
        </w:rPr>
        <w:t>financial flexibility</w:t>
      </w:r>
      <w:r>
        <w:rPr>
          <w:rFonts w:ascii="Times New Roman" w:hAnsi="Times New Roman" w:cs="Times New Roman"/>
          <w:b w:val="0"/>
          <w:i w:val="0"/>
          <w:sz w:val="24"/>
        </w:rPr>
        <w:t xml:space="preserve">) adalah kemampuan perusahaan untuk beradaptasi terhadap situasi dan peluang baru, sedangkan </w:t>
      </w:r>
      <w:r>
        <w:rPr>
          <w:rFonts w:ascii="Times New Roman" w:hAnsi="Times New Roman" w:cs="Times New Roman"/>
          <w:b/>
          <w:i w:val="0"/>
          <w:sz w:val="24"/>
        </w:rPr>
        <w:t>likuiditas</w:t>
      </w:r>
      <w:r>
        <w:rPr>
          <w:rFonts w:ascii="Times New Roman" w:hAnsi="Times New Roman" w:cs="Times New Roman"/>
          <w:b w:val="0"/>
          <w:i w:val="0"/>
          <w:sz w:val="24"/>
        </w:rPr>
        <w:t xml:space="preserve"> (</w:t>
      </w:r>
      <w:r>
        <w:rPr>
          <w:rFonts w:ascii="Times New Roman" w:hAnsi="Times New Roman" w:cs="Times New Roman"/>
          <w:b w:val="0"/>
          <w:i/>
          <w:sz w:val="24"/>
        </w:rPr>
        <w:t>liquidity</w:t>
      </w:r>
      <w:r>
        <w:rPr>
          <w:rFonts w:ascii="Times New Roman" w:hAnsi="Times New Roman" w:cs="Times New Roman"/>
          <w:b w:val="0"/>
          <w:i w:val="0"/>
          <w:sz w:val="24"/>
        </w:rPr>
        <w:t>) adalah kemampuan mengonversi aset menjadi kas secara cepat tanpa kerugian. Arus kas yang dihasilkan secara internal menjadi indikator bagi keduanya, sebab kas internal merupakan sumber daya untuk pelayanan dan pelunasan utang, investasi baru, serta distribusi kepada pemegang saham — yang merupakan alasan orisinal disyaratkannya laporan aliran dana (Wolk et al., 2017, PDF hlm. 6). Likuiditas yang dibaca dari neraca justru terbatas: klasifikasi lancar–tidak lancar adalah panduan likuiditas yang lemah, karena sebagian pos lancar berupa beban/kredit tangguhan tanpa dampak arus kas, persediaan belum tentu mudah dikonversi menjadi kas, dan atribut pengukuran neraca umumnya bukan nilai realisasi bersih sehingga kas yang dapat dihasilkan aset tidak dapat ditentukan. Neraca, dalam ungkapan bab ini, "tidak lebih dari pemeringkatan likuiditas yang kasar," dan di sinilah SCF memberi wawasan atas potensi penghasilan kas dari operasi (Wolk et al., 2017, PDF hlm. 6). Adapun alasan keenam, memprediksi arus kas masa depan, tetap menyisakan perdebatan: belum terselesaikan apakah arus kas, aliran dana, atau laba akuntansi yang merupakan prediktor terbaik atas arus kas masa depan, dan tidak jelas pula periode prediksi yang semestinya; filosofi pengungkapan yang diperluas berpendapat perusahaan sebaiknya mengungkapkan semua informasi yang berpotensi berguna (Wolk et al., 2017, PDF hlm. 6).</w:t>
      </w:r>
    </w:p>
    <w:p>
      <w:pPr>
        <w:spacing w:lineRule="exact" w:line="360" w:before="0" w:after="120"/>
        <w:jc w:val="both"/>
      </w:pPr>
      <w:r>
        <w:rPr>
          <w:rFonts w:ascii="Times New Roman" w:hAnsi="Times New Roman" w:cs="Times New Roman"/>
          <w:b w:val="0"/>
          <w:i w:val="0"/>
          <w:sz w:val="24"/>
        </w:rPr>
        <w:t xml:space="preserve">Beralih ke struktur, SCFP menggunakan kerangka "sumber dan penggunaan" dana yang sangat umum — sebuah kerangka biner yang secara mekanis berfokus pada relasi debit–kredit yang sempit (Exhibit 13.1). SCF, sebaliknya, mengklasifikasikan penerimaan dan pembayaran kas ke dalam kategori yang lebih bermakna, yakni aktivitas </w:t>
      </w:r>
      <w:r>
        <w:rPr>
          <w:rFonts w:ascii="Times New Roman" w:hAnsi="Times New Roman" w:cs="Times New Roman"/>
          <w:b/>
          <w:i w:val="0"/>
          <w:sz w:val="24"/>
        </w:rPr>
        <w:t>operasi, pendanaan, dan investasi</w:t>
      </w:r>
      <w:r>
        <w:rPr>
          <w:rFonts w:ascii="Times New Roman" w:hAnsi="Times New Roman" w:cs="Times New Roman"/>
          <w:b w:val="0"/>
          <w:i w:val="0"/>
          <w:sz w:val="24"/>
        </w:rPr>
        <w:t xml:space="preserve"> (Wolk et al., 2017, PDF hlm. 7). Dalam kerangka ini, </w:t>
      </w:r>
      <w:r>
        <w:rPr>
          <w:rFonts w:ascii="Times New Roman" w:hAnsi="Times New Roman" w:cs="Times New Roman"/>
          <w:b/>
          <w:i w:val="0"/>
          <w:sz w:val="24"/>
        </w:rPr>
        <w:t>kas</w:t>
      </w:r>
      <w:r>
        <w:rPr>
          <w:rFonts w:ascii="Times New Roman" w:hAnsi="Times New Roman" w:cs="Times New Roman"/>
          <w:b w:val="0"/>
          <w:i w:val="0"/>
          <w:sz w:val="24"/>
        </w:rPr>
        <w:t xml:space="preserve"> didefinisikan sebagai kas literal di tangan atau simpanan yang dapat ditarik sewaktu-waktu, ditambah </w:t>
      </w:r>
      <w:r>
        <w:rPr>
          <w:rFonts w:ascii="Times New Roman" w:hAnsi="Times New Roman" w:cs="Times New Roman"/>
          <w:b/>
          <w:i w:val="0"/>
          <w:sz w:val="24"/>
        </w:rPr>
        <w:t>setara kas</w:t>
      </w:r>
      <w:r>
        <w:rPr>
          <w:rFonts w:ascii="Times New Roman" w:hAnsi="Times New Roman" w:cs="Times New Roman"/>
          <w:b w:val="0"/>
          <w:i w:val="0"/>
          <w:sz w:val="24"/>
        </w:rPr>
        <w:t xml:space="preserve"> (</w:t>
      </w:r>
      <w:r>
        <w:rPr>
          <w:rFonts w:ascii="Times New Roman" w:hAnsi="Times New Roman" w:cs="Times New Roman"/>
          <w:b w:val="0"/>
          <w:i/>
          <w:sz w:val="24"/>
        </w:rPr>
        <w:t>cash equivalents</w:t>
      </w:r>
      <w:r>
        <w:rPr>
          <w:rFonts w:ascii="Times New Roman" w:hAnsi="Times New Roman" w:cs="Times New Roman"/>
          <w:b w:val="0"/>
          <w:i w:val="0"/>
          <w:sz w:val="24"/>
        </w:rPr>
        <w:t xml:space="preserve">) — yakni investasi jangka pendek yang sangat likuid yang dapat dikonversi menjadi kas dalam jumlah yang diketahui. Sebagaimana APB Opinion No. 19, SCF mensyaratkan seluruh transaksi investasi dan pendanaan </w:t>
      </w:r>
      <w:r>
        <w:rPr>
          <w:rFonts w:ascii="Times New Roman" w:hAnsi="Times New Roman" w:cs="Times New Roman"/>
          <w:b/>
          <w:i w:val="0"/>
          <w:sz w:val="24"/>
        </w:rPr>
        <w:t>nonkas</w:t>
      </w:r>
      <w:r>
        <w:rPr>
          <w:rFonts w:ascii="Times New Roman" w:hAnsi="Times New Roman" w:cs="Times New Roman"/>
          <w:b w:val="0"/>
          <w:i w:val="0"/>
          <w:sz w:val="24"/>
        </w:rPr>
        <w:t xml:space="preserve"> dilaporkan sebagai pelengkap dalam suatu skedul atau narasi — penerapan konsep </w:t>
      </w:r>
      <w:r>
        <w:rPr>
          <w:rFonts w:ascii="Times New Roman" w:hAnsi="Times New Roman" w:cs="Times New Roman"/>
          <w:b w:val="0"/>
          <w:i/>
          <w:sz w:val="24"/>
        </w:rPr>
        <w:t>all-inclusive / all-resources</w:t>
      </w:r>
      <w:r>
        <w:rPr>
          <w:rFonts w:ascii="Times New Roman" w:hAnsi="Times New Roman" w:cs="Times New Roman"/>
          <w:b w:val="0"/>
          <w:i w:val="0"/>
          <w:sz w:val="24"/>
        </w:rPr>
        <w:t xml:space="preserve"> — yang menjamin seluruh debit dan kredit transaksi terakomodasi (Wolk et al., 2017, PDF hlm. 7).</w:t>
      </w:r>
    </w:p>
    <w:p>
      <w:pPr>
        <w:spacing w:lineRule="exact" w:line="360" w:before="0" w:after="120"/>
        <w:jc w:val="both"/>
      </w:pPr>
      <w:r>
        <w:rPr>
          <w:rFonts w:ascii="Times New Roman" w:hAnsi="Times New Roman" w:cs="Times New Roman"/>
          <w:b w:val="0"/>
          <w:i w:val="0"/>
          <w:sz w:val="24"/>
        </w:rPr>
        <w:t xml:space="preserve">Pemilahan arus kas ke dalam tiga aktivitas ini memberikan konsistensi klasifikasi dan komparabilitas yang lebih besar dibanding SCFP. Namun trikotomi tersebut tidak sepenuhnya bulat. </w:t>
      </w:r>
      <w:r>
        <w:rPr>
          <w:rFonts w:ascii="Times New Roman" w:hAnsi="Times New Roman" w:cs="Times New Roman"/>
          <w:b/>
          <w:i w:val="0"/>
          <w:sz w:val="24"/>
        </w:rPr>
        <w:t>Tiga dari tujuh anggota FASB menyatakan dissent</w:t>
      </w:r>
      <w:r>
        <w:rPr>
          <w:rFonts w:ascii="Times New Roman" w:hAnsi="Times New Roman" w:cs="Times New Roman"/>
          <w:b w:val="0"/>
          <w:i w:val="0"/>
          <w:sz w:val="24"/>
        </w:rPr>
        <w:t xml:space="preserve">: mereka berpendapat bahwa bunga dan dividen yang </w:t>
      </w:r>
      <w:r>
        <w:rPr>
          <w:rFonts w:ascii="Times New Roman" w:hAnsi="Times New Roman" w:cs="Times New Roman"/>
          <w:b w:val="0"/>
          <w:i/>
          <w:sz w:val="24"/>
        </w:rPr>
        <w:t>diterima</w:t>
      </w:r>
      <w:r>
        <w:rPr>
          <w:rFonts w:ascii="Times New Roman" w:hAnsi="Times New Roman" w:cs="Times New Roman"/>
          <w:b w:val="0"/>
          <w:i w:val="0"/>
          <w:sz w:val="24"/>
        </w:rPr>
        <w:t xml:space="preserve"> sesungguhnya timbul dari aktivitas investasi (sesuai paragraf 22), dan </w:t>
      </w:r>
      <w:r>
        <w:rPr>
          <w:rFonts w:ascii="Times New Roman" w:hAnsi="Times New Roman" w:cs="Times New Roman"/>
          <w:b/>
          <w:i w:val="0"/>
          <w:sz w:val="24"/>
        </w:rPr>
        <w:t>bunga yang dibayar</w:t>
      </w:r>
      <w:r>
        <w:rPr>
          <w:rFonts w:ascii="Times New Roman" w:hAnsi="Times New Roman" w:cs="Times New Roman"/>
          <w:b w:val="0"/>
          <w:i w:val="0"/>
          <w:sz w:val="24"/>
        </w:rPr>
        <w:t xml:space="preserve"> merupakan elemen aktivitas pendanaan, bukan biaya operasi (sesuai paragraf 23 Statement 95). Pandangan ketiga anggota yang dissent ini sejalan dengan pemikiran kontemporer dalam disiplin keuangan, yang memperlakukan penerimaan bunga/dividen sebagai pengembalian atas investasi dan pembayaran bunga sebagai biaya pendanaan (Wolk et al., 2017, PDF hlm. 7). Ketidaksepakatan ini menjadi cikal bakal masalah klasifikasi yang akan dibahas pada bagian-bagian berikutnya.</w:t>
      </w:r>
    </w:p>
    <w:p>
      <w:pPr>
        <w:spacing w:before="120" w:after="120"/>
        <w:jc w:val="center"/>
      </w:pPr>
      <w:r>
        <w:drawing>
          <wp:inline xmlns:a="http://schemas.openxmlformats.org/drawingml/2006/main" xmlns:pic="http://schemas.openxmlformats.org/drawingml/2006/picture">
            <wp:extent cx="5220000" cy="2163680"/>
            <wp:docPr id="2" name="Picture 2"/>
            <wp:cNvGraphicFramePr>
              <a:graphicFrameLocks noChangeAspect="1"/>
            </wp:cNvGraphicFramePr>
            <a:graphic>
              <a:graphicData uri="http://schemas.openxmlformats.org/drawingml/2006/picture">
                <pic:pic>
                  <pic:nvPicPr>
                    <pic:cNvPr id="0" name="diagram-trichotomy.png"/>
                    <pic:cNvPicPr/>
                  </pic:nvPicPr>
                  <pic:blipFill>
                    <a:blip r:embed="rId10"/>
                    <a:stretch>
                      <a:fillRect/>
                    </a:stretch>
                  </pic:blipFill>
                  <pic:spPr>
                    <a:xfrm>
                      <a:off x="0" y="0"/>
                      <a:ext cx="5220000" cy="2163680"/>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2. </w:t>
      </w:r>
      <w:r>
        <w:rPr>
          <w:rFonts w:ascii="Times New Roman" w:hAnsi="Times New Roman" w:cs="Times New Roman"/>
          <w:b w:val="0"/>
          <w:i w:val="0"/>
          <w:sz w:val="22"/>
        </w:rPr>
        <w:t>Trikotomi aktivitas SFAS No. 95 dan pos-pos yang diperdebatkan</w:t>
      </w:r>
    </w:p>
    <w:p>
      <w:pPr>
        <w:spacing w:lineRule="exact" w:line="360" w:before="0" w:after="240"/>
        <w:jc w:val="center"/>
      </w:pPr>
      <w:r>
        <w:rPr>
          <w:rFonts w:ascii="Times New Roman" w:hAnsi="Times New Roman" w:cs="Times New Roman"/>
          <w:b w:val="0"/>
          <w:i/>
          <w:sz w:val="22"/>
        </w:rPr>
        <w:t>Sumber: diolah dari Wolk, Dodd &amp; Rozycki (2017), PDF hlm. 7</w:t>
      </w:r>
    </w:p>
    <w:p>
      <w:pPr>
        <w:spacing w:lineRule="exact" w:line="360" w:before="240" w:after="120"/>
        <w:jc w:val="left"/>
      </w:pPr>
      <w:r>
        <w:rPr>
          <w:rFonts w:ascii="Times New Roman" w:hAnsi="Times New Roman" w:cs="Times New Roman"/>
          <w:b/>
          <w:i w:val="0"/>
          <w:sz w:val="26"/>
        </w:rPr>
        <w:t>V. Metode Langsung versus Tidak Langsung</w:t>
      </w:r>
    </w:p>
    <w:p>
      <w:pPr>
        <w:spacing w:lineRule="exact" w:line="360" w:before="0" w:after="120"/>
        <w:jc w:val="both"/>
      </w:pPr>
      <w:r>
        <w:rPr>
          <w:rFonts w:ascii="Times New Roman" w:hAnsi="Times New Roman" w:cs="Times New Roman"/>
          <w:b/>
          <w:i w:val="0"/>
          <w:sz w:val="24"/>
        </w:rPr>
        <w:t>SFAS No. 95</w:t>
      </w:r>
      <w:r>
        <w:rPr>
          <w:rFonts w:ascii="Times New Roman" w:hAnsi="Times New Roman" w:cs="Times New Roman"/>
          <w:b w:val="0"/>
          <w:i w:val="0"/>
          <w:sz w:val="24"/>
        </w:rPr>
        <w:t xml:space="preserve"> mengizinkan penyajian arus kas operasi melalui salah satu dari dua metode: </w:t>
      </w:r>
      <w:r>
        <w:rPr>
          <w:rFonts w:ascii="Times New Roman" w:hAnsi="Times New Roman" w:cs="Times New Roman"/>
          <w:b w:val="0"/>
          <w:i/>
          <w:sz w:val="24"/>
        </w:rPr>
        <w:t>metode langsung</w:t>
      </w:r>
      <w:r>
        <w:rPr>
          <w:rFonts w:ascii="Times New Roman" w:hAnsi="Times New Roman" w:cs="Times New Roman"/>
          <w:b w:val="0"/>
          <w:i w:val="0"/>
          <w:sz w:val="24"/>
        </w:rPr>
        <w:t xml:space="preserve"> (</w:t>
      </w:r>
      <w:r>
        <w:rPr>
          <w:rFonts w:ascii="Times New Roman" w:hAnsi="Times New Roman" w:cs="Times New Roman"/>
          <w:b w:val="0"/>
          <w:i/>
          <w:sz w:val="24"/>
        </w:rPr>
        <w:t>direct method</w:t>
      </w:r>
      <w:r>
        <w:rPr>
          <w:rFonts w:ascii="Times New Roman" w:hAnsi="Times New Roman" w:cs="Times New Roman"/>
          <w:b w:val="0"/>
          <w:i w:val="0"/>
          <w:sz w:val="24"/>
        </w:rPr>
        <w:t xml:space="preserve">) atau </w:t>
      </w:r>
      <w:r>
        <w:rPr>
          <w:rFonts w:ascii="Times New Roman" w:hAnsi="Times New Roman" w:cs="Times New Roman"/>
          <w:b w:val="0"/>
          <w:i/>
          <w:sz w:val="24"/>
        </w:rPr>
        <w:t>metode tidak langsung</w:t>
      </w:r>
      <w:r>
        <w:rPr>
          <w:rFonts w:ascii="Times New Roman" w:hAnsi="Times New Roman" w:cs="Times New Roman"/>
          <w:b w:val="0"/>
          <w:i w:val="0"/>
          <w:sz w:val="24"/>
        </w:rPr>
        <w:t xml:space="preserve"> (</w:t>
      </w:r>
      <w:r>
        <w:rPr>
          <w:rFonts w:ascii="Times New Roman" w:hAnsi="Times New Roman" w:cs="Times New Roman"/>
          <w:b w:val="0"/>
          <w:i/>
          <w:sz w:val="24"/>
        </w:rPr>
        <w:t>indirect method</w:t>
      </w:r>
      <w:r>
        <w:rPr>
          <w:rFonts w:ascii="Times New Roman" w:hAnsi="Times New Roman" w:cs="Times New Roman"/>
          <w:b w:val="0"/>
          <w:i w:val="0"/>
          <w:sz w:val="24"/>
        </w:rPr>
        <w:t xml:space="preserve">). </w:t>
      </w:r>
      <w:r>
        <w:rPr>
          <w:rFonts w:ascii="Times New Roman" w:hAnsi="Times New Roman" w:cs="Times New Roman"/>
          <w:b w:val="0"/>
          <w:i/>
          <w:sz w:val="24"/>
        </w:rPr>
        <w:t>Metode langsung</w:t>
      </w:r>
      <w:r>
        <w:rPr>
          <w:rFonts w:ascii="Times New Roman" w:hAnsi="Times New Roman" w:cs="Times New Roman"/>
          <w:b w:val="0"/>
          <w:i w:val="0"/>
          <w:sz w:val="24"/>
        </w:rPr>
        <w:t xml:space="preserve"> melaporkan arus kas literal yang berkaitan dengan klasifikasi laporan laba rugi (pendapatan, biaya pokok penjualan, dan sebagainya); ia menyajikan lebih banyak informasi, dan FASB lebih menyukainya. </w:t>
      </w:r>
      <w:r>
        <w:rPr>
          <w:rFonts w:ascii="Times New Roman" w:hAnsi="Times New Roman" w:cs="Times New Roman"/>
          <w:b w:val="0"/>
          <w:i/>
          <w:sz w:val="24"/>
        </w:rPr>
        <w:t>Metode tidak langsung</w:t>
      </w:r>
      <w:r>
        <w:rPr>
          <w:rFonts w:ascii="Times New Roman" w:hAnsi="Times New Roman" w:cs="Times New Roman"/>
          <w:b w:val="0"/>
          <w:i w:val="0"/>
          <w:sz w:val="24"/>
        </w:rPr>
        <w:t xml:space="preserve"> — atau metode rekonsiliasi — bermula dari laba berbasis akrual dan kemudian menyesuaikannya untuk pos-pos nonkas terkait. FASB mengakui bahwa </w:t>
      </w:r>
      <w:r>
        <w:rPr>
          <w:rFonts w:ascii="Times New Roman" w:hAnsi="Times New Roman" w:cs="Times New Roman"/>
          <w:b w:val="0"/>
          <w:i/>
          <w:sz w:val="24"/>
        </w:rPr>
        <w:t>metode langsung</w:t>
      </w:r>
      <w:r>
        <w:rPr>
          <w:rFonts w:ascii="Times New Roman" w:hAnsi="Times New Roman" w:cs="Times New Roman"/>
          <w:b w:val="0"/>
          <w:i w:val="0"/>
          <w:sz w:val="24"/>
        </w:rPr>
        <w:t xml:space="preserve"> dapat </w:t>
      </w:r>
      <w:r>
        <w:rPr>
          <w:rFonts w:ascii="Times New Roman" w:hAnsi="Times New Roman" w:cs="Times New Roman"/>
          <w:b/>
          <w:i w:val="0"/>
          <w:sz w:val="24"/>
        </w:rPr>
        <w:t>lebih mahal</w:t>
      </w:r>
      <w:r>
        <w:rPr>
          <w:rFonts w:ascii="Times New Roman" w:hAnsi="Times New Roman" w:cs="Times New Roman"/>
          <w:b w:val="0"/>
          <w:i w:val="0"/>
          <w:sz w:val="24"/>
        </w:rPr>
        <w:t xml:space="preserve">, sebab tidak semua perusahaan mengorganisasi catatannya untuk menghasilkan data tersebut. Satu hal yang tidak disebut FASB tetapi terjadi dalam praktik adalah keberadaan </w:t>
      </w:r>
      <w:r>
        <w:rPr>
          <w:rFonts w:ascii="Times New Roman" w:hAnsi="Times New Roman" w:cs="Times New Roman"/>
          <w:b/>
          <w:i w:val="0"/>
          <w:sz w:val="24"/>
        </w:rPr>
        <w:t>angka plug</w:t>
      </w:r>
      <w:r>
        <w:rPr>
          <w:rFonts w:ascii="Times New Roman" w:hAnsi="Times New Roman" w:cs="Times New Roman"/>
          <w:b w:val="0"/>
          <w:i w:val="0"/>
          <w:sz w:val="24"/>
        </w:rPr>
        <w:t xml:space="preserve"> (</w:t>
      </w:r>
      <w:r>
        <w:rPr>
          <w:rFonts w:ascii="Times New Roman" w:hAnsi="Times New Roman" w:cs="Times New Roman"/>
          <w:b w:val="0"/>
          <w:i/>
          <w:sz w:val="24"/>
        </w:rPr>
        <w:t>plug number</w:t>
      </w:r>
      <w:r>
        <w:rPr>
          <w:rFonts w:ascii="Times New Roman" w:hAnsi="Times New Roman" w:cs="Times New Roman"/>
          <w:b w:val="0"/>
          <w:i w:val="0"/>
          <w:sz w:val="24"/>
        </w:rPr>
        <w:t xml:space="preserve">) di suatu tempat dalam SCF, yang dipakai untuk menyeimbangkan angka ketika </w:t>
      </w:r>
      <w:r>
        <w:rPr>
          <w:rFonts w:ascii="Times New Roman" w:hAnsi="Times New Roman" w:cs="Times New Roman"/>
          <w:b w:val="0"/>
          <w:i/>
          <w:sz w:val="24"/>
        </w:rPr>
        <w:t>metode tidak langsung</w:t>
      </w:r>
      <w:r>
        <w:rPr>
          <w:rFonts w:ascii="Times New Roman" w:hAnsi="Times New Roman" w:cs="Times New Roman"/>
          <w:b w:val="0"/>
          <w:i w:val="0"/>
          <w:sz w:val="24"/>
        </w:rPr>
        <w:t xml:space="preserve"> digunakan (Wolk et al., 2017, PDF hlm. 7).</w:t>
      </w:r>
    </w:p>
    <w:p>
      <w:pPr>
        <w:spacing w:lineRule="exact" w:line="360" w:before="0" w:after="120"/>
        <w:jc w:val="both"/>
      </w:pPr>
      <w:r>
        <w:rPr>
          <w:rFonts w:ascii="Times New Roman" w:hAnsi="Times New Roman" w:cs="Times New Roman"/>
          <w:b w:val="0"/>
          <w:i w:val="0"/>
          <w:sz w:val="24"/>
        </w:rPr>
        <w:t xml:space="preserve">Mekanika kedua metode dapat ditelusuri melalui ilustrasi Company M (tahun berakhir 31 Desember 2000). </w:t>
      </w:r>
      <w:r>
        <w:rPr>
          <w:rFonts w:ascii="Times New Roman" w:hAnsi="Times New Roman" w:cs="Times New Roman"/>
          <w:b/>
          <w:i w:val="0"/>
          <w:sz w:val="24"/>
        </w:rPr>
        <w:t>Exhibit 13.2</w:t>
      </w:r>
      <w:r>
        <w:rPr>
          <w:rFonts w:ascii="Times New Roman" w:hAnsi="Times New Roman" w:cs="Times New Roman"/>
          <w:b w:val="0"/>
          <w:i w:val="0"/>
          <w:sz w:val="24"/>
        </w:rPr>
        <w:t xml:space="preserve"> menyajikan SCF </w:t>
      </w:r>
      <w:r>
        <w:rPr>
          <w:rFonts w:ascii="Times New Roman" w:hAnsi="Times New Roman" w:cs="Times New Roman"/>
          <w:b w:val="0"/>
          <w:i/>
          <w:sz w:val="24"/>
        </w:rPr>
        <w:t>metode langsung</w:t>
      </w:r>
      <w:r>
        <w:rPr>
          <w:rFonts w:ascii="Times New Roman" w:hAnsi="Times New Roman" w:cs="Times New Roman"/>
          <w:b w:val="0"/>
          <w:i w:val="0"/>
          <w:sz w:val="24"/>
        </w:rPr>
        <w:t xml:space="preserve">: bagian operasi memuat kas diterima dari pelanggan, kas dibayar kepada pemasok dan karyawan, bunga diterima dan dibayar, pajak penghasilan dibayar, hingga menghasilkan </w:t>
      </w:r>
      <w:r>
        <w:rPr>
          <w:rFonts w:ascii="Times New Roman" w:hAnsi="Times New Roman" w:cs="Times New Roman"/>
          <w:b/>
          <w:i w:val="0"/>
          <w:sz w:val="24"/>
        </w:rPr>
        <w:t>kas bersih dari aktivitas operasi sebesar $1.365</w:t>
      </w:r>
      <w:r>
        <w:rPr>
          <w:rFonts w:ascii="Times New Roman" w:hAnsi="Times New Roman" w:cs="Times New Roman"/>
          <w:b w:val="0"/>
          <w:i w:val="0"/>
          <w:sz w:val="24"/>
        </w:rPr>
        <w:t xml:space="preserve">. Bagian investasi — mencakup hasil penjualan fasilitas, belanja modal, dan pembayaran akuisisi Company S — menghasilkan </w:t>
      </w:r>
      <w:r>
        <w:rPr>
          <w:rFonts w:ascii="Times New Roman" w:hAnsi="Times New Roman" w:cs="Times New Roman"/>
          <w:b/>
          <w:i w:val="0"/>
          <w:sz w:val="24"/>
        </w:rPr>
        <w:t>kas bersih digunakan untuk investasi sebesar $(1.175)</w:t>
      </w:r>
      <w:r>
        <w:rPr>
          <w:rFonts w:ascii="Times New Roman" w:hAnsi="Times New Roman" w:cs="Times New Roman"/>
          <w:b w:val="0"/>
          <w:i w:val="0"/>
          <w:sz w:val="24"/>
        </w:rPr>
        <w:t xml:space="preserve">, sedangkan bagian pendanaan menghasilkan </w:t>
      </w:r>
      <w:r>
        <w:rPr>
          <w:rFonts w:ascii="Times New Roman" w:hAnsi="Times New Roman" w:cs="Times New Roman"/>
          <w:b/>
          <w:i w:val="0"/>
          <w:sz w:val="24"/>
        </w:rPr>
        <w:t>kas bersih dari pendanaan sebesar $875</w:t>
      </w:r>
      <w:r>
        <w:rPr>
          <w:rFonts w:ascii="Times New Roman" w:hAnsi="Times New Roman" w:cs="Times New Roman"/>
          <w:b w:val="0"/>
          <w:i w:val="0"/>
          <w:sz w:val="24"/>
        </w:rPr>
        <w:t xml:space="preserve">. Hasilnya adalah </w:t>
      </w:r>
      <w:r>
        <w:rPr>
          <w:rFonts w:ascii="Times New Roman" w:hAnsi="Times New Roman" w:cs="Times New Roman"/>
          <w:b/>
          <w:i w:val="0"/>
          <w:sz w:val="24"/>
        </w:rPr>
        <w:t>kenaikan bersih kas dan setara kas sebesar $1.065</w:t>
      </w:r>
      <w:r>
        <w:rPr>
          <w:rFonts w:ascii="Times New Roman" w:hAnsi="Times New Roman" w:cs="Times New Roman"/>
          <w:b w:val="0"/>
          <w:i w:val="0"/>
          <w:sz w:val="24"/>
        </w:rPr>
        <w:t xml:space="preserve">, sehingga dari saldo awal $600, </w:t>
      </w:r>
      <w:r>
        <w:rPr>
          <w:rFonts w:ascii="Times New Roman" w:hAnsi="Times New Roman" w:cs="Times New Roman"/>
          <w:b/>
          <w:i w:val="0"/>
          <w:sz w:val="24"/>
        </w:rPr>
        <w:t>kas akhir tahun menjadi $1.665</w:t>
      </w:r>
      <w:r>
        <w:rPr>
          <w:rFonts w:ascii="Times New Roman" w:hAnsi="Times New Roman" w:cs="Times New Roman"/>
          <w:b w:val="0"/>
          <w:i w:val="0"/>
          <w:sz w:val="24"/>
        </w:rPr>
        <w:t xml:space="preserve"> (Wolk et al., 2017, PDF hlm. 7–8). </w:t>
      </w:r>
      <w:r>
        <w:rPr>
          <w:rFonts w:ascii="Times New Roman" w:hAnsi="Times New Roman" w:cs="Times New Roman"/>
          <w:b/>
          <w:i w:val="0"/>
          <w:sz w:val="24"/>
        </w:rPr>
        <w:t>Exhibit 13.3</w:t>
      </w:r>
      <w:r>
        <w:rPr>
          <w:rFonts w:ascii="Times New Roman" w:hAnsi="Times New Roman" w:cs="Times New Roman"/>
          <w:b w:val="0"/>
          <w:i w:val="0"/>
          <w:sz w:val="24"/>
        </w:rPr>
        <w:t xml:space="preserve"> menyajikan bagian operasi yang sama melalui </w:t>
      </w:r>
      <w:r>
        <w:rPr>
          <w:rFonts w:ascii="Times New Roman" w:hAnsi="Times New Roman" w:cs="Times New Roman"/>
          <w:b w:val="0"/>
          <w:i/>
          <w:sz w:val="24"/>
        </w:rPr>
        <w:t>metode tidak langsung</w:t>
      </w:r>
      <w:r>
        <w:rPr>
          <w:rFonts w:ascii="Times New Roman" w:hAnsi="Times New Roman" w:cs="Times New Roman"/>
          <w:b w:val="0"/>
          <w:i w:val="0"/>
          <w:sz w:val="24"/>
        </w:rPr>
        <w:t xml:space="preserve">: dimulai dari laba bersih, lalu disesuaikan dengan penyusutan dan amortisasi $445, provisi kerugian piutang $200, keuntungan penjualan fasilitas $(80), serta serangkaian perubahan modal kerja, hingga menghasilkan </w:t>
      </w:r>
      <w:r>
        <w:rPr>
          <w:rFonts w:ascii="Times New Roman" w:hAnsi="Times New Roman" w:cs="Times New Roman"/>
          <w:b/>
          <w:i w:val="0"/>
          <w:sz w:val="24"/>
        </w:rPr>
        <w:t>total penyesuaian $605</w:t>
      </w:r>
      <w:r>
        <w:rPr>
          <w:rFonts w:ascii="Times New Roman" w:hAnsi="Times New Roman" w:cs="Times New Roman"/>
          <w:b w:val="0"/>
          <w:i w:val="0"/>
          <w:sz w:val="24"/>
        </w:rPr>
        <w:t xml:space="preserve"> yang mengantarkan pada </w:t>
      </w:r>
      <w:r>
        <w:rPr>
          <w:rFonts w:ascii="Times New Roman" w:hAnsi="Times New Roman" w:cs="Times New Roman"/>
          <w:b/>
          <w:i w:val="0"/>
          <w:sz w:val="24"/>
        </w:rPr>
        <w:t>kas bersih dari aktivitas operasi sebesar $1.365</w:t>
      </w:r>
      <w:r>
        <w:rPr>
          <w:rFonts w:ascii="Times New Roman" w:hAnsi="Times New Roman" w:cs="Times New Roman"/>
          <w:b w:val="0"/>
          <w:i w:val="0"/>
          <w:sz w:val="24"/>
        </w:rPr>
        <w:t xml:space="preserve"> — angka yang identik dengan hasil </w:t>
      </w:r>
      <w:r>
        <w:rPr>
          <w:rFonts w:ascii="Times New Roman" w:hAnsi="Times New Roman" w:cs="Times New Roman"/>
          <w:b w:val="0"/>
          <w:i/>
          <w:sz w:val="24"/>
        </w:rPr>
        <w:t>metode langsung</w:t>
      </w:r>
      <w:r>
        <w:rPr>
          <w:rFonts w:ascii="Times New Roman" w:hAnsi="Times New Roman" w:cs="Times New Roman"/>
          <w:b w:val="0"/>
          <w:i w:val="0"/>
          <w:sz w:val="24"/>
        </w:rPr>
        <w:t xml:space="preserve"> (Wolk et al., 2017, PDF hlm. 8–9). Inilah inti perbedaan keduanya: keduanya menghasilkan angka kas bersih dari operasi yang sama, tetapi berbeda dalam informasi yang ditempuh untuk mencapainya — (a) angka arus kas untuk penjualan, COGS, dan sebagainya, versus (b) rekonsiliasi yang menyesuaikan laba akrual menjadi padanan arus kasnya (Wolk et al., 2017, PDF hlm. 9).</w:t>
      </w:r>
    </w:p>
    <w:p>
      <w:pPr>
        <w:spacing w:before="120" w:after="120"/>
        <w:jc w:val="center"/>
      </w:pPr>
      <w:r>
        <w:drawing>
          <wp:inline xmlns:a="http://schemas.openxmlformats.org/drawingml/2006/main" xmlns:pic="http://schemas.openxmlformats.org/drawingml/2006/picture">
            <wp:extent cx="5220000" cy="6260507"/>
            <wp:docPr id="3" name="Picture 3"/>
            <wp:cNvGraphicFramePr>
              <a:graphicFrameLocks noChangeAspect="1"/>
            </wp:cNvGraphicFramePr>
            <a:graphic>
              <a:graphicData uri="http://schemas.openxmlformats.org/drawingml/2006/picture">
                <pic:pic>
                  <pic:nvPicPr>
                    <pic:cNvPr id="0" name="exhibit-13-2.png"/>
                    <pic:cNvPicPr/>
                  </pic:nvPicPr>
                  <pic:blipFill>
                    <a:blip r:embed="rId11"/>
                    <a:stretch>
                      <a:fillRect/>
                    </a:stretch>
                  </pic:blipFill>
                  <pic:spPr>
                    <a:xfrm>
                      <a:off x="0" y="0"/>
                      <a:ext cx="5220000" cy="6260507"/>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3. </w:t>
      </w:r>
      <w:r>
        <w:rPr>
          <w:rFonts w:ascii="Times New Roman" w:hAnsi="Times New Roman" w:cs="Times New Roman"/>
          <w:b w:val="0"/>
          <w:i w:val="0"/>
          <w:sz w:val="22"/>
        </w:rPr>
        <w:t>SCF metode langsung — Company M (Exhibit 13.2)</w:t>
      </w:r>
    </w:p>
    <w:p>
      <w:pPr>
        <w:spacing w:lineRule="exact" w:line="360" w:before="0" w:after="240"/>
        <w:jc w:val="center"/>
      </w:pPr>
      <w:r>
        <w:rPr>
          <w:rFonts w:ascii="Times New Roman" w:hAnsi="Times New Roman" w:cs="Times New Roman"/>
          <w:b w:val="0"/>
          <w:i/>
          <w:sz w:val="22"/>
        </w:rPr>
        <w:t>Sumber: Wolk, Dodd &amp; Rozycki (2017), Exhibit 13.2, PDF hlm. 7–8</w:t>
      </w:r>
    </w:p>
    <w:p>
      <w:pPr>
        <w:spacing w:before="120" w:after="120"/>
        <w:jc w:val="center"/>
      </w:pPr>
      <w:r>
        <w:drawing>
          <wp:inline xmlns:a="http://schemas.openxmlformats.org/drawingml/2006/main" xmlns:pic="http://schemas.openxmlformats.org/drawingml/2006/picture">
            <wp:extent cx="5220000" cy="5491979"/>
            <wp:docPr id="4" name="Picture 4"/>
            <wp:cNvGraphicFramePr>
              <a:graphicFrameLocks noChangeAspect="1"/>
            </wp:cNvGraphicFramePr>
            <a:graphic>
              <a:graphicData uri="http://schemas.openxmlformats.org/drawingml/2006/picture">
                <pic:pic>
                  <pic:nvPicPr>
                    <pic:cNvPr id="0" name="exhibit-13-3.png"/>
                    <pic:cNvPicPr/>
                  </pic:nvPicPr>
                  <pic:blipFill>
                    <a:blip r:embed="rId12"/>
                    <a:stretch>
                      <a:fillRect/>
                    </a:stretch>
                  </pic:blipFill>
                  <pic:spPr>
                    <a:xfrm>
                      <a:off x="0" y="0"/>
                      <a:ext cx="5220000" cy="5491979"/>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4. </w:t>
      </w:r>
      <w:r>
        <w:rPr>
          <w:rFonts w:ascii="Times New Roman" w:hAnsi="Times New Roman" w:cs="Times New Roman"/>
          <w:b w:val="0"/>
          <w:i w:val="0"/>
          <w:sz w:val="22"/>
        </w:rPr>
        <w:t>Rekonsiliasi metode tidak langsung — Company M (Exhibit 13.3)</w:t>
      </w:r>
    </w:p>
    <w:p>
      <w:pPr>
        <w:spacing w:lineRule="exact" w:line="360" w:before="0" w:after="240"/>
        <w:jc w:val="center"/>
      </w:pPr>
      <w:r>
        <w:rPr>
          <w:rFonts w:ascii="Times New Roman" w:hAnsi="Times New Roman" w:cs="Times New Roman"/>
          <w:b w:val="0"/>
          <w:i/>
          <w:sz w:val="22"/>
        </w:rPr>
        <w:t>Sumber: Wolk, Dodd &amp; Rozycki (2017), Exhibit 13.3, PDF hlm. 8</w:t>
      </w:r>
    </w:p>
    <w:p>
      <w:pPr>
        <w:spacing w:lineRule="exact" w:line="360" w:before="0" w:after="120"/>
        <w:jc w:val="both"/>
      </w:pPr>
      <w:r>
        <w:rPr>
          <w:rFonts w:ascii="Times New Roman" w:hAnsi="Times New Roman" w:cs="Times New Roman"/>
          <w:b w:val="0"/>
          <w:i w:val="0"/>
          <w:sz w:val="24"/>
        </w:rPr>
        <w:t xml:space="preserve">Apabila </w:t>
      </w:r>
      <w:r>
        <w:rPr>
          <w:rFonts w:ascii="Times New Roman" w:hAnsi="Times New Roman" w:cs="Times New Roman"/>
          <w:b w:val="0"/>
          <w:i/>
          <w:sz w:val="24"/>
        </w:rPr>
        <w:t>metode langsung</w:t>
      </w:r>
      <w:r>
        <w:rPr>
          <w:rFonts w:ascii="Times New Roman" w:hAnsi="Times New Roman" w:cs="Times New Roman"/>
          <w:b w:val="0"/>
          <w:i w:val="0"/>
          <w:sz w:val="24"/>
        </w:rPr>
        <w:t xml:space="preserve"> digunakan, sebuah skedul terpisah harus merekonsiliasi kas bersih operasi dengan laba bersih (Exhibit 13.3) — sehingga rekonsiliasi </w:t>
      </w:r>
      <w:r>
        <w:rPr>
          <w:rFonts w:ascii="Times New Roman" w:hAnsi="Times New Roman" w:cs="Times New Roman"/>
          <w:b w:val="0"/>
          <w:i/>
          <w:sz w:val="24"/>
        </w:rPr>
        <w:t>metode tidak langsung</w:t>
      </w:r>
      <w:r>
        <w:rPr>
          <w:rFonts w:ascii="Times New Roman" w:hAnsi="Times New Roman" w:cs="Times New Roman"/>
          <w:b w:val="0"/>
          <w:i w:val="0"/>
          <w:sz w:val="24"/>
        </w:rPr>
        <w:t xml:space="preserve"> pada hakikatnya selalu hadir, entah berdiri sendiri atau sebagai pelengkap </w:t>
      </w:r>
      <w:r>
        <w:rPr>
          <w:rFonts w:ascii="Times New Roman" w:hAnsi="Times New Roman" w:cs="Times New Roman"/>
          <w:b w:val="0"/>
          <w:i/>
          <w:sz w:val="24"/>
        </w:rPr>
        <w:t>metode langsung</w:t>
      </w:r>
      <w:r>
        <w:rPr>
          <w:rFonts w:ascii="Times New Roman" w:hAnsi="Times New Roman" w:cs="Times New Roman"/>
          <w:b w:val="0"/>
          <w:i w:val="0"/>
          <w:sz w:val="24"/>
        </w:rPr>
        <w:t xml:space="preserve">. Exhibit 13.3 sekaligus menampilkan skedul pelengkap atas aktivitas investasi dan pendanaan nonkas yang disyaratkan, baik metode langsung maupun tidak langsung yang dipakai sebagai metode utama (Wolk et al., 2017, PDF hlm. 7). Beberapa anggota FASB meyakini bahwa mengizinkan </w:t>
      </w:r>
      <w:r>
        <w:rPr>
          <w:rFonts w:ascii="Times New Roman" w:hAnsi="Times New Roman" w:cs="Times New Roman"/>
          <w:b w:val="0"/>
          <w:i/>
          <w:sz w:val="24"/>
        </w:rPr>
        <w:t>metode tidak langsung</w:t>
      </w:r>
      <w:r>
        <w:rPr>
          <w:rFonts w:ascii="Times New Roman" w:hAnsi="Times New Roman" w:cs="Times New Roman"/>
          <w:b w:val="0"/>
          <w:i w:val="0"/>
          <w:sz w:val="24"/>
        </w:rPr>
        <w:t xml:space="preserve"> </w:t>
      </w:r>
      <w:r>
        <w:rPr>
          <w:rFonts w:ascii="Times New Roman" w:hAnsi="Times New Roman" w:cs="Times New Roman"/>
          <w:b/>
          <w:i w:val="0"/>
          <w:sz w:val="24"/>
        </w:rPr>
        <w:t>menghambat pemahaman pengguna dan menurunkan kualitas pelaporan keuangan</w:t>
      </w:r>
      <w:r>
        <w:rPr>
          <w:rFonts w:ascii="Times New Roman" w:hAnsi="Times New Roman" w:cs="Times New Roman"/>
          <w:b w:val="0"/>
          <w:i w:val="0"/>
          <w:sz w:val="24"/>
        </w:rPr>
        <w:t xml:space="preserve"> (Wolk et al., 2017, PDF hlm. 7).</w:t>
      </w:r>
    </w:p>
    <w:p>
      <w:pPr>
        <w:spacing w:lineRule="exact" w:line="360" w:before="0" w:after="120"/>
        <w:jc w:val="both"/>
      </w:pPr>
      <w:r>
        <w:rPr>
          <w:rFonts w:ascii="Times New Roman" w:hAnsi="Times New Roman" w:cs="Times New Roman"/>
          <w:b w:val="0"/>
          <w:i w:val="0"/>
          <w:sz w:val="24"/>
        </w:rPr>
        <w:t xml:space="preserve">Meskipun demikian, kenyataannya </w:t>
      </w:r>
      <w:r>
        <w:rPr>
          <w:rFonts w:ascii="Times New Roman" w:hAnsi="Times New Roman" w:cs="Times New Roman"/>
          <w:b/>
          <w:i w:val="0"/>
          <w:sz w:val="24"/>
        </w:rPr>
        <w:t>mayoritas besar perusahaan Amerika menggunakan</w:t>
      </w:r>
      <w:r>
        <w:rPr>
          <w:rFonts w:ascii="Times New Roman" w:hAnsi="Times New Roman" w:cs="Times New Roman"/>
          <w:b w:val="0"/>
          <w:i w:val="0"/>
          <w:sz w:val="24"/>
        </w:rPr>
        <w:t xml:space="preserve"> </w:t>
      </w:r>
      <w:r>
        <w:rPr>
          <w:rFonts w:ascii="Times New Roman" w:hAnsi="Times New Roman" w:cs="Times New Roman"/>
          <w:b w:val="0"/>
          <w:i/>
          <w:sz w:val="24"/>
        </w:rPr>
        <w:t>metode tidak langsung</w:t>
      </w:r>
      <w:r>
        <w:rPr>
          <w:rFonts w:ascii="Times New Roman" w:hAnsi="Times New Roman" w:cs="Times New Roman"/>
          <w:b w:val="0"/>
          <w:i w:val="0"/>
          <w:sz w:val="24"/>
        </w:rPr>
        <w:t xml:space="preserve">, dan penyusun laporan tampaknya dipengaruhi oleh isu biaya — preferensi yang kuat terhadap metode tidak langsung yang lebih murah untuk disiapkan (Wolk et al., 2017, PDF hlm. 9). Persoalannya, dengan demikian, adalah persoalan biaya versus manfaat: </w:t>
      </w:r>
      <w:r>
        <w:rPr>
          <w:rFonts w:ascii="Times New Roman" w:hAnsi="Times New Roman" w:cs="Times New Roman"/>
          <w:b w:val="0"/>
          <w:i/>
          <w:sz w:val="24"/>
        </w:rPr>
        <w:t>metode langsung</w:t>
      </w:r>
      <w:r>
        <w:rPr>
          <w:rFonts w:ascii="Times New Roman" w:hAnsi="Times New Roman" w:cs="Times New Roman"/>
          <w:b w:val="0"/>
          <w:i w:val="0"/>
          <w:sz w:val="24"/>
        </w:rPr>
        <w:t xml:space="preserve"> menghasilkan bagian operasi yang mudah dipahami tetapi sulit disusun, sedangkan </w:t>
      </w:r>
      <w:r>
        <w:rPr>
          <w:rFonts w:ascii="Times New Roman" w:hAnsi="Times New Roman" w:cs="Times New Roman"/>
          <w:b w:val="0"/>
          <w:i/>
          <w:sz w:val="24"/>
        </w:rPr>
        <w:t>metode tidak langsung</w:t>
      </w:r>
      <w:r>
        <w:rPr>
          <w:rFonts w:ascii="Times New Roman" w:hAnsi="Times New Roman" w:cs="Times New Roman"/>
          <w:b w:val="0"/>
          <w:i w:val="0"/>
          <w:sz w:val="24"/>
        </w:rPr>
        <w:t xml:space="preserve"> sebaliknya — mudah disusun tetapi lebih sulit dipahami (Wolk et al., 2017, PDF hlm. 9). Bukti empiris yang terbatas justru mengindikasikan bahwa </w:t>
      </w:r>
      <w:r>
        <w:rPr>
          <w:rFonts w:ascii="Times New Roman" w:hAnsi="Times New Roman" w:cs="Times New Roman"/>
          <w:b w:val="0"/>
          <w:i/>
          <w:sz w:val="24"/>
        </w:rPr>
        <w:t>metode langsung</w:t>
      </w:r>
      <w:r>
        <w:rPr>
          <w:rFonts w:ascii="Times New Roman" w:hAnsi="Times New Roman" w:cs="Times New Roman"/>
          <w:b w:val="0"/>
          <w:i w:val="0"/>
          <w:sz w:val="24"/>
        </w:rPr>
        <w:t xml:space="preserve"> lebih disukai, khususnya oleh pengguna eksternal. Studi </w:t>
      </w:r>
      <w:r>
        <w:rPr>
          <w:rFonts w:ascii="Times New Roman" w:hAnsi="Times New Roman" w:cs="Times New Roman"/>
          <w:b/>
          <w:i w:val="0"/>
          <w:sz w:val="24"/>
        </w:rPr>
        <w:t>McEnroe</w:t>
      </w:r>
      <w:r>
        <w:rPr>
          <w:rFonts w:ascii="Times New Roman" w:hAnsi="Times New Roman" w:cs="Times New Roman"/>
          <w:b w:val="0"/>
          <w:i w:val="0"/>
          <w:sz w:val="24"/>
        </w:rPr>
        <w:t xml:space="preserve"> atas </w:t>
      </w:r>
      <w:r>
        <w:rPr>
          <w:rFonts w:ascii="Times New Roman" w:hAnsi="Times New Roman" w:cs="Times New Roman"/>
          <w:b/>
          <w:i w:val="0"/>
          <w:sz w:val="24"/>
        </w:rPr>
        <w:t>282 responden</w:t>
      </w:r>
      <w:r>
        <w:rPr>
          <w:rFonts w:ascii="Times New Roman" w:hAnsi="Times New Roman" w:cs="Times New Roman"/>
          <w:b w:val="0"/>
          <w:i w:val="0"/>
          <w:sz w:val="24"/>
        </w:rPr>
        <w:t xml:space="preserve"> — terdiri atas analis keuangan, penasihat investasi, profesor akuntansi, dan akuntan — menemukan bahwa </w:t>
      </w:r>
      <w:r>
        <w:rPr>
          <w:rFonts w:ascii="Times New Roman" w:hAnsi="Times New Roman" w:cs="Times New Roman"/>
          <w:b/>
          <w:i w:val="0"/>
          <w:sz w:val="24"/>
        </w:rPr>
        <w:t>56%</w:t>
      </w:r>
      <w:r>
        <w:rPr>
          <w:rFonts w:ascii="Times New Roman" w:hAnsi="Times New Roman" w:cs="Times New Roman"/>
          <w:b w:val="0"/>
          <w:i w:val="0"/>
          <w:sz w:val="24"/>
        </w:rPr>
        <w:t xml:space="preserve"> mendukung </w:t>
      </w:r>
      <w:r>
        <w:rPr>
          <w:rFonts w:ascii="Times New Roman" w:hAnsi="Times New Roman" w:cs="Times New Roman"/>
          <w:b w:val="0"/>
          <w:i/>
          <w:sz w:val="24"/>
        </w:rPr>
        <w:t>metode langsung</w:t>
      </w:r>
      <w:r>
        <w:rPr>
          <w:rFonts w:ascii="Times New Roman" w:hAnsi="Times New Roman" w:cs="Times New Roman"/>
          <w:b w:val="0"/>
          <w:i w:val="0"/>
          <w:sz w:val="24"/>
        </w:rPr>
        <w:t xml:space="preserve"> berbanding </w:t>
      </w:r>
      <w:r>
        <w:rPr>
          <w:rFonts w:ascii="Times New Roman" w:hAnsi="Times New Roman" w:cs="Times New Roman"/>
          <w:b/>
          <w:i w:val="0"/>
          <w:sz w:val="24"/>
        </w:rPr>
        <w:t>44%</w:t>
      </w:r>
      <w:r>
        <w:rPr>
          <w:rFonts w:ascii="Times New Roman" w:hAnsi="Times New Roman" w:cs="Times New Roman"/>
          <w:b w:val="0"/>
          <w:i w:val="0"/>
          <w:sz w:val="24"/>
        </w:rPr>
        <w:t xml:space="preserve"> yang mendukung </w:t>
      </w:r>
      <w:r>
        <w:rPr>
          <w:rFonts w:ascii="Times New Roman" w:hAnsi="Times New Roman" w:cs="Times New Roman"/>
          <w:b w:val="0"/>
          <w:i/>
          <w:sz w:val="24"/>
        </w:rPr>
        <w:t>metode tidak langsung</w:t>
      </w:r>
      <w:r>
        <w:rPr>
          <w:rFonts w:ascii="Times New Roman" w:hAnsi="Times New Roman" w:cs="Times New Roman"/>
          <w:b w:val="0"/>
          <w:i w:val="0"/>
          <w:sz w:val="24"/>
        </w:rPr>
        <w:t xml:space="preserve"> (Wolk et al., 2017, PDF hlm. 9). Ketegangan antara preferensi pengguna terhadap transparansi </w:t>
      </w:r>
      <w:r>
        <w:rPr>
          <w:rFonts w:ascii="Times New Roman" w:hAnsi="Times New Roman" w:cs="Times New Roman"/>
          <w:b w:val="0"/>
          <w:i/>
          <w:sz w:val="24"/>
        </w:rPr>
        <w:t>metode langsung</w:t>
      </w:r>
      <w:r>
        <w:rPr>
          <w:rFonts w:ascii="Times New Roman" w:hAnsi="Times New Roman" w:cs="Times New Roman"/>
          <w:b w:val="0"/>
          <w:i w:val="0"/>
          <w:sz w:val="24"/>
        </w:rPr>
        <w:t xml:space="preserve"> dan preferensi penyusun terhadap rendahnya biaya </w:t>
      </w:r>
      <w:r>
        <w:rPr>
          <w:rFonts w:ascii="Times New Roman" w:hAnsi="Times New Roman" w:cs="Times New Roman"/>
          <w:b w:val="0"/>
          <w:i/>
          <w:sz w:val="24"/>
        </w:rPr>
        <w:t>metode tidak langsung</w:t>
      </w:r>
      <w:r>
        <w:rPr>
          <w:rFonts w:ascii="Times New Roman" w:hAnsi="Times New Roman" w:cs="Times New Roman"/>
          <w:b w:val="0"/>
          <w:i w:val="0"/>
          <w:sz w:val="24"/>
        </w:rPr>
        <w:t xml:space="preserve"> inilah yang menjadi salah satu titik kritik terhadap SFAS No. 95.</w:t>
      </w:r>
    </w:p>
    <w:p>
      <w:pPr>
        <w:spacing w:lineRule="exact" w:line="360" w:before="240" w:after="120"/>
        <w:jc w:val="left"/>
      </w:pPr>
      <w:r>
        <w:rPr>
          <w:rFonts w:ascii="Times New Roman" w:hAnsi="Times New Roman" w:cs="Times New Roman"/>
          <w:b/>
          <w:i w:val="0"/>
          <w:sz w:val="26"/>
        </w:rPr>
        <w:t>VI. Masalah Nonartikulasi</w:t>
      </w:r>
    </w:p>
    <w:p>
      <w:pPr>
        <w:spacing w:lineRule="exact" w:line="360" w:before="0" w:after="120"/>
        <w:jc w:val="both"/>
      </w:pPr>
      <w:r>
        <w:rPr>
          <w:rFonts w:ascii="Times New Roman" w:hAnsi="Times New Roman" w:cs="Times New Roman"/>
          <w:b w:val="0"/>
          <w:i w:val="0"/>
          <w:sz w:val="24"/>
        </w:rPr>
        <w:t xml:space="preserve">Penggunaan </w:t>
      </w:r>
      <w:r>
        <w:rPr>
          <w:rFonts w:ascii="Times New Roman" w:hAnsi="Times New Roman" w:cs="Times New Roman"/>
          <w:b w:val="0"/>
          <w:i/>
          <w:sz w:val="24"/>
        </w:rPr>
        <w:t>metode tidak langsung</w:t>
      </w:r>
      <w:r>
        <w:rPr>
          <w:rFonts w:ascii="Times New Roman" w:hAnsi="Times New Roman" w:cs="Times New Roman"/>
          <w:b w:val="0"/>
          <w:i w:val="0"/>
          <w:sz w:val="24"/>
        </w:rPr>
        <w:t xml:space="preserve"> yang demikian dominan memunculkan sebuah persoalan penting: </w:t>
      </w:r>
      <w:r>
        <w:rPr>
          <w:rFonts w:ascii="Times New Roman" w:hAnsi="Times New Roman" w:cs="Times New Roman"/>
          <w:b/>
          <w:i w:val="0"/>
          <w:sz w:val="24"/>
        </w:rPr>
        <w:t>masalah nonartikulasi</w:t>
      </w:r>
      <w:r>
        <w:rPr>
          <w:rFonts w:ascii="Times New Roman" w:hAnsi="Times New Roman" w:cs="Times New Roman"/>
          <w:b w:val="0"/>
          <w:i w:val="0"/>
          <w:sz w:val="24"/>
        </w:rPr>
        <w:t xml:space="preserve"> (</w:t>
      </w:r>
      <w:r>
        <w:rPr>
          <w:rFonts w:ascii="Times New Roman" w:hAnsi="Times New Roman" w:cs="Times New Roman"/>
          <w:b w:val="0"/>
          <w:i/>
          <w:sz w:val="24"/>
        </w:rPr>
        <w:t>nonarticulation problem</w:t>
      </w:r>
      <w:r>
        <w:rPr>
          <w:rFonts w:ascii="Times New Roman" w:hAnsi="Times New Roman" w:cs="Times New Roman"/>
          <w:b w:val="0"/>
          <w:i w:val="0"/>
          <w:sz w:val="24"/>
        </w:rPr>
        <w:t xml:space="preserve">). Sebuah studi ekstensif oleh </w:t>
      </w:r>
      <w:r>
        <w:rPr>
          <w:rFonts w:ascii="Times New Roman" w:hAnsi="Times New Roman" w:cs="Times New Roman"/>
          <w:b/>
          <w:i w:val="0"/>
          <w:sz w:val="24"/>
        </w:rPr>
        <w:t>Bahnson, Miller, dan Budge</w:t>
      </w:r>
      <w:r>
        <w:rPr>
          <w:rFonts w:ascii="Times New Roman" w:hAnsi="Times New Roman" w:cs="Times New Roman"/>
          <w:b w:val="0"/>
          <w:i w:val="0"/>
          <w:sz w:val="24"/>
        </w:rPr>
        <w:t xml:space="preserve"> menemukan bahwa ketika </w:t>
      </w:r>
      <w:r>
        <w:rPr>
          <w:rFonts w:ascii="Times New Roman" w:hAnsi="Times New Roman" w:cs="Times New Roman"/>
          <w:b w:val="0"/>
          <w:i/>
          <w:sz w:val="24"/>
        </w:rPr>
        <w:t>metode tidak langsung</w:t>
      </w:r>
      <w:r>
        <w:rPr>
          <w:rFonts w:ascii="Times New Roman" w:hAnsi="Times New Roman" w:cs="Times New Roman"/>
          <w:b w:val="0"/>
          <w:i w:val="0"/>
          <w:sz w:val="24"/>
        </w:rPr>
        <w:t xml:space="preserve"> dipakai untuk menentukan arus kas dari operasi, nonartikulasi terjadi saat arus kas yang timbul dari perubahan akun-akun modal kerja perusahaan terkonsolidasi </w:t>
      </w:r>
      <w:r>
        <w:rPr>
          <w:rFonts w:ascii="Times New Roman" w:hAnsi="Times New Roman" w:cs="Times New Roman"/>
          <w:b/>
          <w:i w:val="0"/>
          <w:sz w:val="24"/>
        </w:rPr>
        <w:t>tidak sama</w:t>
      </w:r>
      <w:r>
        <w:rPr>
          <w:rFonts w:ascii="Times New Roman" w:hAnsi="Times New Roman" w:cs="Times New Roman"/>
          <w:b w:val="0"/>
          <w:i w:val="0"/>
          <w:sz w:val="24"/>
        </w:rPr>
        <w:t xml:space="preserve"> dengan penyesuaian modal kerja yang tercantum dalam bagian operasi SCF (Wolk et al., 2017, PDF hlm. 9). Nonartikulasi menimbulkan kebingungan dalam memahami angka-angka yang mendasarinya, sebab membuat SCF tampak tidak konsisten dengan neraca yang menjadi sumbernya. Diskrepansi semacam ini terjadi pada </w:t>
      </w:r>
      <w:r>
        <w:rPr>
          <w:rFonts w:ascii="Times New Roman" w:hAnsi="Times New Roman" w:cs="Times New Roman"/>
          <w:b/>
          <w:i w:val="0"/>
          <w:sz w:val="24"/>
        </w:rPr>
        <w:t>75% situasi</w:t>
      </w:r>
      <w:r>
        <w:rPr>
          <w:rFonts w:ascii="Times New Roman" w:hAnsi="Times New Roman" w:cs="Times New Roman"/>
          <w:b w:val="0"/>
          <w:i w:val="0"/>
          <w:sz w:val="24"/>
        </w:rPr>
        <w:t xml:space="preserve"> dalam sampel para peneliti (Wolk et al., 2017, PDF hlm. 9).</w:t>
      </w:r>
    </w:p>
    <w:p>
      <w:pPr>
        <w:spacing w:lineRule="exact" w:line="360" w:before="0" w:after="120"/>
        <w:jc w:val="both"/>
      </w:pPr>
      <w:r>
        <w:rPr>
          <w:rFonts w:ascii="Times New Roman" w:hAnsi="Times New Roman" w:cs="Times New Roman"/>
          <w:b w:val="0"/>
          <w:i w:val="0"/>
          <w:sz w:val="24"/>
        </w:rPr>
        <w:t xml:space="preserve">Diskrepansi ini tidaklah remeh. </w:t>
      </w:r>
      <w:r>
        <w:rPr>
          <w:rFonts w:ascii="Times New Roman" w:hAnsi="Times New Roman" w:cs="Times New Roman"/>
          <w:b/>
          <w:i w:val="0"/>
          <w:sz w:val="24"/>
        </w:rPr>
        <w:t>Exhibit 13.4</w:t>
      </w:r>
      <w:r>
        <w:rPr>
          <w:rFonts w:ascii="Times New Roman" w:hAnsi="Times New Roman" w:cs="Times New Roman"/>
          <w:b w:val="0"/>
          <w:i w:val="0"/>
          <w:sz w:val="24"/>
        </w:rPr>
        <w:t xml:space="preserve"> mengilustrasikannya melalui kasus 3M Company untuk tahun fiskal 2005 dibandingkan 2004, yang membandingkan perubahan saldo akun neraca terhadap penyesuaian modal kerja dalam SCF untuk piutang usaha, persediaan, dan utang usaha. Yang paling mencolok, untuk piutang usaha, selisih persentase antara perubahan neraca dan penyesuaian SCF mencapai angka yang sangat besar — para penulis bahkan mengamati kasus-kasus di mana tanda (</w:t>
      </w:r>
      <w:r>
        <w:rPr>
          <w:rFonts w:ascii="Times New Roman" w:hAnsi="Times New Roman" w:cs="Times New Roman"/>
          <w:b w:val="0"/>
          <w:i/>
          <w:sz w:val="24"/>
        </w:rPr>
        <w:t>sign</w:t>
      </w:r>
      <w:r>
        <w:rPr>
          <w:rFonts w:ascii="Times New Roman" w:hAnsi="Times New Roman" w:cs="Times New Roman"/>
          <w:b w:val="0"/>
          <w:i w:val="0"/>
          <w:sz w:val="24"/>
        </w:rPr>
        <w:t>) penyesuaian piutang usaha pun dapat berlawanan dengan tanda perubahan saldo neracanya, sehingga bukan hanya besarannya yang menyimpang melainkan arahnya (Wolk et al., 2017, PDF hlm. 10).</w:t>
      </w:r>
    </w:p>
    <w:p>
      <w:pPr>
        <w:spacing w:before="120" w:after="120"/>
        <w:jc w:val="center"/>
      </w:pPr>
      <w:r>
        <w:drawing>
          <wp:inline xmlns:a="http://schemas.openxmlformats.org/drawingml/2006/main" xmlns:pic="http://schemas.openxmlformats.org/drawingml/2006/picture">
            <wp:extent cx="5220000" cy="1404809"/>
            <wp:docPr id="5" name="Picture 5"/>
            <wp:cNvGraphicFramePr>
              <a:graphicFrameLocks noChangeAspect="1"/>
            </wp:cNvGraphicFramePr>
            <a:graphic>
              <a:graphicData uri="http://schemas.openxmlformats.org/drawingml/2006/picture">
                <pic:pic>
                  <pic:nvPicPr>
                    <pic:cNvPr id="0" name="exhibit-13-4.png"/>
                    <pic:cNvPicPr/>
                  </pic:nvPicPr>
                  <pic:blipFill>
                    <a:blip r:embed="rId13"/>
                    <a:stretch>
                      <a:fillRect/>
                    </a:stretch>
                  </pic:blipFill>
                  <pic:spPr>
                    <a:xfrm>
                      <a:off x="0" y="0"/>
                      <a:ext cx="5220000" cy="1404809"/>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5. </w:t>
      </w:r>
      <w:r>
        <w:rPr>
          <w:rFonts w:ascii="Times New Roman" w:hAnsi="Times New Roman" w:cs="Times New Roman"/>
          <w:b w:val="0"/>
          <w:i w:val="0"/>
          <w:sz w:val="22"/>
        </w:rPr>
        <w:t>Nonartikulasi pada 3M Company (Exhibit 13.4)</w:t>
      </w:r>
    </w:p>
    <w:p>
      <w:pPr>
        <w:spacing w:lineRule="exact" w:line="360" w:before="0" w:after="240"/>
        <w:jc w:val="center"/>
      </w:pPr>
      <w:r>
        <w:rPr>
          <w:rFonts w:ascii="Times New Roman" w:hAnsi="Times New Roman" w:cs="Times New Roman"/>
          <w:b w:val="0"/>
          <w:i/>
          <w:sz w:val="22"/>
        </w:rPr>
        <w:t>Sumber: Wolk, Dodd &amp; Rozycki (2017), Exhibit 13.4, PDF hlm. 10</w:t>
      </w:r>
    </w:p>
    <w:p>
      <w:pPr>
        <w:spacing w:lineRule="exact" w:line="360" w:before="0" w:after="120"/>
        <w:jc w:val="both"/>
      </w:pPr>
      <w:r>
        <w:rPr>
          <w:rFonts w:ascii="Times New Roman" w:hAnsi="Times New Roman" w:cs="Times New Roman"/>
          <w:b w:val="0"/>
          <w:i w:val="0"/>
          <w:sz w:val="24"/>
        </w:rPr>
        <w:t xml:space="preserve">Bab ini mengidentifikasi tiga penyebab nonartikulasi. </w:t>
      </w:r>
      <w:r>
        <w:rPr>
          <w:rFonts w:ascii="Times New Roman" w:hAnsi="Times New Roman" w:cs="Times New Roman"/>
          <w:b w:val="0"/>
          <w:i/>
          <w:sz w:val="24"/>
        </w:rPr>
        <w:t>Penyebab pertama</w:t>
      </w:r>
      <w:r>
        <w:rPr>
          <w:rFonts w:ascii="Times New Roman" w:hAnsi="Times New Roman" w:cs="Times New Roman"/>
          <w:b w:val="0"/>
          <w:i w:val="0"/>
          <w:sz w:val="24"/>
        </w:rPr>
        <w:t xml:space="preserve"> adalah akuisisi anak perusahaan selama tahun berjalan: ketika sebuah perusahaan mengakuisisi anak perusahaan, saldo modal kerja awal tahun dari perusahaan yang diakuisisi tidak tercakup dalam neraca konsolidasi awal; agar berartikulasi, saldo-saldo yang hilang itu harus dimasukkan ke dalam saldo awal tahun perusahaan terkonsolidasi (Wolk et al., 2017, PDF hlm. 10). </w:t>
      </w:r>
      <w:r>
        <w:rPr>
          <w:rFonts w:ascii="Times New Roman" w:hAnsi="Times New Roman" w:cs="Times New Roman"/>
          <w:b w:val="0"/>
          <w:i/>
          <w:sz w:val="24"/>
        </w:rPr>
        <w:t>Penyebab kedua</w:t>
      </w:r>
      <w:r>
        <w:rPr>
          <w:rFonts w:ascii="Times New Roman" w:hAnsi="Times New Roman" w:cs="Times New Roman"/>
          <w:b w:val="0"/>
          <w:i w:val="0"/>
          <w:sz w:val="24"/>
        </w:rPr>
        <w:t xml:space="preserve"> adalah transaksi yang melibatkan akun modal kerja tetapi tidak memengaruhi kas — misalnya penilaian naik/turun (</w:t>
      </w:r>
      <w:r>
        <w:rPr>
          <w:rFonts w:ascii="Times New Roman" w:hAnsi="Times New Roman" w:cs="Times New Roman"/>
          <w:b w:val="0"/>
          <w:i/>
          <w:sz w:val="24"/>
        </w:rPr>
        <w:t>write-up/write-down</w:t>
      </w:r>
      <w:r>
        <w:rPr>
          <w:rFonts w:ascii="Times New Roman" w:hAnsi="Times New Roman" w:cs="Times New Roman"/>
          <w:b w:val="0"/>
          <w:i w:val="0"/>
          <w:sz w:val="24"/>
        </w:rPr>
        <w:t xml:space="preserve">) pos modal kerja seperti persediaan ketika perusahaan diakuisisi melalui pembelian, alokasi penyusutan ke dalam persediaan yang diproduksi, serta reklasifikasi apa pun atas akun modal kerja antara kategori lancar dan tidak lancar (Wolk et al., 2017, PDF hlm. 10). </w:t>
      </w:r>
      <w:r>
        <w:rPr>
          <w:rFonts w:ascii="Times New Roman" w:hAnsi="Times New Roman" w:cs="Times New Roman"/>
          <w:b w:val="0"/>
          <w:i/>
          <w:sz w:val="24"/>
        </w:rPr>
        <w:t>Penyebab ketiga</w:t>
      </w:r>
      <w:r>
        <w:rPr>
          <w:rFonts w:ascii="Times New Roman" w:hAnsi="Times New Roman" w:cs="Times New Roman"/>
          <w:b w:val="0"/>
          <w:i w:val="0"/>
          <w:sz w:val="24"/>
        </w:rPr>
        <w:t xml:space="preserve"> adalah penggunaan satu akun utang usaha untuk pembelian aset modal kerja (persediaan, beban dibayar di muka) sekaligus aset non-modal-kerja (peralatan, tanah, paten); pembelian persediaan secara kredit tergolong aktivitas operasi sehingga menghasilkan penyesuaian modal kerja positif di bagian operasi, sedangkan pembelian peralatan secara kredit tergolong aktivitas investasi, sehingga perubahan saldo utang usaha di neraca tidak sama dengan penyesuaian utang usaha di bagian operasi (Wolk et al., 2017, PDF hlm. 10).</w:t>
      </w:r>
    </w:p>
    <w:p>
      <w:pPr>
        <w:spacing w:before="120" w:after="120"/>
        <w:jc w:val="center"/>
      </w:pPr>
      <w:r>
        <w:drawing>
          <wp:inline xmlns:a="http://schemas.openxmlformats.org/drawingml/2006/main" xmlns:pic="http://schemas.openxmlformats.org/drawingml/2006/picture">
            <wp:extent cx="5220000" cy="2272835"/>
            <wp:docPr id="6" name="Picture 6"/>
            <wp:cNvGraphicFramePr>
              <a:graphicFrameLocks noChangeAspect="1"/>
            </wp:cNvGraphicFramePr>
            <a:graphic>
              <a:graphicData uri="http://schemas.openxmlformats.org/drawingml/2006/picture">
                <pic:pic>
                  <pic:nvPicPr>
                    <pic:cNvPr id="0" name="diagram-nonarticulation.png"/>
                    <pic:cNvPicPr/>
                  </pic:nvPicPr>
                  <pic:blipFill>
                    <a:blip r:embed="rId14"/>
                    <a:stretch>
                      <a:fillRect/>
                    </a:stretch>
                  </pic:blipFill>
                  <pic:spPr>
                    <a:xfrm>
                      <a:off x="0" y="0"/>
                      <a:ext cx="5220000" cy="2272835"/>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6. </w:t>
      </w:r>
      <w:r>
        <w:rPr>
          <w:rFonts w:ascii="Times New Roman" w:hAnsi="Times New Roman" w:cs="Times New Roman"/>
          <w:b w:val="0"/>
          <w:i w:val="0"/>
          <w:sz w:val="22"/>
        </w:rPr>
        <w:t>Tiga penyebab nonartikulasi dan konsekuensinya</w:t>
      </w:r>
    </w:p>
    <w:p>
      <w:pPr>
        <w:spacing w:lineRule="exact" w:line="360" w:before="0" w:after="240"/>
        <w:jc w:val="center"/>
      </w:pPr>
      <w:r>
        <w:rPr>
          <w:rFonts w:ascii="Times New Roman" w:hAnsi="Times New Roman" w:cs="Times New Roman"/>
          <w:b w:val="0"/>
          <w:i/>
          <w:sz w:val="22"/>
        </w:rPr>
        <w:t>Sumber: diolah dari Wolk, Dodd &amp; Rozycki (2017), PDF hlm. 9–10</w:t>
      </w:r>
    </w:p>
    <w:p>
      <w:pPr>
        <w:spacing w:lineRule="exact" w:line="360" w:before="0" w:after="120"/>
        <w:jc w:val="both"/>
      </w:pPr>
      <w:r>
        <w:rPr>
          <w:rFonts w:ascii="Times New Roman" w:hAnsi="Times New Roman" w:cs="Times New Roman"/>
          <w:b w:val="0"/>
          <w:i w:val="0"/>
          <w:sz w:val="24"/>
        </w:rPr>
        <w:t xml:space="preserve">Konsekuensi nonartikulasi bagi pengguna cukup serius: ia merusak kepercayaan terhadap koherensi laporan keuangan, karena pengguna yang berupaya menelusuri angka SCF kembali ke neraca akan menemukan ketidakcocokan yang tidak dapat mereka jelaskan tanpa informasi tambahan dari perusahaan. Sebagai perkembangan terkait, pada tahun </w:t>
      </w:r>
      <w:r>
        <w:rPr>
          <w:rFonts w:ascii="Times New Roman" w:hAnsi="Times New Roman" w:cs="Times New Roman"/>
          <w:b/>
          <w:i w:val="0"/>
          <w:sz w:val="24"/>
        </w:rPr>
        <w:t>2008 FASB dan IASB</w:t>
      </w:r>
      <w:r>
        <w:rPr>
          <w:rFonts w:ascii="Times New Roman" w:hAnsi="Times New Roman" w:cs="Times New Roman"/>
          <w:b w:val="0"/>
          <w:i w:val="0"/>
          <w:sz w:val="24"/>
        </w:rPr>
        <w:t xml:space="preserve"> menerbitkan sebuah </w:t>
      </w:r>
      <w:r>
        <w:rPr>
          <w:rFonts w:ascii="Times New Roman" w:hAnsi="Times New Roman" w:cs="Times New Roman"/>
          <w:b w:val="0"/>
          <w:i/>
          <w:sz w:val="24"/>
        </w:rPr>
        <w:t>discussion paper</w:t>
      </w:r>
      <w:r>
        <w:rPr>
          <w:rFonts w:ascii="Times New Roman" w:hAnsi="Times New Roman" w:cs="Times New Roman"/>
          <w:b w:val="0"/>
          <w:i w:val="0"/>
          <w:sz w:val="24"/>
        </w:rPr>
        <w:t xml:space="preserve"> dalam rangka proyek penyajian laporan keuangan, yang mengusulkan format penyajian baru bagi ketiga laporan keuangan. Usulan tersebut memberi manajemen keleluasaan yang jauh lebih besar dalam mengklasifikasikan arus kas — sebuah perbaikan yang manfaatnya patut dipertanyakan — namun satu gagasan dinilai bernilai: menggabungkan aktivitas operasi dan investasi ke dalam satu klasifikasi tunggal bernama </w:t>
      </w:r>
      <w:r>
        <w:rPr>
          <w:rFonts w:ascii="Times New Roman" w:hAnsi="Times New Roman" w:cs="Times New Roman"/>
          <w:b w:val="0"/>
          <w:i/>
          <w:sz w:val="24"/>
        </w:rPr>
        <w:t>"business"</w:t>
      </w:r>
      <w:r>
        <w:rPr>
          <w:rFonts w:ascii="Times New Roman" w:hAnsi="Times New Roman" w:cs="Times New Roman"/>
          <w:b w:val="0"/>
          <w:i w:val="0"/>
          <w:sz w:val="24"/>
        </w:rPr>
        <w:t>, yang berpotensi mengurangi pergeseran klasifikasi yang dilakukan manajer antara aktivitas investasi dan operasi (Wolk et al., 2017, PDF hlm. 10–11).</w:t>
      </w:r>
    </w:p>
    <w:p>
      <w:pPr>
        <w:spacing w:lineRule="exact" w:line="360" w:before="240" w:after="120"/>
        <w:jc w:val="left"/>
      </w:pPr>
      <w:r>
        <w:rPr>
          <w:rFonts w:ascii="Times New Roman" w:hAnsi="Times New Roman" w:cs="Times New Roman"/>
          <w:b/>
          <w:i w:val="0"/>
          <w:sz w:val="26"/>
        </w:rPr>
        <w:t>VII. Masalah Klasifikasi dalam Trikotomi FASB</w:t>
      </w:r>
    </w:p>
    <w:p>
      <w:pPr>
        <w:spacing w:lineRule="exact" w:line="360" w:before="0" w:after="120"/>
        <w:jc w:val="both"/>
      </w:pPr>
      <w:r>
        <w:rPr>
          <w:rFonts w:ascii="Times New Roman" w:hAnsi="Times New Roman" w:cs="Times New Roman"/>
          <w:b w:val="0"/>
          <w:i w:val="0"/>
          <w:sz w:val="24"/>
        </w:rPr>
        <w:t xml:space="preserve">Jika masalah nonartikulasi berakar pada </w:t>
      </w:r>
      <w:r>
        <w:rPr>
          <w:rFonts w:ascii="Times New Roman" w:hAnsi="Times New Roman" w:cs="Times New Roman"/>
          <w:b w:val="0"/>
          <w:i/>
          <w:sz w:val="24"/>
        </w:rPr>
        <w:t>metode tidak langsung</w:t>
      </w:r>
      <w:r>
        <w:rPr>
          <w:rFonts w:ascii="Times New Roman" w:hAnsi="Times New Roman" w:cs="Times New Roman"/>
          <w:b w:val="0"/>
          <w:i w:val="0"/>
          <w:sz w:val="24"/>
        </w:rPr>
        <w:t xml:space="preserve">, masalah kedua yang menjadi sorotan bab ini berakar pada trikotomi itu sendiri — pemilahan tiga arah ke dalam operasi, investasi, dan pendanaan. Di luar tiga anggota FASB yang dissent, muncul pertanyaan yang lebih mendasar tentang struktur SCF. Kritik paling tajam atas trikotomi ini datang dari </w:t>
      </w:r>
      <w:r>
        <w:rPr>
          <w:rFonts w:ascii="Times New Roman" w:hAnsi="Times New Roman" w:cs="Times New Roman"/>
          <w:b/>
          <w:i w:val="0"/>
          <w:sz w:val="24"/>
        </w:rPr>
        <w:t>Nurnberg</w:t>
      </w:r>
      <w:r>
        <w:rPr>
          <w:rFonts w:ascii="Times New Roman" w:hAnsi="Times New Roman" w:cs="Times New Roman"/>
          <w:b w:val="0"/>
          <w:i w:val="0"/>
          <w:sz w:val="24"/>
        </w:rPr>
        <w:t xml:space="preserve"> seorang diri: ia menyatakan bahwa pemilahan tersebut tidak selaras dengan literatur keuangan, padahal SCF semestinya menyediakan informasi yang berguna untuk keputusan investasi dan kredit. Nurnberg menyoroti bahwa SCF mengklasifikasikan </w:t>
      </w:r>
      <w:r>
        <w:rPr>
          <w:rFonts w:ascii="Times New Roman" w:hAnsi="Times New Roman" w:cs="Times New Roman"/>
          <w:b/>
          <w:i w:val="0"/>
          <w:sz w:val="24"/>
        </w:rPr>
        <w:t>penerimaan</w:t>
      </w:r>
      <w:r>
        <w:rPr>
          <w:rFonts w:ascii="Times New Roman" w:hAnsi="Times New Roman" w:cs="Times New Roman"/>
          <w:b w:val="0"/>
          <w:i w:val="0"/>
          <w:sz w:val="24"/>
        </w:rPr>
        <w:t xml:space="preserve"> bunga dan dividen sebagai arus masuk operasi serta </w:t>
      </w:r>
      <w:r>
        <w:rPr>
          <w:rFonts w:ascii="Times New Roman" w:hAnsi="Times New Roman" w:cs="Times New Roman"/>
          <w:b/>
          <w:i w:val="0"/>
          <w:sz w:val="24"/>
        </w:rPr>
        <w:t>pembayaran</w:t>
      </w:r>
      <w:r>
        <w:rPr>
          <w:rFonts w:ascii="Times New Roman" w:hAnsi="Times New Roman" w:cs="Times New Roman"/>
          <w:b w:val="0"/>
          <w:i w:val="0"/>
          <w:sz w:val="24"/>
        </w:rPr>
        <w:t xml:space="preserve"> bunga sebagai arus keluar operasi; padahal menurut literatur keuangan, penerimaan bunga dan dividen merupakan aktivitas </w:t>
      </w:r>
      <w:r>
        <w:rPr>
          <w:rFonts w:ascii="Times New Roman" w:hAnsi="Times New Roman" w:cs="Times New Roman"/>
          <w:b/>
          <w:i w:val="0"/>
          <w:sz w:val="24"/>
        </w:rPr>
        <w:t>investasi</w:t>
      </w:r>
      <w:r>
        <w:rPr>
          <w:rFonts w:ascii="Times New Roman" w:hAnsi="Times New Roman" w:cs="Times New Roman"/>
          <w:b w:val="0"/>
          <w:i w:val="0"/>
          <w:sz w:val="24"/>
        </w:rPr>
        <w:t xml:space="preserve">, sedangkan pembayaran bunga merupakan aktivitas </w:t>
      </w:r>
      <w:r>
        <w:rPr>
          <w:rFonts w:ascii="Times New Roman" w:hAnsi="Times New Roman" w:cs="Times New Roman"/>
          <w:b/>
          <w:i w:val="0"/>
          <w:sz w:val="24"/>
        </w:rPr>
        <w:t>pendanaan</w:t>
      </w:r>
      <w:r>
        <w:rPr>
          <w:rFonts w:ascii="Times New Roman" w:hAnsi="Times New Roman" w:cs="Times New Roman"/>
          <w:b w:val="0"/>
          <w:i w:val="0"/>
          <w:sz w:val="24"/>
        </w:rPr>
        <w:t xml:space="preserve"> (Wolk et al., 2017, PDF hlm. 11).</w:t>
      </w:r>
    </w:p>
    <w:p>
      <w:pPr>
        <w:spacing w:lineRule="exact" w:line="360" w:before="0" w:after="120"/>
        <w:jc w:val="both"/>
      </w:pPr>
      <w:r>
        <w:rPr>
          <w:rFonts w:ascii="Times New Roman" w:hAnsi="Times New Roman" w:cs="Times New Roman"/>
          <w:b w:val="0"/>
          <w:i w:val="0"/>
          <w:sz w:val="24"/>
        </w:rPr>
        <w:t xml:space="preserve">Akar persoalan ini terletak pada pilihan teoretis FASB. Dalam SFAS No. 95, FASB mengikuti format laporan laba rugi dengan orientasi </w:t>
      </w:r>
      <w:r>
        <w:rPr>
          <w:rFonts w:ascii="Times New Roman" w:hAnsi="Times New Roman" w:cs="Times New Roman"/>
          <w:b w:val="0"/>
          <w:i/>
          <w:sz w:val="24"/>
        </w:rPr>
        <w:t>proprietary</w:t>
      </w:r>
      <w:r>
        <w:rPr>
          <w:rFonts w:ascii="Times New Roman" w:hAnsi="Times New Roman" w:cs="Times New Roman"/>
          <w:b w:val="0"/>
          <w:i w:val="0"/>
          <w:sz w:val="24"/>
        </w:rPr>
        <w:t xml:space="preserve"> (kepemilikan) — pendapatan dan beban bunga serta pendapatan dividen diperlakukan sebagai pos operasi. Pendekatan ini bertolak belakang dengan pendekatan </w:t>
      </w:r>
      <w:r>
        <w:rPr>
          <w:rFonts w:ascii="Times New Roman" w:hAnsi="Times New Roman" w:cs="Times New Roman"/>
          <w:b/>
          <w:i w:val="0"/>
          <w:sz w:val="24"/>
        </w:rPr>
        <w:t>teori entitas</w:t>
      </w:r>
      <w:r>
        <w:rPr>
          <w:rFonts w:ascii="Times New Roman" w:hAnsi="Times New Roman" w:cs="Times New Roman"/>
          <w:b w:val="0"/>
          <w:i w:val="0"/>
          <w:sz w:val="24"/>
        </w:rPr>
        <w:t xml:space="preserve"> (</w:t>
      </w:r>
      <w:r>
        <w:rPr>
          <w:rFonts w:ascii="Times New Roman" w:hAnsi="Times New Roman" w:cs="Times New Roman"/>
          <w:b w:val="0"/>
          <w:i/>
          <w:sz w:val="24"/>
        </w:rPr>
        <w:t>entity theory</w:t>
      </w:r>
      <w:r>
        <w:rPr>
          <w:rFonts w:ascii="Times New Roman" w:hAnsi="Times New Roman" w:cs="Times New Roman"/>
          <w:b w:val="0"/>
          <w:i w:val="0"/>
          <w:sz w:val="24"/>
        </w:rPr>
        <w:t>), yang memperlakukan pendapatan bunga dan dividen sebagai aktivitas investasi dan beban bunga sebagai aktivitas pendanaan. FASB tampaknya menghadapi pilihan sulit antara orientasi laba akuntansi (</w:t>
      </w:r>
      <w:r>
        <w:rPr>
          <w:rFonts w:ascii="Times New Roman" w:hAnsi="Times New Roman" w:cs="Times New Roman"/>
          <w:b w:val="0"/>
          <w:i/>
          <w:sz w:val="24"/>
        </w:rPr>
        <w:t>proprietary</w:t>
      </w:r>
      <w:r>
        <w:rPr>
          <w:rFonts w:ascii="Times New Roman" w:hAnsi="Times New Roman" w:cs="Times New Roman"/>
          <w:b w:val="0"/>
          <w:i w:val="0"/>
          <w:sz w:val="24"/>
        </w:rPr>
        <w:t xml:space="preserve">) dan orientasi keuangan (entitas), dan pertimbangan yang lebih praktis boleh jadi turut memengaruhi keputusannya. Salah satu pertimbangan praktis itu datang dari </w:t>
      </w:r>
      <w:r>
        <w:rPr>
          <w:rFonts w:ascii="Times New Roman" w:hAnsi="Times New Roman" w:cs="Times New Roman"/>
          <w:b/>
          <w:i w:val="0"/>
          <w:sz w:val="24"/>
        </w:rPr>
        <w:t>tekanan industri perbankan</w:t>
      </w:r>
      <w:r>
        <w:rPr>
          <w:rFonts w:ascii="Times New Roman" w:hAnsi="Times New Roman" w:cs="Times New Roman"/>
          <w:b w:val="0"/>
          <w:i w:val="0"/>
          <w:sz w:val="24"/>
        </w:rPr>
        <w:t>: bank-bank menyukai pengklasifikasian penerimaan dan pembayaran bunga sebagai pos operasi — yang memang dapat dibenarkan bagi bank — demi menghindari pelaporan arus kas operasi yang negatif. Konsistensi dengan laporan laba rugi yang dipadukan dengan persoalan industri perbankan inilah yang boleh jadi memengaruhi FASB ketika memisahkan beban bunga (operasi) dari penerimaan/pelunasan pokok (pendanaan) (Wolk et al., 2017, PDF hlm. 11).</w:t>
      </w:r>
    </w:p>
    <w:p>
      <w:pPr>
        <w:spacing w:lineRule="exact" w:line="360" w:before="0" w:after="120"/>
        <w:jc w:val="both"/>
      </w:pPr>
      <w:r>
        <w:rPr>
          <w:rFonts w:ascii="Times New Roman" w:hAnsi="Times New Roman" w:cs="Times New Roman"/>
          <w:b w:val="0"/>
          <w:i w:val="0"/>
          <w:sz w:val="24"/>
        </w:rPr>
        <w:t xml:space="preserve">Standar internasional menempuh jalan yang lebih luwes. </w:t>
      </w:r>
      <w:r>
        <w:rPr>
          <w:rFonts w:ascii="Times New Roman" w:hAnsi="Times New Roman" w:cs="Times New Roman"/>
          <w:b/>
          <w:i w:val="0"/>
          <w:sz w:val="24"/>
        </w:rPr>
        <w:t>IAS 7</w:t>
      </w:r>
      <w:r>
        <w:rPr>
          <w:rFonts w:ascii="Times New Roman" w:hAnsi="Times New Roman" w:cs="Times New Roman"/>
          <w:b w:val="0"/>
          <w:i w:val="0"/>
          <w:sz w:val="24"/>
        </w:rPr>
        <w:t xml:space="preserve"> dari IASB mengambil pandangan fleksibel terhadap bunga dan dividen yang diterima atau dibayar — keduanya dapat diklasifikasikan sebagai operasi, investasi, atau pendanaan, </w:t>
      </w:r>
      <w:r>
        <w:rPr>
          <w:rFonts w:ascii="Times New Roman" w:hAnsi="Times New Roman" w:cs="Times New Roman"/>
          <w:b/>
          <w:i w:val="0"/>
          <w:sz w:val="24"/>
        </w:rPr>
        <w:t>sepanjang diklasifikasikan secara konsisten dari periode ke periode</w:t>
      </w:r>
      <w:r>
        <w:rPr>
          <w:rFonts w:ascii="Times New Roman" w:hAnsi="Times New Roman" w:cs="Times New Roman"/>
          <w:b w:val="0"/>
          <w:i w:val="0"/>
          <w:sz w:val="24"/>
        </w:rPr>
        <w:t xml:space="preserve">. Sikap ini berbenturan dengan orientasi </w:t>
      </w:r>
      <w:r>
        <w:rPr>
          <w:rFonts w:ascii="Times New Roman" w:hAnsi="Times New Roman" w:cs="Times New Roman"/>
          <w:b w:val="0"/>
          <w:i/>
          <w:sz w:val="24"/>
        </w:rPr>
        <w:t>proprietary</w:t>
      </w:r>
      <w:r>
        <w:rPr>
          <w:rFonts w:ascii="Times New Roman" w:hAnsi="Times New Roman" w:cs="Times New Roman"/>
          <w:b w:val="0"/>
          <w:i w:val="0"/>
          <w:sz w:val="24"/>
        </w:rPr>
        <w:t xml:space="preserve"> SFAS No. 95 maupun pendekatan teori entitas yang dianjurkan bab ini. Bagi bank, bunga dan dividen memang dapat dipandang sebagai arus kas operasi; seandainya IAS 7 kelak diubah untuk secara khusus mengizinkan klasifikasi demikian bagi bank, IASB akan memperoleh keseragaman di dalam masing-masing industri (Wolk et al., 2017, PDF hlm. 11).</w:t>
      </w:r>
    </w:p>
    <w:p>
      <w:pPr>
        <w:spacing w:lineRule="exact" w:line="360" w:before="0" w:after="120"/>
        <w:jc w:val="both"/>
      </w:pPr>
      <w:r>
        <w:rPr>
          <w:rFonts w:ascii="Times New Roman" w:hAnsi="Times New Roman" w:cs="Times New Roman"/>
          <w:b w:val="0"/>
          <w:i w:val="0"/>
          <w:sz w:val="24"/>
        </w:rPr>
        <w:t xml:space="preserve">Pemisahan antara pendapatan bunga/dividen (operasi), pembelian saham (investasi), serta peminjaman dan pelunasan pokok (pendanaan) memunculkan persoalan lanjutan yang lebih teknis: bagaimana memperlakukan </w:t>
      </w:r>
      <w:r>
        <w:rPr>
          <w:rFonts w:ascii="Times New Roman" w:hAnsi="Times New Roman" w:cs="Times New Roman"/>
          <w:b/>
          <w:i w:val="0"/>
          <w:sz w:val="24"/>
        </w:rPr>
        <w:t>premi dan diskonto</w:t>
      </w:r>
      <w:r>
        <w:rPr>
          <w:rFonts w:ascii="Times New Roman" w:hAnsi="Times New Roman" w:cs="Times New Roman"/>
          <w:b w:val="0"/>
          <w:i w:val="0"/>
          <w:sz w:val="24"/>
        </w:rPr>
        <w:t xml:space="preserve"> atas obligasi serta wesel jangka panjang. Premi maupun diskonto pada hakikatnya merupakan penyesuaian bunga yang menjadi bagian dari pokok yang dipinjam — jumlah yang lebih untuk premi, dan kekurangan untuk diskonto. </w:t>
      </w:r>
      <w:r>
        <w:rPr>
          <w:rFonts w:ascii="Times New Roman" w:hAnsi="Times New Roman" w:cs="Times New Roman"/>
          <w:b/>
          <w:i w:val="0"/>
          <w:sz w:val="24"/>
        </w:rPr>
        <w:t>Vent, Cowling, dan Sevalstad (1995)</w:t>
      </w:r>
      <w:r>
        <w:rPr>
          <w:rFonts w:ascii="Times New Roman" w:hAnsi="Times New Roman" w:cs="Times New Roman"/>
          <w:b w:val="0"/>
          <w:i w:val="0"/>
          <w:sz w:val="24"/>
        </w:rPr>
        <w:t xml:space="preserve"> menemukan </w:t>
      </w:r>
      <w:r>
        <w:rPr>
          <w:rFonts w:ascii="Times New Roman" w:hAnsi="Times New Roman" w:cs="Times New Roman"/>
          <w:b/>
          <w:i w:val="0"/>
          <w:sz w:val="24"/>
        </w:rPr>
        <w:t>empat cara</w:t>
      </w:r>
      <w:r>
        <w:rPr>
          <w:rFonts w:ascii="Times New Roman" w:hAnsi="Times New Roman" w:cs="Times New Roman"/>
          <w:b w:val="0"/>
          <w:i w:val="0"/>
          <w:sz w:val="24"/>
        </w:rPr>
        <w:t xml:space="preserve"> berbeda yang dipakai perusahaan dalam laporan tahunan untuk menangani persoalan ini, sebagaimana dirangkum dalam </w:t>
      </w:r>
      <w:r>
        <w:rPr>
          <w:rFonts w:ascii="Times New Roman" w:hAnsi="Times New Roman" w:cs="Times New Roman"/>
          <w:b/>
          <w:i w:val="0"/>
          <w:sz w:val="24"/>
        </w:rPr>
        <w:t>Exhibit 13.5</w:t>
      </w:r>
      <w:r>
        <w:rPr>
          <w:rFonts w:ascii="Times New Roman" w:hAnsi="Times New Roman" w:cs="Times New Roman"/>
          <w:b w:val="0"/>
          <w:i w:val="0"/>
          <w:sz w:val="24"/>
        </w:rPr>
        <w:t>.</w:t>
      </w:r>
    </w:p>
    <w:p>
      <w:pPr>
        <w:spacing w:lineRule="exact" w:line="360" w:before="0" w:after="120"/>
        <w:jc w:val="both"/>
      </w:pPr>
      <w:r>
        <w:rPr>
          <w:rFonts w:ascii="Times New Roman" w:hAnsi="Times New Roman" w:cs="Times New Roman"/>
          <w:b w:val="0"/>
          <w:i w:val="0"/>
          <w:sz w:val="24"/>
        </w:rPr>
        <w:t xml:space="preserve">Agar keempat metode itu dapat dipahami, bab menyertakan ilustrasi numerik. Sebuah perusahaan menerbitkan </w:t>
      </w:r>
      <w:r>
        <w:rPr>
          <w:rFonts w:ascii="Times New Roman" w:hAnsi="Times New Roman" w:cs="Times New Roman"/>
          <w:b/>
          <w:i w:val="0"/>
          <w:sz w:val="24"/>
        </w:rPr>
        <w:t>obligasi berkupon 8% berjangka empat tahun</w:t>
      </w:r>
      <w:r>
        <w:rPr>
          <w:rFonts w:ascii="Times New Roman" w:hAnsi="Times New Roman" w:cs="Times New Roman"/>
          <w:b w:val="0"/>
          <w:i w:val="0"/>
          <w:sz w:val="24"/>
        </w:rPr>
        <w:t xml:space="preserve"> dengan total nilai nominal </w:t>
      </w:r>
      <w:r>
        <w:rPr>
          <w:rFonts w:ascii="Times New Roman" w:hAnsi="Times New Roman" w:cs="Times New Roman"/>
          <w:b/>
          <w:i w:val="0"/>
          <w:sz w:val="24"/>
        </w:rPr>
        <w:t>$10.000</w:t>
      </w:r>
      <w:r>
        <w:rPr>
          <w:rFonts w:ascii="Times New Roman" w:hAnsi="Times New Roman" w:cs="Times New Roman"/>
          <w:b w:val="0"/>
          <w:i w:val="0"/>
          <w:sz w:val="24"/>
        </w:rPr>
        <w:t xml:space="preserve">, yang terjual seharga </w:t>
      </w:r>
      <w:r>
        <w:rPr>
          <w:rFonts w:ascii="Times New Roman" w:hAnsi="Times New Roman" w:cs="Times New Roman"/>
          <w:b/>
          <w:i w:val="0"/>
          <w:sz w:val="24"/>
        </w:rPr>
        <w:t>$11.000 pada 31 Desember 2000</w:t>
      </w:r>
      <w:r>
        <w:rPr>
          <w:rFonts w:ascii="Times New Roman" w:hAnsi="Times New Roman" w:cs="Times New Roman"/>
          <w:b w:val="0"/>
          <w:i w:val="0"/>
          <w:sz w:val="24"/>
        </w:rPr>
        <w:t xml:space="preserve"> — sehingga terdapat </w:t>
      </w:r>
      <w:r>
        <w:rPr>
          <w:rFonts w:ascii="Times New Roman" w:hAnsi="Times New Roman" w:cs="Times New Roman"/>
          <w:b/>
          <w:i w:val="0"/>
          <w:sz w:val="24"/>
        </w:rPr>
        <w:t>premi sebesar $1.000</w:t>
      </w:r>
      <w:r>
        <w:rPr>
          <w:rFonts w:ascii="Times New Roman" w:hAnsi="Times New Roman" w:cs="Times New Roman"/>
          <w:b w:val="0"/>
          <w:i w:val="0"/>
          <w:sz w:val="24"/>
        </w:rPr>
        <w:t xml:space="preserve">. Dengan mengasumsikan amortisasi premi secara garis lurus, </w:t>
      </w:r>
      <w:r>
        <w:rPr>
          <w:rFonts w:ascii="Times New Roman" w:hAnsi="Times New Roman" w:cs="Times New Roman"/>
          <w:b/>
          <w:i w:val="0"/>
          <w:sz w:val="24"/>
        </w:rPr>
        <w:t>beban bunga tahunan menjadi $550, yakni $800 kupon dikurangi $250 amortisasi premi</w:t>
      </w:r>
      <w:r>
        <w:rPr>
          <w:rFonts w:ascii="Times New Roman" w:hAnsi="Times New Roman" w:cs="Times New Roman"/>
          <w:b w:val="0"/>
          <w:i w:val="0"/>
          <w:sz w:val="24"/>
        </w:rPr>
        <w:t xml:space="preserve"> (Wolk et al., 2017, PDF hlm. 11). Atas dasar angka inilah keempat metode dibedakan. </w:t>
      </w:r>
      <w:r>
        <w:rPr>
          <w:rFonts w:ascii="Times New Roman" w:hAnsi="Times New Roman" w:cs="Times New Roman"/>
          <w:b w:val="0"/>
          <w:i/>
          <w:sz w:val="24"/>
        </w:rPr>
        <w:t>Metode 1</w:t>
      </w:r>
      <w:r>
        <w:rPr>
          <w:rFonts w:ascii="Times New Roman" w:hAnsi="Times New Roman" w:cs="Times New Roman"/>
          <w:b w:val="0"/>
          <w:i w:val="0"/>
          <w:sz w:val="24"/>
        </w:rPr>
        <w:t xml:space="preserve"> adalah yang paling mudah diikuti dan hampir pasti dipakai bersama </w:t>
      </w:r>
      <w:r>
        <w:rPr>
          <w:rFonts w:ascii="Times New Roman" w:hAnsi="Times New Roman" w:cs="Times New Roman"/>
          <w:b w:val="0"/>
          <w:i/>
          <w:sz w:val="24"/>
        </w:rPr>
        <w:t>metode langsung</w:t>
      </w:r>
      <w:r>
        <w:rPr>
          <w:rFonts w:ascii="Times New Roman" w:hAnsi="Times New Roman" w:cs="Times New Roman"/>
          <w:b w:val="0"/>
          <w:i w:val="0"/>
          <w:sz w:val="24"/>
        </w:rPr>
        <w:t xml:space="preserve">: premi $1.000 diperlakukan sepenuhnya sebagai arus pendanaan pada tahun 2000, sehingga jumlah arus operasi tidak sama dengan beban bunga akrual. </w:t>
      </w:r>
      <w:r>
        <w:rPr>
          <w:rFonts w:ascii="Times New Roman" w:hAnsi="Times New Roman" w:cs="Times New Roman"/>
          <w:b w:val="0"/>
          <w:i/>
          <w:sz w:val="24"/>
        </w:rPr>
        <w:t>Metode 2</w:t>
      </w:r>
      <w:r>
        <w:rPr>
          <w:rFonts w:ascii="Times New Roman" w:hAnsi="Times New Roman" w:cs="Times New Roman"/>
          <w:b w:val="0"/>
          <w:i w:val="0"/>
          <w:sz w:val="24"/>
        </w:rPr>
        <w:t xml:space="preserve"> mengeluarkan premi dari arus investasi ke kategori arus operasi, dengan membebankan premi pada operasi di </w:t>
      </w:r>
      <w:r>
        <w:rPr>
          <w:rFonts w:ascii="Times New Roman" w:hAnsi="Times New Roman" w:cs="Times New Roman"/>
          <w:b/>
          <w:i w:val="0"/>
          <w:sz w:val="24"/>
        </w:rPr>
        <w:t>tahun pembayaran (2004)</w:t>
      </w:r>
      <w:r>
        <w:rPr>
          <w:rFonts w:ascii="Times New Roman" w:hAnsi="Times New Roman" w:cs="Times New Roman"/>
          <w:b w:val="0"/>
          <w:i w:val="0"/>
          <w:sz w:val="24"/>
        </w:rPr>
        <w:t xml:space="preserve">. </w:t>
      </w:r>
      <w:r>
        <w:rPr>
          <w:rFonts w:ascii="Times New Roman" w:hAnsi="Times New Roman" w:cs="Times New Roman"/>
          <w:b w:val="0"/>
          <w:i/>
          <w:sz w:val="24"/>
        </w:rPr>
        <w:t>Metode 3</w:t>
      </w:r>
      <w:r>
        <w:rPr>
          <w:rFonts w:ascii="Times New Roman" w:hAnsi="Times New Roman" w:cs="Times New Roman"/>
          <w:b w:val="0"/>
          <w:i w:val="0"/>
          <w:sz w:val="24"/>
        </w:rPr>
        <w:t xml:space="preserve"> serupa dengan Metode 2 tetapi menempatkan pembebanan itu pada </w:t>
      </w:r>
      <w:r>
        <w:rPr>
          <w:rFonts w:ascii="Times New Roman" w:hAnsi="Times New Roman" w:cs="Times New Roman"/>
          <w:b/>
          <w:i w:val="0"/>
          <w:sz w:val="24"/>
        </w:rPr>
        <w:t>tahun penerbitan (2000)</w:t>
      </w:r>
      <w:r>
        <w:rPr>
          <w:rFonts w:ascii="Times New Roman" w:hAnsi="Times New Roman" w:cs="Times New Roman"/>
          <w:b w:val="0"/>
          <w:i w:val="0"/>
          <w:sz w:val="24"/>
        </w:rPr>
        <w:t xml:space="preserve">. </w:t>
      </w:r>
      <w:r>
        <w:rPr>
          <w:rFonts w:ascii="Times New Roman" w:hAnsi="Times New Roman" w:cs="Times New Roman"/>
          <w:b w:val="0"/>
          <w:i/>
          <w:sz w:val="24"/>
        </w:rPr>
        <w:t>Metode 4</w:t>
      </w:r>
      <w:r>
        <w:rPr>
          <w:rFonts w:ascii="Times New Roman" w:hAnsi="Times New Roman" w:cs="Times New Roman"/>
          <w:b w:val="0"/>
          <w:i w:val="0"/>
          <w:sz w:val="24"/>
        </w:rPr>
        <w:t xml:space="preserve"> mengalokasikan premi </w:t>
      </w:r>
      <w:r>
        <w:rPr>
          <w:rFonts w:ascii="Times New Roman" w:hAnsi="Times New Roman" w:cs="Times New Roman"/>
          <w:b/>
          <w:i w:val="0"/>
          <w:sz w:val="24"/>
        </w:rPr>
        <w:t>selama umur obligasi</w:t>
      </w:r>
      <w:r>
        <w:rPr>
          <w:rFonts w:ascii="Times New Roman" w:hAnsi="Times New Roman" w:cs="Times New Roman"/>
          <w:b w:val="0"/>
          <w:i w:val="0"/>
          <w:sz w:val="24"/>
        </w:rPr>
        <w:t xml:space="preserve">, yakni keempat tahunnya. Para penulis menyatakan preferensi mereka pada </w:t>
      </w:r>
      <w:r>
        <w:rPr>
          <w:rFonts w:ascii="Times New Roman" w:hAnsi="Times New Roman" w:cs="Times New Roman"/>
          <w:b/>
          <w:i w:val="0"/>
          <w:sz w:val="24"/>
        </w:rPr>
        <w:t>Metode 1</w:t>
      </w:r>
      <w:r>
        <w:rPr>
          <w:rFonts w:ascii="Times New Roman" w:hAnsi="Times New Roman" w:cs="Times New Roman"/>
          <w:b w:val="0"/>
          <w:i w:val="0"/>
          <w:sz w:val="24"/>
        </w:rPr>
        <w:t xml:space="preserve">, kendati metode ini tidak menyamakan jumlah akrual dengan jumlah arus kas. Sebaliknya, </w:t>
      </w:r>
      <w:r>
        <w:rPr>
          <w:rFonts w:ascii="Times New Roman" w:hAnsi="Times New Roman" w:cs="Times New Roman"/>
          <w:b/>
          <w:i w:val="0"/>
          <w:sz w:val="24"/>
        </w:rPr>
        <w:t>Metode 4 dinilai paling tidak masuk akal</w:t>
      </w:r>
      <w:r>
        <w:rPr>
          <w:rFonts w:ascii="Times New Roman" w:hAnsi="Times New Roman" w:cs="Times New Roman"/>
          <w:b w:val="0"/>
          <w:i w:val="0"/>
          <w:sz w:val="24"/>
        </w:rPr>
        <w:t xml:space="preserve">: ia memecah arus kas aktual sebesar $800 setiap tahun 2001–2004 menjadi dua segmen — $550 di operasi dan $250 di pendanaan — sehingga justru menyalahgambarkan arus kas yang sesungguhnya terjadi (Wolk et al., 2017, PDF hlm. 12). Metode 1 hampir pasti dipakai bersama </w:t>
      </w:r>
      <w:r>
        <w:rPr>
          <w:rFonts w:ascii="Times New Roman" w:hAnsi="Times New Roman" w:cs="Times New Roman"/>
          <w:b w:val="0"/>
          <w:i/>
          <w:sz w:val="24"/>
        </w:rPr>
        <w:t>metode langsung</w:t>
      </w:r>
      <w:r>
        <w:rPr>
          <w:rFonts w:ascii="Times New Roman" w:hAnsi="Times New Roman" w:cs="Times New Roman"/>
          <w:b w:val="0"/>
          <w:i w:val="0"/>
          <w:sz w:val="24"/>
        </w:rPr>
        <w:t xml:space="preserve">, sedangkan Metode 1 hingga Metode 3 sama-sama mungkin di bawah </w:t>
      </w:r>
      <w:r>
        <w:rPr>
          <w:rFonts w:ascii="Times New Roman" w:hAnsi="Times New Roman" w:cs="Times New Roman"/>
          <w:b w:val="0"/>
          <w:i/>
          <w:sz w:val="24"/>
        </w:rPr>
        <w:t>metode tidak langsung</w:t>
      </w:r>
      <w:r>
        <w:rPr>
          <w:rFonts w:ascii="Times New Roman" w:hAnsi="Times New Roman" w:cs="Times New Roman"/>
          <w:b w:val="0"/>
          <w:i w:val="0"/>
          <w:sz w:val="24"/>
        </w:rPr>
        <w:t>.</w:t>
      </w:r>
    </w:p>
    <w:p>
      <w:pPr>
        <w:spacing w:before="120" w:after="120"/>
        <w:jc w:val="center"/>
      </w:pPr>
      <w:r>
        <w:drawing>
          <wp:inline xmlns:a="http://schemas.openxmlformats.org/drawingml/2006/main" xmlns:pic="http://schemas.openxmlformats.org/drawingml/2006/picture">
            <wp:extent cx="5220000" cy="3465860"/>
            <wp:docPr id="7" name="Picture 7"/>
            <wp:cNvGraphicFramePr>
              <a:graphicFrameLocks noChangeAspect="1"/>
            </wp:cNvGraphicFramePr>
            <a:graphic>
              <a:graphicData uri="http://schemas.openxmlformats.org/drawingml/2006/picture">
                <pic:pic>
                  <pic:nvPicPr>
                    <pic:cNvPr id="0" name="exhibit-13-5.png"/>
                    <pic:cNvPicPr/>
                  </pic:nvPicPr>
                  <pic:blipFill>
                    <a:blip r:embed="rId15"/>
                    <a:stretch>
                      <a:fillRect/>
                    </a:stretch>
                  </pic:blipFill>
                  <pic:spPr>
                    <a:xfrm>
                      <a:off x="0" y="0"/>
                      <a:ext cx="5220000" cy="3465860"/>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7. </w:t>
      </w:r>
      <w:r>
        <w:rPr>
          <w:rFonts w:ascii="Times New Roman" w:hAnsi="Times New Roman" w:cs="Times New Roman"/>
          <w:b w:val="0"/>
          <w:i w:val="0"/>
          <w:sz w:val="22"/>
        </w:rPr>
        <w:t>Empat metode alokasi premi obligasi (Exhibit 13.5)</w:t>
      </w:r>
    </w:p>
    <w:p>
      <w:pPr>
        <w:spacing w:lineRule="exact" w:line="360" w:before="0" w:after="240"/>
        <w:jc w:val="center"/>
      </w:pPr>
      <w:r>
        <w:rPr>
          <w:rFonts w:ascii="Times New Roman" w:hAnsi="Times New Roman" w:cs="Times New Roman"/>
          <w:b w:val="0"/>
          <w:i/>
          <w:sz w:val="22"/>
        </w:rPr>
        <w:t>Sumber: Wolk, Dodd &amp; Rozycki (2017), Exhibit 13.5, PDF hlm. 13</w:t>
      </w:r>
    </w:p>
    <w:p>
      <w:pPr>
        <w:spacing w:lineRule="exact" w:line="360" w:before="0" w:after="120"/>
        <w:jc w:val="both"/>
      </w:pPr>
      <w:r>
        <w:rPr>
          <w:rFonts w:ascii="Times New Roman" w:hAnsi="Times New Roman" w:cs="Times New Roman"/>
          <w:b w:val="0"/>
          <w:i w:val="0"/>
          <w:sz w:val="24"/>
        </w:rPr>
        <w:t xml:space="preserve">Persoalan klasifikasi serupa muncul pula pada dua hal yang ditandai </w:t>
      </w:r>
      <w:r>
        <w:rPr>
          <w:rFonts w:ascii="Times New Roman" w:hAnsi="Times New Roman" w:cs="Times New Roman"/>
          <w:b/>
          <w:i w:val="0"/>
          <w:sz w:val="24"/>
        </w:rPr>
        <w:t>Munter</w:t>
      </w:r>
      <w:r>
        <w:rPr>
          <w:rFonts w:ascii="Times New Roman" w:hAnsi="Times New Roman" w:cs="Times New Roman"/>
          <w:b w:val="0"/>
          <w:i w:val="0"/>
          <w:sz w:val="24"/>
        </w:rPr>
        <w:t xml:space="preserve">. Pertama, apabila pembayaran bunga </w:t>
      </w:r>
      <w:r>
        <w:rPr>
          <w:rFonts w:ascii="Times New Roman" w:hAnsi="Times New Roman" w:cs="Times New Roman"/>
          <w:b/>
          <w:i w:val="0"/>
          <w:sz w:val="24"/>
        </w:rPr>
        <w:t>dikapitalisasi</w:t>
      </w:r>
      <w:r>
        <w:rPr>
          <w:rFonts w:ascii="Times New Roman" w:hAnsi="Times New Roman" w:cs="Times New Roman"/>
          <w:b w:val="0"/>
          <w:i w:val="0"/>
          <w:sz w:val="24"/>
        </w:rPr>
        <w:t xml:space="preserve"> menurut </w:t>
      </w:r>
      <w:r>
        <w:rPr>
          <w:rFonts w:ascii="Times New Roman" w:hAnsi="Times New Roman" w:cs="Times New Roman"/>
          <w:b/>
          <w:i w:val="0"/>
          <w:sz w:val="24"/>
        </w:rPr>
        <w:t>SFAS No. 34</w:t>
      </w:r>
      <w:r>
        <w:rPr>
          <w:rFonts w:ascii="Times New Roman" w:hAnsi="Times New Roman" w:cs="Times New Roman"/>
          <w:b w:val="0"/>
          <w:i w:val="0"/>
          <w:sz w:val="24"/>
        </w:rPr>
        <w:t xml:space="preserve">, bunga itu dikeluarkan dari aktivitas operasi dan dimasukkan ke aktivitas investasi sebagai bagian dari biaya perolehan aset tetap. Ini menimbulkan pertanyaan mendasar: apakah suatu peristiwa sebaiknya diklasifikasikan menurut </w:t>
      </w:r>
      <w:r>
        <w:rPr>
          <w:rFonts w:ascii="Times New Roman" w:hAnsi="Times New Roman" w:cs="Times New Roman"/>
          <w:b/>
          <w:i w:val="0"/>
          <w:sz w:val="24"/>
        </w:rPr>
        <w:t>sifat dasarnya</w:t>
      </w:r>
      <w:r>
        <w:rPr>
          <w:rFonts w:ascii="Times New Roman" w:hAnsi="Times New Roman" w:cs="Times New Roman"/>
          <w:b w:val="0"/>
          <w:i w:val="0"/>
          <w:sz w:val="24"/>
        </w:rPr>
        <w:t xml:space="preserve"> (</w:t>
      </w:r>
      <w:r>
        <w:rPr>
          <w:rFonts w:ascii="Times New Roman" w:hAnsi="Times New Roman" w:cs="Times New Roman"/>
          <w:b w:val="0"/>
          <w:i/>
          <w:sz w:val="24"/>
        </w:rPr>
        <w:t>basic nature</w:t>
      </w:r>
      <w:r>
        <w:rPr>
          <w:rFonts w:ascii="Times New Roman" w:hAnsi="Times New Roman" w:cs="Times New Roman"/>
          <w:b w:val="0"/>
          <w:i w:val="0"/>
          <w:sz w:val="24"/>
        </w:rPr>
        <w:t xml:space="preserve"> — yakni pembayaran bunga) atau menurut </w:t>
      </w:r>
      <w:r>
        <w:rPr>
          <w:rFonts w:ascii="Times New Roman" w:hAnsi="Times New Roman" w:cs="Times New Roman"/>
          <w:b/>
          <w:i w:val="0"/>
          <w:sz w:val="24"/>
        </w:rPr>
        <w:t>tujuan akhirnya</w:t>
      </w:r>
      <w:r>
        <w:rPr>
          <w:rFonts w:ascii="Times New Roman" w:hAnsi="Times New Roman" w:cs="Times New Roman"/>
          <w:b w:val="0"/>
          <w:i w:val="0"/>
          <w:sz w:val="24"/>
        </w:rPr>
        <w:t xml:space="preserve"> (</w:t>
      </w:r>
      <w:r>
        <w:rPr>
          <w:rFonts w:ascii="Times New Roman" w:hAnsi="Times New Roman" w:cs="Times New Roman"/>
          <w:b w:val="0"/>
          <w:i/>
          <w:sz w:val="24"/>
        </w:rPr>
        <w:t>ultimate purpose</w:t>
      </w:r>
      <w:r>
        <w:rPr>
          <w:rFonts w:ascii="Times New Roman" w:hAnsi="Times New Roman" w:cs="Times New Roman"/>
          <w:b w:val="0"/>
          <w:i w:val="0"/>
          <w:sz w:val="24"/>
        </w:rPr>
        <w:t xml:space="preserve"> — yakni perolehan aset)? Kedua, pembagian yang serupa terjadi pada transaksi </w:t>
      </w:r>
      <w:r>
        <w:rPr>
          <w:rFonts w:ascii="Times New Roman" w:hAnsi="Times New Roman" w:cs="Times New Roman"/>
          <w:b/>
          <w:i w:val="0"/>
          <w:sz w:val="24"/>
        </w:rPr>
        <w:t>sewa</w:t>
      </w:r>
      <w:r>
        <w:rPr>
          <w:rFonts w:ascii="Times New Roman" w:hAnsi="Times New Roman" w:cs="Times New Roman"/>
          <w:b w:val="0"/>
          <w:i w:val="0"/>
          <w:sz w:val="24"/>
        </w:rPr>
        <w:t xml:space="preserve"> (sewa modal versus sewa operasi): untuk sewa operasi, seluruh pengeluaran kas diklasifikasikan sebagai arus keluar operasi; sedangkan untuk sewa modal, porsi bunga tergolong operasi dan pengurangan pokok tergolong pendanaan. Pertanyaan apakah sifat dasar atau tujuan akhir yang semestinya menjadi penentu tetap belum terjawab (Wolk et al., 2017, PDF hlm. 12).</w:t>
      </w:r>
    </w:p>
    <w:p>
      <w:pPr>
        <w:spacing w:lineRule="exact" w:line="360" w:before="0" w:after="120"/>
        <w:jc w:val="both"/>
      </w:pPr>
      <w:r>
        <w:rPr>
          <w:rFonts w:ascii="Times New Roman" w:hAnsi="Times New Roman" w:cs="Times New Roman"/>
          <w:b w:val="0"/>
          <w:i w:val="0"/>
          <w:sz w:val="24"/>
        </w:rPr>
        <w:t>Dimensi terakhir masalah klasifikasi menyangkut keleluasaan penyajian yang diperluas. Dalam SFAS No. 95, aktivitas lindung nilai (</w:t>
      </w:r>
      <w:r>
        <w:rPr>
          <w:rFonts w:ascii="Times New Roman" w:hAnsi="Times New Roman" w:cs="Times New Roman"/>
          <w:b w:val="0"/>
          <w:i/>
          <w:sz w:val="24"/>
        </w:rPr>
        <w:t>hedging</w:t>
      </w:r>
      <w:r>
        <w:rPr>
          <w:rFonts w:ascii="Times New Roman" w:hAnsi="Times New Roman" w:cs="Times New Roman"/>
          <w:b w:val="0"/>
          <w:i w:val="0"/>
          <w:sz w:val="24"/>
        </w:rPr>
        <w:t xml:space="preserve">) dianggap sebagai aktivitas </w:t>
      </w:r>
      <w:r>
        <w:rPr>
          <w:rFonts w:ascii="Times New Roman" w:hAnsi="Times New Roman" w:cs="Times New Roman"/>
          <w:b/>
          <w:i w:val="0"/>
          <w:sz w:val="24"/>
        </w:rPr>
        <w:t>investasi</w:t>
      </w:r>
      <w:r>
        <w:rPr>
          <w:rFonts w:ascii="Times New Roman" w:hAnsi="Times New Roman" w:cs="Times New Roman"/>
          <w:b w:val="0"/>
          <w:i w:val="0"/>
          <w:sz w:val="24"/>
        </w:rPr>
        <w:t xml:space="preserve"> — sebuah klasifikasi yang kaku menurut sifat transaksi lindung nilai (konsep keseragaman yang rigid). </w:t>
      </w:r>
      <w:r>
        <w:rPr>
          <w:rFonts w:ascii="Times New Roman" w:hAnsi="Times New Roman" w:cs="Times New Roman"/>
          <w:b/>
          <w:i w:val="0"/>
          <w:sz w:val="24"/>
        </w:rPr>
        <w:t>SFAS No. 104</w:t>
      </w:r>
      <w:r>
        <w:rPr>
          <w:rFonts w:ascii="Times New Roman" w:hAnsi="Times New Roman" w:cs="Times New Roman"/>
          <w:b w:val="0"/>
          <w:i w:val="0"/>
          <w:sz w:val="24"/>
        </w:rPr>
        <w:t xml:space="preserve"> kemudian mengamendemen SFAS No. 95 dan mengizinkan pengaitan lindung nilai dengan akun neraca yang spesifik terhadap transaksi tersebut. Apabila suatu lindung nilai dapat diidentifikasi dengan pos neraca tertentu seperti persediaan — misalnya lindung nilai atas kenaikan harga persediaan — SFAS No. 104 mengizinkan instrumen lindung nilai (kontrak berjangka, kontrak </w:t>
      </w:r>
      <w:r>
        <w:rPr>
          <w:rFonts w:ascii="Times New Roman" w:hAnsi="Times New Roman" w:cs="Times New Roman"/>
          <w:b w:val="0"/>
          <w:i/>
          <w:sz w:val="24"/>
        </w:rPr>
        <w:t>futures</w:t>
      </w:r>
      <w:r>
        <w:rPr>
          <w:rFonts w:ascii="Times New Roman" w:hAnsi="Times New Roman" w:cs="Times New Roman"/>
          <w:b w:val="0"/>
          <w:i w:val="0"/>
          <w:sz w:val="24"/>
        </w:rPr>
        <w:t xml:space="preserve">, opsi atau </w:t>
      </w:r>
      <w:r>
        <w:rPr>
          <w:rFonts w:ascii="Times New Roman" w:hAnsi="Times New Roman" w:cs="Times New Roman"/>
          <w:b w:val="0"/>
          <w:i/>
          <w:sz w:val="24"/>
        </w:rPr>
        <w:t>swap</w:t>
      </w:r>
      <w:r>
        <w:rPr>
          <w:rFonts w:ascii="Times New Roman" w:hAnsi="Times New Roman" w:cs="Times New Roman"/>
          <w:b w:val="0"/>
          <w:i w:val="0"/>
          <w:sz w:val="24"/>
        </w:rPr>
        <w:t xml:space="preserve">) diklasifikasikan bersama pos itu sebagai elemen operasi, atau sebagai aktivitas investasi. Atas keleluasaan ini, </w:t>
      </w:r>
      <w:r>
        <w:rPr>
          <w:rFonts w:ascii="Times New Roman" w:hAnsi="Times New Roman" w:cs="Times New Roman"/>
          <w:b/>
          <w:i w:val="0"/>
          <w:sz w:val="24"/>
        </w:rPr>
        <w:t>Nurnberg dan Largay</w:t>
      </w:r>
      <w:r>
        <w:rPr>
          <w:rFonts w:ascii="Times New Roman" w:hAnsi="Times New Roman" w:cs="Times New Roman"/>
          <w:b w:val="0"/>
          <w:i w:val="0"/>
          <w:sz w:val="24"/>
        </w:rPr>
        <w:t xml:space="preserve"> bersama-sama berpendapat bahwa fleksibilitas yang meningkat pada umumnya menurunkan komparabilitas, meskipun dalam situasi tertentu dapat dibenarkan sebagai peningkatan </w:t>
      </w:r>
      <w:r>
        <w:rPr>
          <w:rFonts w:ascii="Times New Roman" w:hAnsi="Times New Roman" w:cs="Times New Roman"/>
          <w:b/>
          <w:i w:val="0"/>
          <w:sz w:val="24"/>
        </w:rPr>
        <w:t>kehalusan</w:t>
      </w:r>
      <w:r>
        <w:rPr>
          <w:rFonts w:ascii="Times New Roman" w:hAnsi="Times New Roman" w:cs="Times New Roman"/>
          <w:b w:val="0"/>
          <w:i w:val="0"/>
          <w:sz w:val="24"/>
        </w:rPr>
        <w:t xml:space="preserve"> (</w:t>
      </w:r>
      <w:r>
        <w:rPr>
          <w:rFonts w:ascii="Times New Roman" w:hAnsi="Times New Roman" w:cs="Times New Roman"/>
          <w:b w:val="0"/>
          <w:i/>
          <w:sz w:val="24"/>
        </w:rPr>
        <w:t>fineness</w:t>
      </w:r>
      <w:r>
        <w:rPr>
          <w:rFonts w:ascii="Times New Roman" w:hAnsi="Times New Roman" w:cs="Times New Roman"/>
          <w:b w:val="0"/>
          <w:i w:val="0"/>
          <w:sz w:val="24"/>
        </w:rPr>
        <w:t>) informasi (Wolk et al., 2017, PDF hlm. 13). Perlu ditegaskan pembedaan atribusi di sini: kritik atas trikotomi penerimaan/pembayaran bunga adalah pandangan Nurnberg seorang diri, sedangkan butir kehalusan-versus-komparabilitas di bawah SFAS No. 104 ini merupakan pandangan Nurnberg dan Largay secara bersama.</w:t>
      </w:r>
    </w:p>
    <w:p>
      <w:pPr>
        <w:spacing w:lineRule="exact" w:line="360" w:before="240" w:after="120"/>
        <w:jc w:val="left"/>
      </w:pPr>
      <w:r>
        <w:rPr>
          <w:rFonts w:ascii="Times New Roman" w:hAnsi="Times New Roman" w:cs="Times New Roman"/>
          <w:b/>
          <w:i w:val="0"/>
          <w:sz w:val="26"/>
        </w:rPr>
        <w:t>VIII. Kegunaan Analitis Laporan Arus Kas</w:t>
      </w:r>
    </w:p>
    <w:p>
      <w:pPr>
        <w:spacing w:lineRule="exact" w:line="360" w:before="0" w:after="120"/>
        <w:jc w:val="both"/>
      </w:pPr>
      <w:r>
        <w:rPr>
          <w:rFonts w:ascii="Times New Roman" w:hAnsi="Times New Roman" w:cs="Times New Roman"/>
          <w:b w:val="0"/>
          <w:i w:val="0"/>
          <w:sz w:val="24"/>
        </w:rPr>
        <w:t xml:space="preserve">Setelah menelusuri dua persoalan struktural — nonartikulasi dan klasifikasi — bab beralih dari kritik ke apresiasi: terlepas dari kekurangan itu, SCF jelas sangat berguna. Kegunaan ini diperagakan dengan baik oleh riset </w:t>
      </w:r>
      <w:r>
        <w:rPr>
          <w:rFonts w:ascii="Times New Roman" w:hAnsi="Times New Roman" w:cs="Times New Roman"/>
          <w:b/>
          <w:i w:val="0"/>
          <w:sz w:val="24"/>
        </w:rPr>
        <w:t>Ingram dan Lee</w:t>
      </w:r>
      <w:r>
        <w:rPr>
          <w:rFonts w:ascii="Times New Roman" w:hAnsi="Times New Roman" w:cs="Times New Roman"/>
          <w:b w:val="0"/>
          <w:i w:val="0"/>
          <w:sz w:val="24"/>
        </w:rPr>
        <w:t xml:space="preserve">, yang memanfaatkan laporan laba rugi dan SCF secara bersamaan. Mereka mendalilkan bahwa dari waktu ke waktu, </w:t>
      </w:r>
      <w:r>
        <w:rPr>
          <w:rFonts w:ascii="Times New Roman" w:hAnsi="Times New Roman" w:cs="Times New Roman"/>
          <w:b/>
          <w:i w:val="0"/>
          <w:sz w:val="24"/>
        </w:rPr>
        <w:t>perusahaan yang sedang tumbuh memiliki laba yang lebih tinggi tetapi arus kas operasi yang lebih rendah</w:t>
      </w:r>
      <w:r>
        <w:rPr>
          <w:rFonts w:ascii="Times New Roman" w:hAnsi="Times New Roman" w:cs="Times New Roman"/>
          <w:b w:val="0"/>
          <w:i w:val="0"/>
          <w:sz w:val="24"/>
        </w:rPr>
        <w:t xml:space="preserve">. Logikanya: perusahaan yang tumbuh mengalami kenaikan persediaan dan piutang usaha seiring ekspansi; kenaikan itu sebagian diimbangi oleh kenaikan utang usaha, tetapi dampak bersih pertumbuhan modal kerja membuat perubahan laba setiap tahun melampaui perubahan arus kas operasi — baik secara absolut maupun relatif. Seiring ekspansi, terdapat arus keluar investasi bersih (perolehan aset tetap) dan arus masuk pendanaan dari utang serta ekuitas baru, sementara dividen tetap rendah atau bahkan nihil (Wolk et al., 2017, PDF hlm. 13–14). Bagi perusahaan yang </w:t>
      </w:r>
      <w:r>
        <w:rPr>
          <w:rFonts w:ascii="Times New Roman" w:hAnsi="Times New Roman" w:cs="Times New Roman"/>
          <w:b/>
          <w:i w:val="0"/>
          <w:sz w:val="24"/>
        </w:rPr>
        <w:t>menyusut</w:t>
      </w:r>
      <w:r>
        <w:rPr>
          <w:rFonts w:ascii="Times New Roman" w:hAnsi="Times New Roman" w:cs="Times New Roman"/>
          <w:b w:val="0"/>
          <w:i w:val="0"/>
          <w:sz w:val="24"/>
        </w:rPr>
        <w:t xml:space="preserve">, hubungan ini sebagian besar berbalik arah: penjualan dan laba menurun, namun arus kas operasi biasanya justru meningkat karena piutang dan persediaan dikurangi; arus keluar investasi menyusut; sedangkan pada pendanaan, arus keluar bertambah melalui pembelian kembali saham, pelunasan utang, dan kenaikan dividen kas. </w:t>
      </w:r>
      <w:r>
        <w:rPr>
          <w:rFonts w:ascii="Times New Roman" w:hAnsi="Times New Roman" w:cs="Times New Roman"/>
          <w:b/>
          <w:i w:val="0"/>
          <w:sz w:val="24"/>
        </w:rPr>
        <w:t>Analisis statistik Ingram dan Lee melibatkan hampir 1.000 perusahaan sepanjang periode 1974 hingga 1992</w:t>
      </w:r>
      <w:r>
        <w:rPr>
          <w:rFonts w:ascii="Times New Roman" w:hAnsi="Times New Roman" w:cs="Times New Roman"/>
          <w:b w:val="0"/>
          <w:i w:val="0"/>
          <w:sz w:val="24"/>
        </w:rPr>
        <w:t xml:space="preserve">, yang sebagian besar mendukung analisis deduktif mereka; analisis itu juga menemukan bahwa perusahaan yang berekspansi cenderung memikul </w:t>
      </w:r>
      <w:r>
        <w:rPr>
          <w:rFonts w:ascii="Times New Roman" w:hAnsi="Times New Roman" w:cs="Times New Roman"/>
          <w:b/>
          <w:i w:val="0"/>
          <w:sz w:val="24"/>
        </w:rPr>
        <w:t>leverage keuangan yang lebih besar</w:t>
      </w:r>
      <w:r>
        <w:rPr>
          <w:rFonts w:ascii="Times New Roman" w:hAnsi="Times New Roman" w:cs="Times New Roman"/>
          <w:b w:val="0"/>
          <w:i w:val="0"/>
          <w:sz w:val="24"/>
        </w:rPr>
        <w:t xml:space="preserve"> dibanding perusahaan yang menyusut (Wolk et al., 2017, PDF hlm. 14).</w:t>
      </w:r>
    </w:p>
    <w:p>
      <w:pPr>
        <w:spacing w:lineRule="exact" w:line="360" w:before="0" w:after="120"/>
        <w:jc w:val="both"/>
      </w:pPr>
      <w:r>
        <w:rPr>
          <w:rFonts w:ascii="Times New Roman" w:hAnsi="Times New Roman" w:cs="Times New Roman"/>
          <w:b w:val="0"/>
          <w:i w:val="0"/>
          <w:sz w:val="24"/>
        </w:rPr>
        <w:t xml:space="preserve">Meskipun lebih sulit dimanipulasi dibanding laba, SCF tidak sepenuhnya kebal. Arus kas dari operasi dipandang banyak pihak sebagai bagian terpenting SCF, sehingga pengguna memusatkan perhatian padanya. Akibatnya, perusahaan terdorong untuk menaikkan arus kas operasi — dengan menggeser arus keluar dari operasi ke investasi, atau menggeser arus masuk dari investasi ke operasi. Total kas tidak berubah, namun tanpa pencermatan, pengguna memandang penataan ulang itu secara positif (Wolk et al., 2017, PDF hlm. 14). Bab memberi dua ilustrasi konkret. Pertama, contoh </w:t>
      </w:r>
      <w:r>
        <w:rPr>
          <w:rFonts w:ascii="Times New Roman" w:hAnsi="Times New Roman" w:cs="Times New Roman"/>
          <w:b/>
          <w:i w:val="0"/>
          <w:sz w:val="24"/>
        </w:rPr>
        <w:t>Maremont atas Tyco International</w:t>
      </w:r>
      <w:r>
        <w:rPr>
          <w:rFonts w:ascii="Times New Roman" w:hAnsi="Times New Roman" w:cs="Times New Roman"/>
          <w:b w:val="0"/>
          <w:i w:val="0"/>
          <w:sz w:val="24"/>
        </w:rPr>
        <w:t xml:space="preserve"> (sistem alarm keamanan rumah): pelanggan membayar sekitar $30 per bulan dengan kontrak yang kerap melampaui satu tahun. Tyco menjual jasa ini sendiri tetapi juga membeli kontrak jasa dari dealer lain. Seharusnya kedua jenis pengeluaran diperlakukan serupa, namun Tyco memperlakukannya berbeda: kontrak yang dibeli dari dealer diperlakukan sebagai "akuisisi" dan diakui pada SCF sebagai arus keluar operasi secara jauh lebih lambat dibanding arus keluar untuk sistem alarm yang dibangun secara internal (Wolk et al., 2017, PDF hlm. 14). Kedua, contoh </w:t>
      </w:r>
      <w:r>
        <w:rPr>
          <w:rFonts w:ascii="Times New Roman" w:hAnsi="Times New Roman" w:cs="Times New Roman"/>
          <w:b/>
          <w:i w:val="0"/>
          <w:sz w:val="24"/>
        </w:rPr>
        <w:t>Mulford (Wall Street Journal) di industri otomotif</w:t>
      </w:r>
      <w:r>
        <w:rPr>
          <w:rFonts w:ascii="Times New Roman" w:hAnsi="Times New Roman" w:cs="Times New Roman"/>
          <w:b w:val="0"/>
          <w:i w:val="0"/>
          <w:sz w:val="24"/>
        </w:rPr>
        <w:t xml:space="preserve">: </w:t>
      </w:r>
      <w:r>
        <w:rPr>
          <w:rFonts w:ascii="Times New Roman" w:hAnsi="Times New Roman" w:cs="Times New Roman"/>
          <w:b/>
          <w:i w:val="0"/>
          <w:sz w:val="24"/>
        </w:rPr>
        <w:t>Ford Motor Co., General Motors Corp., dan Harley-Davidson Inc.</w:t>
      </w:r>
      <w:r>
        <w:rPr>
          <w:rFonts w:ascii="Times New Roman" w:hAnsi="Times New Roman" w:cs="Times New Roman"/>
          <w:b w:val="0"/>
          <w:i w:val="0"/>
          <w:sz w:val="24"/>
        </w:rPr>
        <w:t xml:space="preserve"> meminjamkan dana kepada dealer sebagai wesel tagih agar dealer dapat membeli persediaan. Perusahaan mengakui pendapatan dari penjualan tetapi mengklasifikasikan pinjaman itu sebagai aktivitas </w:t>
      </w:r>
      <w:r>
        <w:rPr>
          <w:rFonts w:ascii="Times New Roman" w:hAnsi="Times New Roman" w:cs="Times New Roman"/>
          <w:b/>
          <w:i w:val="0"/>
          <w:sz w:val="24"/>
        </w:rPr>
        <w:t>investasi</w:t>
      </w:r>
      <w:r>
        <w:rPr>
          <w:rFonts w:ascii="Times New Roman" w:hAnsi="Times New Roman" w:cs="Times New Roman"/>
          <w:b w:val="0"/>
          <w:i w:val="0"/>
          <w:sz w:val="24"/>
        </w:rPr>
        <w:t xml:space="preserve">, sehingga arus kas operasi yang dilaporkan membengkak. Pada kasus </w:t>
      </w:r>
      <w:r>
        <w:rPr>
          <w:rFonts w:ascii="Times New Roman" w:hAnsi="Times New Roman" w:cs="Times New Roman"/>
          <w:b/>
          <w:i w:val="0"/>
          <w:sz w:val="24"/>
        </w:rPr>
        <w:t>General Motors</w:t>
      </w:r>
      <w:r>
        <w:rPr>
          <w:rFonts w:ascii="Times New Roman" w:hAnsi="Times New Roman" w:cs="Times New Roman"/>
          <w:b w:val="0"/>
          <w:i w:val="0"/>
          <w:sz w:val="24"/>
        </w:rPr>
        <w:t xml:space="preserve">, arus kas operasi yang dilaporkan sebesar </w:t>
      </w:r>
      <w:r>
        <w:rPr>
          <w:rFonts w:ascii="Times New Roman" w:hAnsi="Times New Roman" w:cs="Times New Roman"/>
          <w:b/>
          <w:i w:val="0"/>
          <w:sz w:val="24"/>
        </w:rPr>
        <w:t>$7,6 miliar</w:t>
      </w:r>
      <w:r>
        <w:rPr>
          <w:rFonts w:ascii="Times New Roman" w:hAnsi="Times New Roman" w:cs="Times New Roman"/>
          <w:b w:val="0"/>
          <w:i w:val="0"/>
          <w:sz w:val="24"/>
        </w:rPr>
        <w:t xml:space="preserve">; seandainya wesel tagih itu diperlakukan sebagai aktivitas </w:t>
      </w:r>
      <w:r>
        <w:rPr>
          <w:rFonts w:ascii="Times New Roman" w:hAnsi="Times New Roman" w:cs="Times New Roman"/>
          <w:b/>
          <w:i w:val="0"/>
          <w:sz w:val="24"/>
        </w:rPr>
        <w:t>operasi</w:t>
      </w:r>
      <w:r>
        <w:rPr>
          <w:rFonts w:ascii="Times New Roman" w:hAnsi="Times New Roman" w:cs="Times New Roman"/>
          <w:b w:val="0"/>
          <w:i w:val="0"/>
          <w:sz w:val="24"/>
        </w:rPr>
        <w:t xml:space="preserve"> alih-alih investasi, arus kas operasi hanya akan sebesar </w:t>
      </w:r>
      <w:r>
        <w:rPr>
          <w:rFonts w:ascii="Times New Roman" w:hAnsi="Times New Roman" w:cs="Times New Roman"/>
          <w:b/>
          <w:i w:val="0"/>
          <w:sz w:val="24"/>
        </w:rPr>
        <w:t>$3,5 miliar</w:t>
      </w:r>
      <w:r>
        <w:rPr>
          <w:rFonts w:ascii="Times New Roman" w:hAnsi="Times New Roman" w:cs="Times New Roman"/>
          <w:b w:val="0"/>
          <w:i w:val="0"/>
          <w:sz w:val="24"/>
        </w:rPr>
        <w:t xml:space="preserve"> (Wolk et al., 2017, PDF hlm. 14–15).</w:t>
      </w:r>
    </w:p>
    <w:p>
      <w:pPr>
        <w:spacing w:lineRule="exact" w:line="360" w:before="0" w:after="120"/>
        <w:jc w:val="both"/>
      </w:pPr>
      <w:r>
        <w:rPr>
          <w:rFonts w:ascii="Times New Roman" w:hAnsi="Times New Roman" w:cs="Times New Roman"/>
          <w:b w:val="0"/>
          <w:i w:val="0"/>
          <w:sz w:val="24"/>
        </w:rPr>
        <w:t xml:space="preserve">Sebagai penyeimbang, bab menyajikan contoh tandingan </w:t>
      </w:r>
      <w:r>
        <w:rPr>
          <w:rFonts w:ascii="Times New Roman" w:hAnsi="Times New Roman" w:cs="Times New Roman"/>
          <w:b/>
          <w:i w:val="0"/>
          <w:sz w:val="24"/>
        </w:rPr>
        <w:t>Navistar International Corp.</w:t>
      </w:r>
      <w:r>
        <w:rPr>
          <w:rFonts w:ascii="Times New Roman" w:hAnsi="Times New Roman" w:cs="Times New Roman"/>
          <w:b w:val="0"/>
          <w:i w:val="0"/>
          <w:sz w:val="24"/>
        </w:rPr>
        <w:t xml:space="preserve"> Sementara anak perusahaan pembiayaannya mencatat wesel tagih sebagai investasi, hasil </w:t>
      </w:r>
      <w:r>
        <w:rPr>
          <w:rFonts w:ascii="Times New Roman" w:hAnsi="Times New Roman" w:cs="Times New Roman"/>
          <w:b/>
          <w:i w:val="0"/>
          <w:sz w:val="24"/>
        </w:rPr>
        <w:t>konsolidasi</w:t>
      </w:r>
      <w:r>
        <w:rPr>
          <w:rFonts w:ascii="Times New Roman" w:hAnsi="Times New Roman" w:cs="Times New Roman"/>
          <w:b w:val="0"/>
          <w:i w:val="0"/>
          <w:sz w:val="24"/>
        </w:rPr>
        <w:t xml:space="preserve"> Navistar justru mereklasifikasi wesel tagih itu sebagai bagian dari arus kas </w:t>
      </w:r>
      <w:r>
        <w:rPr>
          <w:rFonts w:ascii="Times New Roman" w:hAnsi="Times New Roman" w:cs="Times New Roman"/>
          <w:b/>
          <w:i w:val="0"/>
          <w:sz w:val="24"/>
        </w:rPr>
        <w:t>operasi</w:t>
      </w:r>
      <w:r>
        <w:rPr>
          <w:rFonts w:ascii="Times New Roman" w:hAnsi="Times New Roman" w:cs="Times New Roman"/>
          <w:b w:val="0"/>
          <w:i w:val="0"/>
          <w:sz w:val="24"/>
        </w:rPr>
        <w:t xml:space="preserve">. </w:t>
      </w:r>
      <w:r>
        <w:rPr>
          <w:rFonts w:ascii="Times New Roman" w:hAnsi="Times New Roman" w:cs="Times New Roman"/>
          <w:b/>
          <w:i w:val="0"/>
          <w:sz w:val="24"/>
        </w:rPr>
        <w:t>Mark Oberle</w:t>
      </w:r>
      <w:r>
        <w:rPr>
          <w:rFonts w:ascii="Times New Roman" w:hAnsi="Times New Roman" w:cs="Times New Roman"/>
          <w:b w:val="0"/>
          <w:i w:val="0"/>
          <w:sz w:val="24"/>
        </w:rPr>
        <w:t>, direktur hubungan investor Navistar, menjelaskan: "kami mendefinisikan diri sebagai perusahaan manufaktur dengan anak perusahaan pembiayaan… [penjualan] dan perubahan piutang terkait… [adalah] bagian dari bisnis inti kami" (Wolk et al., 2017, PDF hlm. 15). Inti pelajaran dari rangkaian contoh ini jelas: bahkan ketika aturan klasifikasi tidak dilanggar, ketidakjelasan dan keleluasaan dalam penerapannya memungkinkan perusahaan dalam industri yang sama memberi gambaran yang sangat berbeda, sehingga komparabilitas menjadi lemah.</w:t>
      </w:r>
    </w:p>
    <w:p>
      <w:pPr>
        <w:spacing w:lineRule="exact" w:line="360" w:before="0" w:after="120"/>
        <w:jc w:val="both"/>
      </w:pPr>
      <w:r>
        <w:rPr>
          <w:rFonts w:ascii="Times New Roman" w:hAnsi="Times New Roman" w:cs="Times New Roman"/>
          <w:b w:val="0"/>
          <w:i w:val="0"/>
          <w:sz w:val="24"/>
        </w:rPr>
        <w:t xml:space="preserve">Kegunaan analitis SCF menuntut pula prinsip pembacaan yang utuh, sebab perhatian berlebih pada satu bagian saja — arus kas operasi — berbahaya. SCF terdiri atas tiga bagian dan ketiganya penting. Pelajaran ini diilustrasikan oleh kasus </w:t>
      </w:r>
      <w:r>
        <w:rPr>
          <w:rFonts w:ascii="Times New Roman" w:hAnsi="Times New Roman" w:cs="Times New Roman"/>
          <w:b/>
          <w:i w:val="0"/>
          <w:sz w:val="24"/>
        </w:rPr>
        <w:t>WorldCom Inc.</w:t>
      </w:r>
      <w:r>
        <w:rPr>
          <w:rFonts w:ascii="Times New Roman" w:hAnsi="Times New Roman" w:cs="Times New Roman"/>
          <w:b w:val="0"/>
          <w:i w:val="0"/>
          <w:sz w:val="24"/>
        </w:rPr>
        <w:t xml:space="preserve"> Pada </w:t>
      </w:r>
      <w:r>
        <w:rPr>
          <w:rFonts w:ascii="Times New Roman" w:hAnsi="Times New Roman" w:cs="Times New Roman"/>
          <w:b/>
          <w:i w:val="0"/>
          <w:sz w:val="24"/>
        </w:rPr>
        <w:t>21 Juli 2002</w:t>
      </w:r>
      <w:r>
        <w:rPr>
          <w:rFonts w:ascii="Times New Roman" w:hAnsi="Times New Roman" w:cs="Times New Roman"/>
          <w:b w:val="0"/>
          <w:i w:val="0"/>
          <w:sz w:val="24"/>
        </w:rPr>
        <w:t>, WorldCom mengajukan permohonan reorganisasi sukarela berdasarkan Bab 11 (</w:t>
      </w:r>
      <w:r>
        <w:rPr>
          <w:rFonts w:ascii="Times New Roman" w:hAnsi="Times New Roman" w:cs="Times New Roman"/>
          <w:b w:val="0"/>
          <w:i/>
          <w:sz w:val="24"/>
        </w:rPr>
        <w:t>Chapter 11</w:t>
      </w:r>
      <w:r>
        <w:rPr>
          <w:rFonts w:ascii="Times New Roman" w:hAnsi="Times New Roman" w:cs="Times New Roman"/>
          <w:b w:val="0"/>
          <w:i w:val="0"/>
          <w:sz w:val="24"/>
        </w:rPr>
        <w:t xml:space="preserve">) Undang-Undang Kepailitan A.S. di Distrik Selatan New York. Menjelang pengajuan itu, WorldCom melakukan ketidakwajaran akuntansi dengan </w:t>
      </w:r>
      <w:r>
        <w:rPr>
          <w:rFonts w:ascii="Times New Roman" w:hAnsi="Times New Roman" w:cs="Times New Roman"/>
          <w:b/>
          <w:i w:val="0"/>
          <w:sz w:val="24"/>
        </w:rPr>
        <w:t>melakukan kapitalisasi atas beban yang semestinya diklasifikasikan sebagai aktivitas operasi</w:t>
      </w:r>
      <w:r>
        <w:rPr>
          <w:rFonts w:ascii="Times New Roman" w:hAnsi="Times New Roman" w:cs="Times New Roman"/>
          <w:b w:val="0"/>
          <w:i w:val="0"/>
          <w:sz w:val="24"/>
        </w:rPr>
        <w:t xml:space="preserve"> — kesalahan klasifikasi yang menggelembungkan arus kas operasi yang dilaporkan sekaligus memberi kredibilitas semu pada laba bersih. Banyak investor terkecoh, tetapi SCF yang dibaca secara utuh sebetulnya menyiratkan cukup petunjuk untuk menumbuhkan kewaspadaan. </w:t>
      </w:r>
      <w:r>
        <w:rPr>
          <w:rFonts w:ascii="Times New Roman" w:hAnsi="Times New Roman" w:cs="Times New Roman"/>
          <w:b/>
          <w:i w:val="0"/>
          <w:sz w:val="24"/>
        </w:rPr>
        <w:t>Exhibit 13.6</w:t>
      </w:r>
      <w:r>
        <w:rPr>
          <w:rFonts w:ascii="Times New Roman" w:hAnsi="Times New Roman" w:cs="Times New Roman"/>
          <w:b w:val="0"/>
          <w:i w:val="0"/>
          <w:sz w:val="24"/>
        </w:rPr>
        <w:t xml:space="preserve"> menyajikan pos-pos terpilih SCF WorldCom hingga sekitar enam bulan sebelum kepailitan. Yang mencolok, </w:t>
      </w:r>
      <w:r>
        <w:rPr>
          <w:rFonts w:ascii="Times New Roman" w:hAnsi="Times New Roman" w:cs="Times New Roman"/>
          <w:b/>
          <w:i w:val="0"/>
          <w:sz w:val="24"/>
        </w:rPr>
        <w:t>laba bersih bernilai positif pada tiga tahun sebelum pengajuan</w:t>
      </w:r>
      <w:r>
        <w:rPr>
          <w:rFonts w:ascii="Times New Roman" w:hAnsi="Times New Roman" w:cs="Times New Roman"/>
          <w:b w:val="0"/>
          <w:i w:val="0"/>
          <w:sz w:val="24"/>
        </w:rPr>
        <w:t xml:space="preserve"> (mencapai $4.013 juta pada 1999 dan $4.153 juta pada 2000), seakan memberi citra sehat. Namun apabila arus kas investasi mencerminkan investasi yang memang diperlukan, selisih antara arus kas operasi dan arus kas investasi menunjukkan berapa banyak kas yang tersedia. WorldCom menggerus kas pada tiga dari empat tahun sebelum pailit, dan secara kumulatif, hingga </w:t>
      </w:r>
      <w:r>
        <w:rPr>
          <w:rFonts w:ascii="Times New Roman" w:hAnsi="Times New Roman" w:cs="Times New Roman"/>
          <w:b/>
          <w:i w:val="0"/>
          <w:sz w:val="24"/>
        </w:rPr>
        <w:t>31 Desember 2001 perusahaan telah menggali lubang sebesar $12 miliar</w:t>
      </w:r>
      <w:r>
        <w:rPr>
          <w:rFonts w:ascii="Times New Roman" w:hAnsi="Times New Roman" w:cs="Times New Roman"/>
          <w:b w:val="0"/>
          <w:i w:val="0"/>
          <w:sz w:val="24"/>
        </w:rPr>
        <w:t xml:space="preserve"> (tepatnya akumulasi CFO dikurangi CFI sebesar $(12.313) juta) (Wolk et al., 2017, PDF hlm. 15–16). Pertanyaan retoris yang ditinggalkan bab pun menohok: bahkan seandainya seluruh investasi itu sah, masuk akal untuk bertanya berapa lama hal itu dapat berlanjut — </w:t>
      </w:r>
      <w:r>
        <w:rPr>
          <w:rFonts w:ascii="Times New Roman" w:hAnsi="Times New Roman" w:cs="Times New Roman"/>
          <w:b/>
          <w:i w:val="0"/>
          <w:sz w:val="24"/>
        </w:rPr>
        <w:t>kapan "lubang" itu berhenti makin dalam?</w:t>
      </w:r>
      <w:r>
        <w:rPr>
          <w:rFonts w:ascii="Times New Roman" w:hAnsi="Times New Roman" w:cs="Times New Roman"/>
          <w:b w:val="0"/>
          <w:i w:val="0"/>
          <w:sz w:val="24"/>
        </w:rPr>
        <w:t xml:space="preserve"> SCF yang dibaca secara utuh melukiskan gambaran yang berharga, dan investor yang mengabaikan sebagiannya menanggung risikonya sendiri (Wolk et al., 2017, PDF hlm. 16).</w:t>
      </w:r>
    </w:p>
    <w:p>
      <w:pPr>
        <w:spacing w:before="120" w:after="120"/>
        <w:jc w:val="center"/>
      </w:pPr>
      <w:r>
        <w:drawing>
          <wp:inline xmlns:a="http://schemas.openxmlformats.org/drawingml/2006/main" xmlns:pic="http://schemas.openxmlformats.org/drawingml/2006/picture">
            <wp:extent cx="5220000" cy="1749149"/>
            <wp:docPr id="8" name="Picture 8"/>
            <wp:cNvGraphicFramePr>
              <a:graphicFrameLocks noChangeAspect="1"/>
            </wp:cNvGraphicFramePr>
            <a:graphic>
              <a:graphicData uri="http://schemas.openxmlformats.org/drawingml/2006/picture">
                <pic:pic>
                  <pic:nvPicPr>
                    <pic:cNvPr id="0" name="exhibit-13-6.png"/>
                    <pic:cNvPicPr/>
                  </pic:nvPicPr>
                  <pic:blipFill>
                    <a:blip r:embed="rId16"/>
                    <a:stretch>
                      <a:fillRect/>
                    </a:stretch>
                  </pic:blipFill>
                  <pic:spPr>
                    <a:xfrm>
                      <a:off x="0" y="0"/>
                      <a:ext cx="5220000" cy="1749149"/>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8. </w:t>
      </w:r>
      <w:r>
        <w:rPr>
          <w:rFonts w:ascii="Times New Roman" w:hAnsi="Times New Roman" w:cs="Times New Roman"/>
          <w:b w:val="0"/>
          <w:i w:val="0"/>
          <w:sz w:val="22"/>
        </w:rPr>
        <w:t>Kinerja dan arus kas WorldCom (Exhibit 13.6)</w:t>
      </w:r>
    </w:p>
    <w:p>
      <w:pPr>
        <w:spacing w:lineRule="exact" w:line="360" w:before="0" w:after="240"/>
        <w:jc w:val="center"/>
      </w:pPr>
      <w:r>
        <w:rPr>
          <w:rFonts w:ascii="Times New Roman" w:hAnsi="Times New Roman" w:cs="Times New Roman"/>
          <w:b w:val="0"/>
          <w:i/>
          <w:sz w:val="22"/>
        </w:rPr>
        <w:t>Sumber: Wolk, Dodd &amp; Rozycki (2017), Exhibit 13.6, PDF hlm. 16</w:t>
      </w:r>
    </w:p>
    <w:p>
      <w:pPr>
        <w:spacing w:lineRule="exact" w:line="360" w:before="0" w:after="120"/>
        <w:jc w:val="both"/>
      </w:pPr>
      <w:r>
        <w:rPr>
          <w:rFonts w:ascii="Times New Roman" w:hAnsi="Times New Roman" w:cs="Times New Roman"/>
          <w:b w:val="0"/>
          <w:i w:val="0"/>
          <w:sz w:val="24"/>
        </w:rPr>
        <w:t xml:space="preserve">Kegunaan SCF pada akhirnya bergantung pada kebutuhan masing-masing kelompok pengguna. </w:t>
      </w:r>
      <w:r>
        <w:rPr>
          <w:rFonts w:ascii="Times New Roman" w:hAnsi="Times New Roman" w:cs="Times New Roman"/>
          <w:b/>
          <w:i w:val="0"/>
          <w:sz w:val="24"/>
        </w:rPr>
        <w:t>Surat Warren Buffett tahun 1988 kepada para pemegang saham Berkshire Hathaway (BRKA)</w:t>
      </w:r>
      <w:r>
        <w:rPr>
          <w:rFonts w:ascii="Times New Roman" w:hAnsi="Times New Roman" w:cs="Times New Roman"/>
          <w:b w:val="0"/>
          <w:i w:val="0"/>
          <w:sz w:val="24"/>
        </w:rPr>
        <w:t xml:space="preserve"> merangkum apa yang semestinya dilaporkan: data yang membantu pembaca yang melek keuangan menjawab </w:t>
      </w:r>
      <w:r>
        <w:rPr>
          <w:rFonts w:ascii="Times New Roman" w:hAnsi="Times New Roman" w:cs="Times New Roman"/>
          <w:b/>
          <w:i w:val="0"/>
          <w:sz w:val="24"/>
        </w:rPr>
        <w:t>tiga pertanyaan kunci</w:t>
      </w:r>
      <w:r>
        <w:rPr>
          <w:rFonts w:ascii="Times New Roman" w:hAnsi="Times New Roman" w:cs="Times New Roman"/>
          <w:b w:val="0"/>
          <w:i w:val="0"/>
          <w:sz w:val="24"/>
        </w:rPr>
        <w:t xml:space="preserve"> — (1) Kira-kira berapa nilai perusahaan ini? (2) Seberapa besar kemungkinan ia dapat memenuhi kewajiban-kewajiban masa depannya? (3) Seberapa baik kinerja para manajernya, mengingat keadaan yang mereka hadapi? (Wolk et al., 2017, PDF hlm. 16). Ketiga pertanyaan ini memetakan tiga kebutuhan informasi: menilai perusahaan, mengambil keputusan kredit, dan menilai kinerja manajerial. Sesuai </w:t>
      </w:r>
      <w:r>
        <w:rPr>
          <w:rFonts w:ascii="Times New Roman" w:hAnsi="Times New Roman" w:cs="Times New Roman"/>
          <w:b/>
          <w:i w:val="0"/>
          <w:sz w:val="24"/>
        </w:rPr>
        <w:t>SFAC No. 1</w:t>
      </w:r>
      <w:r>
        <w:rPr>
          <w:rFonts w:ascii="Times New Roman" w:hAnsi="Times New Roman" w:cs="Times New Roman"/>
          <w:b w:val="0"/>
          <w:i w:val="0"/>
          <w:sz w:val="24"/>
        </w:rPr>
        <w:t xml:space="preserve">, penilaian kinerja manajerial menuntut ukuran arus kas </w:t>
      </w:r>
      <w:r>
        <w:rPr>
          <w:rFonts w:ascii="Times New Roman" w:hAnsi="Times New Roman" w:cs="Times New Roman"/>
          <w:b/>
          <w:i w:val="0"/>
          <w:sz w:val="24"/>
        </w:rPr>
        <w:t>historis</w:t>
      </w:r>
      <w:r>
        <w:rPr>
          <w:rFonts w:ascii="Times New Roman" w:hAnsi="Times New Roman" w:cs="Times New Roman"/>
          <w:b w:val="0"/>
          <w:i w:val="0"/>
          <w:sz w:val="24"/>
        </w:rPr>
        <w:t xml:space="preserve"> yang akurat, sedangkan keputusan kredit dan penilaian menuntut prediksi arus kas </w:t>
      </w:r>
      <w:r>
        <w:rPr>
          <w:rFonts w:ascii="Times New Roman" w:hAnsi="Times New Roman" w:cs="Times New Roman"/>
          <w:b/>
          <w:i w:val="0"/>
          <w:sz w:val="24"/>
        </w:rPr>
        <w:t>masa depan</w:t>
      </w:r>
      <w:r>
        <w:rPr>
          <w:rFonts w:ascii="Times New Roman" w:hAnsi="Times New Roman" w:cs="Times New Roman"/>
          <w:b w:val="0"/>
          <w:i w:val="0"/>
          <w:sz w:val="24"/>
        </w:rPr>
        <w:t xml:space="preserve"> yang tak bias. Keputusan investasi pada hakikatnya bergantung pada prediksi arus kas masa depan: investasi adalah keputusan alokasi modal, sehingga kriteria yang diterima sama dengan penganggaran modal — terima suatu investasi jika nilai kini arus kas bersih yang diharapkan bernilai positif (NPV positif). Pembelian saham layak dilakukan jika nilai kini per saham dari arus kas masa depan yang diharapkan — yakni </w:t>
      </w:r>
      <w:r>
        <w:rPr>
          <w:rFonts w:ascii="Times New Roman" w:hAnsi="Times New Roman" w:cs="Times New Roman"/>
          <w:b/>
          <w:i w:val="0"/>
          <w:sz w:val="24"/>
        </w:rPr>
        <w:t>nilai intrinsik</w:t>
      </w:r>
      <w:r>
        <w:rPr>
          <w:rFonts w:ascii="Times New Roman" w:hAnsi="Times New Roman" w:cs="Times New Roman"/>
          <w:b w:val="0"/>
          <w:i w:val="0"/>
          <w:sz w:val="24"/>
        </w:rPr>
        <w:t xml:space="preserve"> (</w:t>
      </w:r>
      <w:r>
        <w:rPr>
          <w:rFonts w:ascii="Times New Roman" w:hAnsi="Times New Roman" w:cs="Times New Roman"/>
          <w:b w:val="0"/>
          <w:i/>
          <w:sz w:val="24"/>
        </w:rPr>
        <w:t>intrinsic value</w:t>
      </w:r>
      <w:r>
        <w:rPr>
          <w:rFonts w:ascii="Times New Roman" w:hAnsi="Times New Roman" w:cs="Times New Roman"/>
          <w:b w:val="0"/>
          <w:i w:val="0"/>
          <w:sz w:val="24"/>
        </w:rPr>
        <w:t>) — melampaui harga pasar saat ini (Wolk et al., 2017, PDF hlm. 16). Buffett dalam "An Owner's Manual" mendefinisikan nilai intrinsik sebagai "nilai diskonto dari kas yang dapat ditarik dari suatu bisnis selama sisa umurnya," seraya mengingatkan bahwa angka ini bersifat estimasi, bukan ukuran presisi, dan harus berubah bila suku bunga bergeser atau perkiraan direvisi (Wolk et al., 2017, PDF hlm. 16–17).</w:t>
      </w:r>
    </w:p>
    <w:p>
      <w:pPr>
        <w:spacing w:lineRule="exact" w:line="360" w:before="240" w:after="120"/>
        <w:jc w:val="left"/>
      </w:pPr>
      <w:r>
        <w:rPr>
          <w:rFonts w:ascii="Times New Roman" w:hAnsi="Times New Roman" w:cs="Times New Roman"/>
          <w:b/>
          <w:i w:val="0"/>
          <w:sz w:val="26"/>
        </w:rPr>
        <w:t>IX. Free Cash Flow</w:t>
      </w:r>
    </w:p>
    <w:p>
      <w:pPr>
        <w:spacing w:lineRule="exact" w:line="360" w:before="0" w:after="120"/>
        <w:jc w:val="both"/>
      </w:pPr>
      <w:r>
        <w:rPr>
          <w:rFonts w:ascii="Times New Roman" w:hAnsi="Times New Roman" w:cs="Times New Roman"/>
          <w:b w:val="0"/>
          <w:i w:val="0"/>
          <w:sz w:val="24"/>
        </w:rPr>
        <w:t xml:space="preserve">Konsep nilai intrinsik inilah yang menjadi jembatan langsung menuju </w:t>
      </w:r>
      <w:r>
        <w:rPr>
          <w:rFonts w:ascii="Times New Roman" w:hAnsi="Times New Roman" w:cs="Times New Roman"/>
          <w:b w:val="0"/>
          <w:i/>
          <w:sz w:val="24"/>
        </w:rPr>
        <w:t>free cash flow</w:t>
      </w:r>
      <w:r>
        <w:rPr>
          <w:rFonts w:ascii="Times New Roman" w:hAnsi="Times New Roman" w:cs="Times New Roman"/>
          <w:b w:val="0"/>
          <w:i w:val="0"/>
          <w:sz w:val="24"/>
        </w:rPr>
        <w:t xml:space="preserve">. Arus kas yang dipakai untuk menentukan nilai intrinsik, ketika dipandang dari sudut perusahaan, disebut </w:t>
      </w:r>
      <w:r>
        <w:rPr>
          <w:rFonts w:ascii="Times New Roman" w:hAnsi="Times New Roman" w:cs="Times New Roman"/>
          <w:b w:val="0"/>
          <w:i/>
          <w:sz w:val="24"/>
        </w:rPr>
        <w:t>free cash flow</w:t>
      </w:r>
      <w:r>
        <w:rPr>
          <w:rFonts w:ascii="Times New Roman" w:hAnsi="Times New Roman" w:cs="Times New Roman"/>
          <w:b w:val="0"/>
          <w:i w:val="0"/>
          <w:sz w:val="24"/>
        </w:rPr>
        <w:t xml:space="preserve"> (FCF) atau arus kas bebas. </w:t>
      </w:r>
      <w:r>
        <w:rPr>
          <w:rFonts w:ascii="Times New Roman" w:hAnsi="Times New Roman" w:cs="Times New Roman"/>
          <w:b/>
          <w:i w:val="0"/>
          <w:sz w:val="24"/>
        </w:rPr>
        <w:t>Mulford dan Comiskey</w:t>
      </w:r>
      <w:r>
        <w:rPr>
          <w:rFonts w:ascii="Times New Roman" w:hAnsi="Times New Roman" w:cs="Times New Roman"/>
          <w:b w:val="0"/>
          <w:i w:val="0"/>
          <w:sz w:val="24"/>
        </w:rPr>
        <w:t xml:space="preserve"> menjelaskan istilah ini secara cermat: kata "bebas" (</w:t>
      </w:r>
      <w:r>
        <w:rPr>
          <w:rFonts w:ascii="Times New Roman" w:hAnsi="Times New Roman" w:cs="Times New Roman"/>
          <w:b w:val="0"/>
          <w:i/>
          <w:sz w:val="24"/>
        </w:rPr>
        <w:t>free</w:t>
      </w:r>
      <w:r>
        <w:rPr>
          <w:rFonts w:ascii="Times New Roman" w:hAnsi="Times New Roman" w:cs="Times New Roman"/>
          <w:b w:val="0"/>
          <w:i w:val="0"/>
          <w:sz w:val="24"/>
        </w:rPr>
        <w:t xml:space="preserve">) merujuk pada </w:t>
      </w:r>
      <w:r>
        <w:rPr>
          <w:rFonts w:ascii="Times New Roman" w:hAnsi="Times New Roman" w:cs="Times New Roman"/>
          <w:b/>
          <w:i w:val="0"/>
          <w:sz w:val="24"/>
        </w:rPr>
        <w:t>ketiadaan klaim yang lebih unggul</w:t>
      </w:r>
      <w:r>
        <w:rPr>
          <w:rFonts w:ascii="Times New Roman" w:hAnsi="Times New Roman" w:cs="Times New Roman"/>
          <w:b w:val="0"/>
          <w:i w:val="0"/>
          <w:sz w:val="24"/>
        </w:rPr>
        <w:t xml:space="preserve"> (</w:t>
      </w:r>
      <w:r>
        <w:rPr>
          <w:rFonts w:ascii="Times New Roman" w:hAnsi="Times New Roman" w:cs="Times New Roman"/>
          <w:b w:val="0"/>
          <w:i/>
          <w:sz w:val="24"/>
        </w:rPr>
        <w:t>absence of a superior claim</w:t>
      </w:r>
      <w:r>
        <w:rPr>
          <w:rFonts w:ascii="Times New Roman" w:hAnsi="Times New Roman" w:cs="Times New Roman"/>
          <w:b w:val="0"/>
          <w:i w:val="0"/>
          <w:sz w:val="24"/>
        </w:rPr>
        <w:t>) — yakni kas yang tersedia untuk digunakan "tanpa ikatan apa pun" (</w:t>
      </w:r>
      <w:r>
        <w:rPr>
          <w:rFonts w:ascii="Times New Roman" w:hAnsi="Times New Roman" w:cs="Times New Roman"/>
          <w:b w:val="0"/>
          <w:i/>
          <w:sz w:val="24"/>
        </w:rPr>
        <w:t>no strings attached</w:t>
      </w:r>
      <w:r>
        <w:rPr>
          <w:rFonts w:ascii="Times New Roman" w:hAnsi="Times New Roman" w:cs="Times New Roman"/>
          <w:b w:val="0"/>
          <w:i w:val="0"/>
          <w:sz w:val="24"/>
        </w:rPr>
        <w:t>), dan membelanjakannya tidak akan menurunkan kemampuan perusahaan menghasilkan kas lebih lanjut (Wolk et al., 2017, PDF hlm. 17). Mereka mencatat meningkatnya perhatian terhadap FCF di pers keuangan — kemungkinan sebagai reaksi atas berbagai skandal akuntansi dan praktik manajemen laba yang mencuat — dan memandang popularitas itu secara positif sebagai bukti bahwa investor dan kreditor mulai menekankan apa yang benar-benar penting bagi analisis dan penilaian.</w:t>
      </w:r>
    </w:p>
    <w:p>
      <w:pPr>
        <w:spacing w:lineRule="exact" w:line="360" w:before="0" w:after="120"/>
        <w:jc w:val="both"/>
      </w:pPr>
      <w:r>
        <w:rPr>
          <w:rFonts w:ascii="Times New Roman" w:hAnsi="Times New Roman" w:cs="Times New Roman"/>
          <w:b w:val="0"/>
          <w:i w:val="0"/>
          <w:sz w:val="24"/>
        </w:rPr>
        <w:t xml:space="preserve">Beberapa definisi FCF beredar; mengikuti </w:t>
      </w:r>
      <w:r>
        <w:rPr>
          <w:rFonts w:ascii="Times New Roman" w:hAnsi="Times New Roman" w:cs="Times New Roman"/>
          <w:b/>
          <w:i w:val="0"/>
          <w:sz w:val="24"/>
        </w:rPr>
        <w:t>teori entitas</w:t>
      </w:r>
      <w:r>
        <w:rPr>
          <w:rFonts w:ascii="Times New Roman" w:hAnsi="Times New Roman" w:cs="Times New Roman"/>
          <w:b w:val="0"/>
          <w:i w:val="0"/>
          <w:sz w:val="24"/>
        </w:rPr>
        <w:t xml:space="preserve"> atas perusahaan, para penulis berfokus pada </w:t>
      </w:r>
      <w:r>
        <w:rPr>
          <w:rFonts w:ascii="Times New Roman" w:hAnsi="Times New Roman" w:cs="Times New Roman"/>
          <w:b/>
          <w:i w:val="0"/>
          <w:sz w:val="24"/>
        </w:rPr>
        <w:t>arus kas bagi perusahaan</w:t>
      </w:r>
      <w:r>
        <w:rPr>
          <w:rFonts w:ascii="Times New Roman" w:hAnsi="Times New Roman" w:cs="Times New Roman"/>
          <w:b w:val="0"/>
          <w:i w:val="0"/>
          <w:sz w:val="24"/>
        </w:rPr>
        <w:t xml:space="preserve"> (</w:t>
      </w:r>
      <w:r>
        <w:rPr>
          <w:rFonts w:ascii="Times New Roman" w:hAnsi="Times New Roman" w:cs="Times New Roman"/>
          <w:b w:val="0"/>
          <w:i/>
          <w:sz w:val="24"/>
        </w:rPr>
        <w:t>cash flow to the firm</w:t>
      </w:r>
      <w:r>
        <w:rPr>
          <w:rFonts w:ascii="Times New Roman" w:hAnsi="Times New Roman" w:cs="Times New Roman"/>
          <w:b w:val="0"/>
          <w:i w:val="0"/>
          <w:sz w:val="24"/>
        </w:rPr>
        <w:t xml:space="preserve">). Satu hal yang harus ditegaskan: FCF </w:t>
      </w:r>
      <w:r>
        <w:rPr>
          <w:rFonts w:ascii="Times New Roman" w:hAnsi="Times New Roman" w:cs="Times New Roman"/>
          <w:b/>
          <w:i w:val="0"/>
          <w:sz w:val="24"/>
        </w:rPr>
        <w:t>tidak dapat diperoleh secara langsung dari SCF</w:t>
      </w:r>
      <w:r>
        <w:rPr>
          <w:rFonts w:ascii="Times New Roman" w:hAnsi="Times New Roman" w:cs="Times New Roman"/>
          <w:b w:val="0"/>
          <w:i w:val="0"/>
          <w:sz w:val="24"/>
        </w:rPr>
        <w:t xml:space="preserve">. Secara formal, FCF dirumuskan dalam persamaan </w:t>
      </w:r>
      <w:r>
        <w:rPr>
          <w:rFonts w:ascii="Times New Roman" w:hAnsi="Times New Roman" w:cs="Times New Roman"/>
          <w:b/>
          <w:i w:val="0"/>
          <w:sz w:val="24"/>
        </w:rPr>
        <w:t>(13.2): FCF = NOPLAT − investasi pada modal yang diinvestasikan untuk operasi</w:t>
      </w:r>
      <w:r>
        <w:rPr>
          <w:rFonts w:ascii="Times New Roman" w:hAnsi="Times New Roman" w:cs="Times New Roman"/>
          <w:b w:val="0"/>
          <w:i w:val="0"/>
          <w:sz w:val="24"/>
        </w:rPr>
        <w:t xml:space="preserve"> (</w:t>
      </w:r>
      <w:r>
        <w:rPr>
          <w:rFonts w:ascii="Times New Roman" w:hAnsi="Times New Roman" w:cs="Times New Roman"/>
          <w:b w:val="0"/>
          <w:i/>
          <w:sz w:val="24"/>
        </w:rPr>
        <w:t>investment in operating invested capital</w:t>
      </w:r>
      <w:r>
        <w:rPr>
          <w:rFonts w:ascii="Times New Roman" w:hAnsi="Times New Roman" w:cs="Times New Roman"/>
          <w:b w:val="0"/>
          <w:i w:val="0"/>
          <w:sz w:val="24"/>
        </w:rPr>
        <w:t xml:space="preserve">) (Wolk et al., 2017, PDF hlm. 17). Di sini </w:t>
      </w:r>
      <w:r>
        <w:rPr>
          <w:rFonts w:ascii="Times New Roman" w:hAnsi="Times New Roman" w:cs="Times New Roman"/>
          <w:b/>
          <w:i w:val="0"/>
          <w:sz w:val="24"/>
        </w:rPr>
        <w:t>NOPLAT</w:t>
      </w:r>
      <w:r>
        <w:rPr>
          <w:rFonts w:ascii="Times New Roman" w:hAnsi="Times New Roman" w:cs="Times New Roman"/>
          <w:b w:val="0"/>
          <w:i w:val="0"/>
          <w:sz w:val="24"/>
        </w:rPr>
        <w:t xml:space="preserve"> (</w:t>
      </w:r>
      <w:r>
        <w:rPr>
          <w:rFonts w:ascii="Times New Roman" w:hAnsi="Times New Roman" w:cs="Times New Roman"/>
          <w:b w:val="0"/>
          <w:i/>
          <w:sz w:val="24"/>
        </w:rPr>
        <w:t>net operating profit less adjusted taxes</w:t>
      </w:r>
      <w:r>
        <w:rPr>
          <w:rFonts w:ascii="Times New Roman" w:hAnsi="Times New Roman" w:cs="Times New Roman"/>
          <w:b w:val="0"/>
          <w:i w:val="0"/>
          <w:sz w:val="24"/>
        </w:rPr>
        <w:t xml:space="preserve">) adalah laba operasi setelah pajak yang disesuaikan; dalam kasus sederhana, NOPLAT setara dengan laba operasi setelah pajak. Investasi pada modal operasi lazimnya dipecah menjadi investasi pada modal kerja operasi bersih dan investasi pada aset tidak lancar. Dua karakteristik penting menyertai definisi ini: pertama, FCF </w:t>
      </w:r>
      <w:r>
        <w:rPr>
          <w:rFonts w:ascii="Times New Roman" w:hAnsi="Times New Roman" w:cs="Times New Roman"/>
          <w:b/>
          <w:i w:val="0"/>
          <w:sz w:val="24"/>
        </w:rPr>
        <w:t>tidak memasukkan beban bunga</w:t>
      </w:r>
      <w:r>
        <w:rPr>
          <w:rFonts w:ascii="Times New Roman" w:hAnsi="Times New Roman" w:cs="Times New Roman"/>
          <w:b w:val="0"/>
          <w:i w:val="0"/>
          <w:sz w:val="24"/>
        </w:rPr>
        <w:t xml:space="preserve">, karena bunga merupakan beban pendanaan; kedua, sejalan dengan perusahaan yang terus beroperasi, </w:t>
      </w:r>
      <w:r>
        <w:rPr>
          <w:rFonts w:ascii="Times New Roman" w:hAnsi="Times New Roman" w:cs="Times New Roman"/>
          <w:b/>
          <w:i w:val="0"/>
          <w:sz w:val="24"/>
        </w:rPr>
        <w:t>kas operasi diperlakukan sebagai bagian dari modal kerja operasi bersih</w:t>
      </w:r>
      <w:r>
        <w:rPr>
          <w:rFonts w:ascii="Times New Roman" w:hAnsi="Times New Roman" w:cs="Times New Roman"/>
          <w:b w:val="0"/>
          <w:i w:val="0"/>
          <w:sz w:val="24"/>
        </w:rPr>
        <w:t xml:space="preserve"> — setara dengan piutang dan persediaan.</w:t>
      </w:r>
    </w:p>
    <w:p>
      <w:pPr>
        <w:spacing w:lineRule="exact" w:line="360" w:before="0" w:after="120"/>
        <w:jc w:val="both"/>
      </w:pPr>
      <w:r>
        <w:rPr>
          <w:rFonts w:ascii="Times New Roman" w:hAnsi="Times New Roman" w:cs="Times New Roman"/>
          <w:b w:val="0"/>
          <w:i w:val="0"/>
          <w:sz w:val="24"/>
        </w:rPr>
        <w:t xml:space="preserve">Mekanika FCF diperagakan melalui ilustrasi </w:t>
      </w:r>
      <w:r>
        <w:rPr>
          <w:rFonts w:ascii="Times New Roman" w:hAnsi="Times New Roman" w:cs="Times New Roman"/>
          <w:b/>
          <w:i w:val="0"/>
          <w:sz w:val="24"/>
        </w:rPr>
        <w:t>ABC Company</w:t>
      </w:r>
      <w:r>
        <w:rPr>
          <w:rFonts w:ascii="Times New Roman" w:hAnsi="Times New Roman" w:cs="Times New Roman"/>
          <w:b w:val="0"/>
          <w:i w:val="0"/>
          <w:sz w:val="24"/>
        </w:rPr>
        <w:t xml:space="preserve"> yang membentang dari laporan laba rugi dan neraca (Exhibit 13.7), SCF yang dibangun darinya (Exhibit 13.8), laporan arus kas bebas (Exhibit 13.9), jembatan dari SCF ke FCF (Exhibit 13.10), hingga perbandingan empat ukuran kinerja (Exhibit 13.11). Dari SCF ABC (Exhibit 13.8), arus kas operasi tercatat $527, $466, dan $434 untuk tahun 2005–2007, sedangkan arus kas investasi sebesar $(277), $(309), dan $(360). Pembangunan FCF pada </w:t>
      </w:r>
      <w:r>
        <w:rPr>
          <w:rFonts w:ascii="Times New Roman" w:hAnsi="Times New Roman" w:cs="Times New Roman"/>
          <w:b/>
          <w:i w:val="0"/>
          <w:sz w:val="24"/>
        </w:rPr>
        <w:t>Exhibit 13.9</w:t>
      </w:r>
      <w:r>
        <w:rPr>
          <w:rFonts w:ascii="Times New Roman" w:hAnsi="Times New Roman" w:cs="Times New Roman"/>
          <w:b w:val="0"/>
          <w:i w:val="0"/>
          <w:sz w:val="24"/>
        </w:rPr>
        <w:t xml:space="preserve"> dimulai dari laba operasi $578/555/587, dikurangi pajak berbasis kas atas laba operasi $232/222/234 sehingga menghasilkan </w:t>
      </w:r>
      <w:r>
        <w:rPr>
          <w:rFonts w:ascii="Times New Roman" w:hAnsi="Times New Roman" w:cs="Times New Roman"/>
          <w:b/>
          <w:i w:val="0"/>
          <w:sz w:val="24"/>
        </w:rPr>
        <w:t>NOPLAT $346/333/353</w:t>
      </w:r>
      <w:r>
        <w:rPr>
          <w:rFonts w:ascii="Times New Roman" w:hAnsi="Times New Roman" w:cs="Times New Roman"/>
          <w:b w:val="0"/>
          <w:i w:val="0"/>
          <w:sz w:val="24"/>
        </w:rPr>
        <w:t xml:space="preserve">; ditambah penyusutan dan amortisasi $215/220/228 diperoleh arus kas bruto $561/553/581; lalu dikurangi total investasi $(229)/(454)/(501) — yang mencakup investasi pada modal kerja operasi bersih dan pada aset tetap bersih — sehingga </w:t>
      </w:r>
      <w:r>
        <w:rPr>
          <w:rFonts w:ascii="Times New Roman" w:hAnsi="Times New Roman" w:cs="Times New Roman"/>
          <w:b/>
          <w:i w:val="0"/>
          <w:sz w:val="24"/>
        </w:rPr>
        <w:t>arus kas bebas dari aset operasi menjadi $332, $99, dan $80</w:t>
      </w:r>
      <w:r>
        <w:rPr>
          <w:rFonts w:ascii="Times New Roman" w:hAnsi="Times New Roman" w:cs="Times New Roman"/>
          <w:b w:val="0"/>
          <w:i w:val="0"/>
          <w:sz w:val="24"/>
        </w:rPr>
        <w:t>. Yang elegan di sini adalah bahwa sisi kedua laporan itu — arus kas bebas bagi para pemberi modal (utang berbunga dan ekuitas) — juga berakhir pada angka yang sama, $332/99/80, sehingga kedua sisi saling mengikat.</w:t>
      </w:r>
    </w:p>
    <w:p>
      <w:pPr>
        <w:spacing w:before="120" w:after="120"/>
        <w:jc w:val="center"/>
      </w:pPr>
      <w:r>
        <w:drawing>
          <wp:inline xmlns:a="http://schemas.openxmlformats.org/drawingml/2006/main" xmlns:pic="http://schemas.openxmlformats.org/drawingml/2006/picture">
            <wp:extent cx="5220000" cy="5908680"/>
            <wp:docPr id="9" name="Picture 9"/>
            <wp:cNvGraphicFramePr>
              <a:graphicFrameLocks noChangeAspect="1"/>
            </wp:cNvGraphicFramePr>
            <a:graphic>
              <a:graphicData uri="http://schemas.openxmlformats.org/drawingml/2006/picture">
                <pic:pic>
                  <pic:nvPicPr>
                    <pic:cNvPr id="0" name="exhibit-13-9.png"/>
                    <pic:cNvPicPr/>
                  </pic:nvPicPr>
                  <pic:blipFill>
                    <a:blip r:embed="rId17"/>
                    <a:stretch>
                      <a:fillRect/>
                    </a:stretch>
                  </pic:blipFill>
                  <pic:spPr>
                    <a:xfrm>
                      <a:off x="0" y="0"/>
                      <a:ext cx="5220000" cy="5908680"/>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9. </w:t>
      </w:r>
      <w:r>
        <w:rPr>
          <w:rFonts w:ascii="Times New Roman" w:hAnsi="Times New Roman" w:cs="Times New Roman"/>
          <w:b w:val="0"/>
          <w:i w:val="0"/>
          <w:sz w:val="22"/>
        </w:rPr>
        <w:t>Konstruksi free cash flow ABC Company (Exhibit 13.9)</w:t>
      </w:r>
    </w:p>
    <w:p>
      <w:pPr>
        <w:spacing w:lineRule="exact" w:line="360" w:before="0" w:after="240"/>
        <w:jc w:val="center"/>
      </w:pPr>
      <w:r>
        <w:rPr>
          <w:rFonts w:ascii="Times New Roman" w:hAnsi="Times New Roman" w:cs="Times New Roman"/>
          <w:b w:val="0"/>
          <w:i/>
          <w:sz w:val="22"/>
        </w:rPr>
        <w:t>Sumber: Wolk, Dodd &amp; Rozycki (2017), Exhibit 13.9, PDF hlm. 20</w:t>
      </w:r>
    </w:p>
    <w:p>
      <w:pPr>
        <w:spacing w:lineRule="exact" w:line="360" w:before="0" w:after="120"/>
        <w:jc w:val="both"/>
      </w:pPr>
      <w:r>
        <w:rPr>
          <w:rFonts w:ascii="Times New Roman" w:hAnsi="Times New Roman" w:cs="Times New Roman"/>
          <w:b w:val="0"/>
          <w:i w:val="0"/>
          <w:sz w:val="24"/>
        </w:rPr>
        <w:t xml:space="preserve">Karena FCF tidak terbaca langsung dari SCF, bab menyajikan jembatan eksplisit pada </w:t>
      </w:r>
      <w:r>
        <w:rPr>
          <w:rFonts w:ascii="Times New Roman" w:hAnsi="Times New Roman" w:cs="Times New Roman"/>
          <w:b/>
          <w:i w:val="0"/>
          <w:sz w:val="24"/>
        </w:rPr>
        <w:t>Exhibit 13.10</w:t>
      </w:r>
      <w:r>
        <w:rPr>
          <w:rFonts w:ascii="Times New Roman" w:hAnsi="Times New Roman" w:cs="Times New Roman"/>
          <w:b w:val="0"/>
          <w:i w:val="0"/>
          <w:sz w:val="24"/>
        </w:rPr>
        <w:t xml:space="preserve">. Titik tolaknya adalah arus kas operasi (CFO); kepadanya </w:t>
      </w:r>
      <w:r>
        <w:rPr>
          <w:rFonts w:ascii="Times New Roman" w:hAnsi="Times New Roman" w:cs="Times New Roman"/>
          <w:b/>
          <w:i w:val="0"/>
          <w:sz w:val="24"/>
        </w:rPr>
        <w:t>ditambahkan</w:t>
      </w:r>
      <w:r>
        <w:rPr>
          <w:rFonts w:ascii="Times New Roman" w:hAnsi="Times New Roman" w:cs="Times New Roman"/>
          <w:b w:val="0"/>
          <w:i w:val="0"/>
          <w:sz w:val="24"/>
        </w:rPr>
        <w:t xml:space="preserve"> beban bunga setelah pajak (untuk meniadakan efek pendanaan yang mengontaminasi CFO); lalu </w:t>
      </w:r>
      <w:r>
        <w:rPr>
          <w:rFonts w:ascii="Times New Roman" w:hAnsi="Times New Roman" w:cs="Times New Roman"/>
          <w:b/>
          <w:i w:val="0"/>
          <w:sz w:val="24"/>
        </w:rPr>
        <w:t>dikurangi</w:t>
      </w:r>
      <w:r>
        <w:rPr>
          <w:rFonts w:ascii="Times New Roman" w:hAnsi="Times New Roman" w:cs="Times New Roman"/>
          <w:b w:val="0"/>
          <w:i w:val="0"/>
          <w:sz w:val="24"/>
        </w:rPr>
        <w:t xml:space="preserve"> kenaikan kas operasi (karena kas operasi diperlakukan sebagai bagian dari modal yang diinvestasikan); dan </w:t>
      </w:r>
      <w:r>
        <w:rPr>
          <w:rFonts w:ascii="Times New Roman" w:hAnsi="Times New Roman" w:cs="Times New Roman"/>
          <w:b/>
          <w:i w:val="0"/>
          <w:sz w:val="24"/>
        </w:rPr>
        <w:t>ditambahkan</w:t>
      </w:r>
      <w:r>
        <w:rPr>
          <w:rFonts w:ascii="Times New Roman" w:hAnsi="Times New Roman" w:cs="Times New Roman"/>
          <w:b w:val="0"/>
          <w:i w:val="0"/>
          <w:sz w:val="24"/>
        </w:rPr>
        <w:t xml:space="preserve"> arus kas bersih dari aktivitas investasi (CFI). Satu kehati-hatian penting di sini: CFI lazimnya bernilai negatif — pada ABC tahun 2005, misalnya, CFI sebesar $(277) — sehingga "menambahkan" CFI sesungguhnya </w:t>
      </w:r>
      <w:r>
        <w:rPr>
          <w:rFonts w:ascii="Times New Roman" w:hAnsi="Times New Roman" w:cs="Times New Roman"/>
          <w:b/>
          <w:i w:val="0"/>
          <w:sz w:val="24"/>
        </w:rPr>
        <w:t>mengurangi</w:t>
      </w:r>
      <w:r>
        <w:rPr>
          <w:rFonts w:ascii="Times New Roman" w:hAnsi="Times New Roman" w:cs="Times New Roman"/>
          <w:b w:val="0"/>
          <w:i w:val="0"/>
          <w:sz w:val="24"/>
        </w:rPr>
        <w:t xml:space="preserve"> FCF. Hasil akhir jembatan ini, $332/99/80, identik dengan FCF yang dibangun pada Exhibit 13.9.</w:t>
      </w:r>
    </w:p>
    <w:p>
      <w:pPr>
        <w:spacing w:before="120" w:after="120"/>
        <w:jc w:val="center"/>
      </w:pPr>
      <w:r>
        <w:drawing>
          <wp:inline xmlns:a="http://schemas.openxmlformats.org/drawingml/2006/main" xmlns:pic="http://schemas.openxmlformats.org/drawingml/2006/picture">
            <wp:extent cx="5220000" cy="2505884"/>
            <wp:docPr id="10" name="Picture 10"/>
            <wp:cNvGraphicFramePr>
              <a:graphicFrameLocks noChangeAspect="1"/>
            </wp:cNvGraphicFramePr>
            <a:graphic>
              <a:graphicData uri="http://schemas.openxmlformats.org/drawingml/2006/picture">
                <pic:pic>
                  <pic:nvPicPr>
                    <pic:cNvPr id="0" name="diagram-fcf-waterfall.png"/>
                    <pic:cNvPicPr/>
                  </pic:nvPicPr>
                  <pic:blipFill>
                    <a:blip r:embed="rId18"/>
                    <a:stretch>
                      <a:fillRect/>
                    </a:stretch>
                  </pic:blipFill>
                  <pic:spPr>
                    <a:xfrm>
                      <a:off x="0" y="0"/>
                      <a:ext cx="5220000" cy="2505884"/>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10. </w:t>
      </w:r>
      <w:r>
        <w:rPr>
          <w:rFonts w:ascii="Times New Roman" w:hAnsi="Times New Roman" w:cs="Times New Roman"/>
          <w:b w:val="0"/>
          <w:i w:val="0"/>
          <w:sz w:val="22"/>
        </w:rPr>
        <w:t>Jembatan CFO menuju FCF, ABC Company 2005</w:t>
      </w:r>
    </w:p>
    <w:p>
      <w:pPr>
        <w:spacing w:lineRule="exact" w:line="360" w:before="0" w:after="240"/>
        <w:jc w:val="center"/>
      </w:pPr>
      <w:r>
        <w:rPr>
          <w:rFonts w:ascii="Times New Roman" w:hAnsi="Times New Roman" w:cs="Times New Roman"/>
          <w:b w:val="0"/>
          <w:i/>
          <w:sz w:val="22"/>
        </w:rPr>
        <w:t>Sumber: diolah dari Wolk, Dodd &amp; Rozycki (2017), Exhibit 13.10, PDF hlm. 20</w:t>
      </w:r>
    </w:p>
    <w:p>
      <w:pPr>
        <w:spacing w:lineRule="exact" w:line="360" w:before="0" w:after="120"/>
        <w:jc w:val="both"/>
      </w:pPr>
      <w:r>
        <w:rPr>
          <w:rFonts w:ascii="Times New Roman" w:hAnsi="Times New Roman" w:cs="Times New Roman"/>
          <w:b w:val="0"/>
          <w:i w:val="0"/>
          <w:sz w:val="24"/>
        </w:rPr>
        <w:t xml:space="preserve">Bab menutup pembahasan FCF dengan panduan empat ukuran yang dirangkum pada </w:t>
      </w:r>
      <w:r>
        <w:rPr>
          <w:rFonts w:ascii="Times New Roman" w:hAnsi="Times New Roman" w:cs="Times New Roman"/>
          <w:b/>
          <w:i w:val="0"/>
          <w:sz w:val="24"/>
        </w:rPr>
        <w:t>Exhibit 13.11</w:t>
      </w:r>
      <w:r>
        <w:rPr>
          <w:rFonts w:ascii="Times New Roman" w:hAnsi="Times New Roman" w:cs="Times New Roman"/>
          <w:b w:val="0"/>
          <w:i w:val="0"/>
          <w:sz w:val="24"/>
        </w:rPr>
        <w:t xml:space="preserve">. Pemilihan ukuran bergantung pada waktu, sumber daya, dan tujuan spesifik pengguna. Sebagian pengguna cukup mempertimbangkan </w:t>
      </w:r>
      <w:r>
        <w:rPr>
          <w:rFonts w:ascii="Times New Roman" w:hAnsi="Times New Roman" w:cs="Times New Roman"/>
          <w:b/>
          <w:i w:val="0"/>
          <w:sz w:val="24"/>
        </w:rPr>
        <w:t>laba bersih</w:t>
      </w:r>
      <w:r>
        <w:rPr>
          <w:rFonts w:ascii="Times New Roman" w:hAnsi="Times New Roman" w:cs="Times New Roman"/>
          <w:b w:val="0"/>
          <w:i w:val="0"/>
          <w:sz w:val="24"/>
        </w:rPr>
        <w:t xml:space="preserve"> semata. Untuk pemahaman yang lebih baik atas operasi dan untuk menilai kualitas laba bersih, perhatian diarahkan pada </w:t>
      </w:r>
      <w:r>
        <w:rPr>
          <w:rFonts w:ascii="Times New Roman" w:hAnsi="Times New Roman" w:cs="Times New Roman"/>
          <w:b/>
          <w:i w:val="0"/>
          <w:sz w:val="24"/>
        </w:rPr>
        <w:t>arus kas dari aktivitas operasi (CFO)</w:t>
      </w:r>
      <w:r>
        <w:rPr>
          <w:rFonts w:ascii="Times New Roman" w:hAnsi="Times New Roman" w:cs="Times New Roman"/>
          <w:b w:val="0"/>
          <w:i w:val="0"/>
          <w:sz w:val="24"/>
        </w:rPr>
        <w:t xml:space="preserve">. Untuk menghindari persoalan pengklasifikasian beban operasi sebagai investasi sekaligus menangkap kemampuan menghasilkan kas secara </w:t>
      </w:r>
      <w:r>
        <w:rPr>
          <w:rFonts w:ascii="Times New Roman" w:hAnsi="Times New Roman" w:cs="Times New Roman"/>
          <w:b w:val="0"/>
          <w:i/>
          <w:sz w:val="24"/>
        </w:rPr>
        <w:t>bersih</w:t>
      </w:r>
      <w:r>
        <w:rPr>
          <w:rFonts w:ascii="Times New Roman" w:hAnsi="Times New Roman" w:cs="Times New Roman"/>
          <w:b w:val="0"/>
          <w:i w:val="0"/>
          <w:sz w:val="24"/>
        </w:rPr>
        <w:t xml:space="preserve">, pengguna mengurangkan arus kas investasi dari arus kas operasi, yakni </w:t>
      </w:r>
      <w:r>
        <w:rPr>
          <w:rFonts w:ascii="Times New Roman" w:hAnsi="Times New Roman" w:cs="Times New Roman"/>
          <w:b/>
          <w:i w:val="0"/>
          <w:sz w:val="24"/>
        </w:rPr>
        <w:t>CFO − CFI</w:t>
      </w:r>
      <w:r>
        <w:rPr>
          <w:rFonts w:ascii="Times New Roman" w:hAnsi="Times New Roman" w:cs="Times New Roman"/>
          <w:b w:val="0"/>
          <w:i w:val="0"/>
          <w:sz w:val="24"/>
        </w:rPr>
        <w:t xml:space="preserve">. Akhirnya, karena CFO masih "terkontaminasi" beban bunga (suatu pos pendanaan), maka untuk benar-benar berfokus pada operasi dan mengakui kas operasi sebagai bagian modal yang diinvestasikan, pengguna menghitung </w:t>
      </w:r>
      <w:r>
        <w:rPr>
          <w:rFonts w:ascii="Times New Roman" w:hAnsi="Times New Roman" w:cs="Times New Roman"/>
          <w:b/>
          <w:i w:val="0"/>
          <w:sz w:val="24"/>
        </w:rPr>
        <w:t>FCF</w:t>
      </w:r>
      <w:r>
        <w:rPr>
          <w:rFonts w:ascii="Times New Roman" w:hAnsi="Times New Roman" w:cs="Times New Roman"/>
          <w:b w:val="0"/>
          <w:i w:val="0"/>
          <w:sz w:val="24"/>
        </w:rPr>
        <w:t xml:space="preserve">; investor lantas dapat menaksir nilai intrinsik dengan mendiskontokan FCF yang diramalkan menggunakan </w:t>
      </w:r>
      <w:r>
        <w:rPr>
          <w:rFonts w:ascii="Times New Roman" w:hAnsi="Times New Roman" w:cs="Times New Roman"/>
          <w:b/>
          <w:i w:val="0"/>
          <w:sz w:val="24"/>
        </w:rPr>
        <w:t>biaya modal rata-rata tertimbang</w:t>
      </w:r>
      <w:r>
        <w:rPr>
          <w:rFonts w:ascii="Times New Roman" w:hAnsi="Times New Roman" w:cs="Times New Roman"/>
          <w:b w:val="0"/>
          <w:i w:val="0"/>
          <w:sz w:val="24"/>
        </w:rPr>
        <w:t xml:space="preserve"> (</w:t>
      </w:r>
      <w:r>
        <w:rPr>
          <w:rFonts w:ascii="Times New Roman" w:hAnsi="Times New Roman" w:cs="Times New Roman"/>
          <w:b w:val="0"/>
          <w:i/>
          <w:sz w:val="24"/>
        </w:rPr>
        <w:t>weighted average cost of capital</w:t>
      </w:r>
      <w:r>
        <w:rPr>
          <w:rFonts w:ascii="Times New Roman" w:hAnsi="Times New Roman" w:cs="Times New Roman"/>
          <w:b w:val="0"/>
          <w:i w:val="0"/>
          <w:sz w:val="24"/>
        </w:rPr>
        <w:t>, WACC) perusahaan (Wolk et al., 2017, PDF hlm. 18). Perbandingan keempat ukuran untuk ABC memperlihatkan betapa ragamnya gambaran yang dihasilkan: laba bersih $320/312/331; CFO $527/466/434; CFO − CFI $250/157/74; dan FCF $332/99/80 — sebuah keragaman yang ditutup bab dengan kalimat bijak bahwa "dunia nyata tidak pernah sederhana" (Wolk et al., 2017, PDF hlm. 19, 21). Perlu dicatat, FCF merupakan ukuran non-GAAP; ia tidak diatur secara seragam, tumbuh sebagian justru karena keterbatasan SCF, dan karenanya menuntut kehati-hatian — angkanya bergantung pada definisi yang dipilih serta asumsi yang melekat pada estimasi arus kas masa depan.</w:t>
      </w:r>
    </w:p>
    <w:p>
      <w:pPr>
        <w:spacing w:before="120" w:after="120"/>
        <w:jc w:val="center"/>
      </w:pPr>
      <w:r>
        <w:drawing>
          <wp:inline xmlns:a="http://schemas.openxmlformats.org/drawingml/2006/main" xmlns:pic="http://schemas.openxmlformats.org/drawingml/2006/picture">
            <wp:extent cx="5220000" cy="2427797"/>
            <wp:docPr id="11" name="Picture 11"/>
            <wp:cNvGraphicFramePr>
              <a:graphicFrameLocks noChangeAspect="1"/>
            </wp:cNvGraphicFramePr>
            <a:graphic>
              <a:graphicData uri="http://schemas.openxmlformats.org/drawingml/2006/picture">
                <pic:pic>
                  <pic:nvPicPr>
                    <pic:cNvPr id="0" name="diagram-four-measures.png"/>
                    <pic:cNvPicPr/>
                  </pic:nvPicPr>
                  <pic:blipFill>
                    <a:blip r:embed="rId19"/>
                    <a:stretch>
                      <a:fillRect/>
                    </a:stretch>
                  </pic:blipFill>
                  <pic:spPr>
                    <a:xfrm>
                      <a:off x="0" y="0"/>
                      <a:ext cx="5220000" cy="2427797"/>
                    </a:xfrm>
                    <a:prstGeom prst="rect"/>
                  </pic:spPr>
                </pic:pic>
              </a:graphicData>
            </a:graphic>
          </wp:inline>
        </w:drawing>
      </w:r>
    </w:p>
    <w:p>
      <w:pPr>
        <w:spacing w:lineRule="exact" w:line="360" w:before="0" w:after="0"/>
        <w:jc w:val="center"/>
      </w:pPr>
      <w:r>
        <w:rPr>
          <w:rFonts w:ascii="Times New Roman" w:hAnsi="Times New Roman" w:cs="Times New Roman"/>
          <w:b/>
          <w:i w:val="0"/>
          <w:sz w:val="22"/>
        </w:rPr>
        <w:t xml:space="preserve">Gambar 11. </w:t>
      </w:r>
      <w:r>
        <w:rPr>
          <w:rFonts w:ascii="Times New Roman" w:hAnsi="Times New Roman" w:cs="Times New Roman"/>
          <w:b w:val="0"/>
          <w:i w:val="0"/>
          <w:sz w:val="22"/>
        </w:rPr>
        <w:t>Perbandingan empat ukuran kinerja ABC Company</w:t>
      </w:r>
    </w:p>
    <w:p>
      <w:pPr>
        <w:spacing w:lineRule="exact" w:line="360" w:before="0" w:after="240"/>
        <w:jc w:val="center"/>
      </w:pPr>
      <w:r>
        <w:rPr>
          <w:rFonts w:ascii="Times New Roman" w:hAnsi="Times New Roman" w:cs="Times New Roman"/>
          <w:b w:val="0"/>
          <w:i/>
          <w:sz w:val="22"/>
        </w:rPr>
        <w:t>Sumber: diolah dari Wolk, Dodd &amp; Rozycki (2017), Exhibit 13.11, PDF hlm. 18, 21</w:t>
      </w:r>
    </w:p>
    <w:p>
      <w:pPr>
        <w:spacing w:lineRule="exact" w:line="360" w:before="240" w:after="120"/>
        <w:jc w:val="left"/>
      </w:pPr>
      <w:r>
        <w:rPr>
          <w:rFonts w:ascii="Times New Roman" w:hAnsi="Times New Roman" w:cs="Times New Roman"/>
          <w:b/>
          <w:i w:val="0"/>
          <w:sz w:val="26"/>
        </w:rPr>
        <w:t>X. Riset Teoretis dan Empiris</w:t>
      </w:r>
    </w:p>
    <w:p>
      <w:pPr>
        <w:spacing w:lineRule="exact" w:line="360" w:before="0" w:after="120"/>
        <w:jc w:val="both"/>
      </w:pPr>
      <w:r>
        <w:rPr>
          <w:rFonts w:ascii="Times New Roman" w:hAnsi="Times New Roman" w:cs="Times New Roman"/>
          <w:b w:val="0"/>
          <w:i w:val="0"/>
          <w:sz w:val="24"/>
        </w:rPr>
        <w:t xml:space="preserve">Apresiasi atas kegunaan SCF dan FCF berpijak pula pada bangunan riset yang lebih luas mengenai arus kas dan aliran dana. Dua pembela lama pelaporan arus kas, </w:t>
      </w:r>
      <w:r>
        <w:rPr>
          <w:rFonts w:ascii="Times New Roman" w:hAnsi="Times New Roman" w:cs="Times New Roman"/>
          <w:b/>
          <w:i w:val="0"/>
          <w:sz w:val="24"/>
        </w:rPr>
        <w:t>Lawson dan Lee</w:t>
      </w:r>
      <w:r>
        <w:rPr>
          <w:rFonts w:ascii="Times New Roman" w:hAnsi="Times New Roman" w:cs="Times New Roman"/>
          <w:b w:val="0"/>
          <w:i w:val="0"/>
          <w:sz w:val="24"/>
        </w:rPr>
        <w:t xml:space="preserve">, berargumen bahwa laporan arus kas diperlukan untuk melaporkan kinerja perusahaan — sebab likuiditas, yang tecermin pada arus kas, merupakan bagian integral dari kinerja. </w:t>
      </w:r>
      <w:r>
        <w:rPr>
          <w:rFonts w:ascii="Times New Roman" w:hAnsi="Times New Roman" w:cs="Times New Roman"/>
          <w:b/>
          <w:i w:val="0"/>
          <w:sz w:val="24"/>
        </w:rPr>
        <w:t>Lee</w:t>
      </w:r>
      <w:r>
        <w:rPr>
          <w:rFonts w:ascii="Times New Roman" w:hAnsi="Times New Roman" w:cs="Times New Roman"/>
          <w:b w:val="0"/>
          <w:i w:val="0"/>
          <w:sz w:val="24"/>
        </w:rPr>
        <w:t xml:space="preserve"> menyatakannya dengan lebih tegas: "Arus kas dan bukan laba adalah hasil akhir dari aktivitas entitas. Laba adalah abstraksi; kas adalah sumber daya fisik" (Wolk et al., 2017, PDF hlm. 21). Terdapat perdebatan apakah laporan arus kas </w:t>
      </w:r>
      <w:r>
        <w:rPr>
          <w:rFonts w:ascii="Times New Roman" w:hAnsi="Times New Roman" w:cs="Times New Roman"/>
          <w:b/>
          <w:i w:val="0"/>
          <w:sz w:val="24"/>
        </w:rPr>
        <w:t>lebih unggul</w:t>
      </w:r>
      <w:r>
        <w:rPr>
          <w:rFonts w:ascii="Times New Roman" w:hAnsi="Times New Roman" w:cs="Times New Roman"/>
          <w:b w:val="0"/>
          <w:i w:val="0"/>
          <w:sz w:val="24"/>
        </w:rPr>
        <w:t xml:space="preserve"> dari laporan akrual ataukah sekadar </w:t>
      </w:r>
      <w:r>
        <w:rPr>
          <w:rFonts w:ascii="Times New Roman" w:hAnsi="Times New Roman" w:cs="Times New Roman"/>
          <w:b/>
          <w:i w:val="0"/>
          <w:sz w:val="24"/>
        </w:rPr>
        <w:t>pelengkap</w:t>
      </w:r>
      <w:r>
        <w:rPr>
          <w:rFonts w:ascii="Times New Roman" w:hAnsi="Times New Roman" w:cs="Times New Roman"/>
          <w:b w:val="0"/>
          <w:i w:val="0"/>
          <w:sz w:val="24"/>
        </w:rPr>
        <w:t xml:space="preserve"> yang penting; persoalan ini belum terselesaikan, meskipun baik Lawson maupun Lee sama-sama mengajukan argumen yang kuat. Model penilaian berbasis arus kas (</w:t>
      </w:r>
      <w:r>
        <w:rPr>
          <w:rFonts w:ascii="Times New Roman" w:hAnsi="Times New Roman" w:cs="Times New Roman"/>
          <w:b w:val="0"/>
          <w:i/>
          <w:sz w:val="24"/>
        </w:rPr>
        <w:t>cash flow valuation model</w:t>
      </w:r>
      <w:r>
        <w:rPr>
          <w:rFonts w:ascii="Times New Roman" w:hAnsi="Times New Roman" w:cs="Times New Roman"/>
          <w:b w:val="0"/>
          <w:i w:val="0"/>
          <w:sz w:val="24"/>
        </w:rPr>
        <w:t>) dari literatur ekonomi-keuangan menyuarakan pandangan serupa: arus kas perusahaanlah, bukan laba akuntansi akrual, yang merupakan penentu utama nilai perusahaan.</w:t>
      </w:r>
    </w:p>
    <w:p>
      <w:pPr>
        <w:spacing w:lineRule="exact" w:line="360" w:before="0" w:after="120"/>
        <w:jc w:val="both"/>
      </w:pPr>
      <w:r>
        <w:rPr>
          <w:rFonts w:ascii="Times New Roman" w:hAnsi="Times New Roman" w:cs="Times New Roman"/>
          <w:b w:val="0"/>
          <w:i w:val="0"/>
          <w:sz w:val="24"/>
        </w:rPr>
        <w:t xml:space="preserve">Namun, sebuah bangunan riset pasar modal yang terus berkembang menunjukkan bahwa </w:t>
      </w:r>
      <w:r>
        <w:rPr>
          <w:rFonts w:ascii="Times New Roman" w:hAnsi="Times New Roman" w:cs="Times New Roman"/>
          <w:b/>
          <w:i w:val="0"/>
          <w:sz w:val="24"/>
        </w:rPr>
        <w:t>akrual</w:t>
      </w:r>
      <w:r>
        <w:rPr>
          <w:rFonts w:ascii="Times New Roman" w:hAnsi="Times New Roman" w:cs="Times New Roman"/>
          <w:b w:val="0"/>
          <w:i w:val="0"/>
          <w:sz w:val="24"/>
        </w:rPr>
        <w:t xml:space="preserve"> akuntansi menyediakan informasi yang melampaui arus kas literal dalam kaitannya dengan harga sekuritas. Salah satu tafsir yang menjembatani kedua kubu ini adalah bahwa arus kas dan akrual </w:t>
      </w:r>
      <w:r>
        <w:rPr>
          <w:rFonts w:ascii="Times New Roman" w:hAnsi="Times New Roman" w:cs="Times New Roman"/>
          <w:b/>
          <w:i w:val="0"/>
          <w:sz w:val="24"/>
        </w:rPr>
        <w:t>lebih berguna bila digunakan bersama</w:t>
      </w:r>
      <w:r>
        <w:rPr>
          <w:rFonts w:ascii="Times New Roman" w:hAnsi="Times New Roman" w:cs="Times New Roman"/>
          <w:b w:val="0"/>
          <w:i w:val="0"/>
          <w:sz w:val="24"/>
        </w:rPr>
        <w:t xml:space="preserve"> ketimbang sendiri-sendiri; dengan kata lain, SCF bersifat </w:t>
      </w:r>
      <w:r>
        <w:rPr>
          <w:rFonts w:ascii="Times New Roman" w:hAnsi="Times New Roman" w:cs="Times New Roman"/>
          <w:b/>
          <w:i w:val="0"/>
          <w:sz w:val="24"/>
        </w:rPr>
        <w:t>komplementer</w:t>
      </w:r>
      <w:r>
        <w:rPr>
          <w:rFonts w:ascii="Times New Roman" w:hAnsi="Times New Roman" w:cs="Times New Roman"/>
          <w:b w:val="0"/>
          <w:i w:val="0"/>
          <w:sz w:val="24"/>
        </w:rPr>
        <w:t xml:space="preserve"> terhadap laporan akrual, dan penguraian data akrual menjadi komponen arus kas dan komponen akrual justru menghasilkan informasi </w:t>
      </w:r>
      <w:r>
        <w:rPr>
          <w:rFonts w:ascii="Times New Roman" w:hAnsi="Times New Roman" w:cs="Times New Roman"/>
          <w:b w:val="0"/>
          <w:i/>
          <w:sz w:val="24"/>
        </w:rPr>
        <w:t>baru</w:t>
      </w:r>
      <w:r>
        <w:rPr>
          <w:rFonts w:ascii="Times New Roman" w:hAnsi="Times New Roman" w:cs="Times New Roman"/>
          <w:b w:val="0"/>
          <w:i w:val="0"/>
          <w:sz w:val="24"/>
        </w:rPr>
        <w:t xml:space="preserve">. Adapun survei terhadap investor dan analis secara konsisten menunjukkan bahwa data arus (aliran) kas memang digunakan untuk analisis investasi, tetapi analisis profitabilitas konvensional yang berbasis data akrual masih </w:t>
      </w:r>
      <w:r>
        <w:rPr>
          <w:rFonts w:ascii="Times New Roman" w:hAnsi="Times New Roman" w:cs="Times New Roman"/>
          <w:b/>
          <w:i w:val="0"/>
          <w:sz w:val="24"/>
        </w:rPr>
        <w:t>mendominasi</w:t>
      </w:r>
      <w:r>
        <w:rPr>
          <w:rFonts w:ascii="Times New Roman" w:hAnsi="Times New Roman" w:cs="Times New Roman"/>
          <w:b w:val="0"/>
          <w:i w:val="0"/>
          <w:sz w:val="24"/>
        </w:rPr>
        <w:t xml:space="preserve"> fokus likuiditas. Meski demikian, sebuah survei yang ditugaskan oleh </w:t>
      </w:r>
      <w:r>
        <w:rPr>
          <w:rFonts w:ascii="Times New Roman" w:hAnsi="Times New Roman" w:cs="Times New Roman"/>
          <w:b/>
          <w:i w:val="0"/>
          <w:sz w:val="24"/>
        </w:rPr>
        <w:t>Financial Accounting Foundation (FAF)</w:t>
      </w:r>
      <w:r>
        <w:rPr>
          <w:rFonts w:ascii="Times New Roman" w:hAnsi="Times New Roman" w:cs="Times New Roman"/>
          <w:b w:val="0"/>
          <w:i w:val="0"/>
          <w:sz w:val="24"/>
        </w:rPr>
        <w:t xml:space="preserve"> menemukan bahwa arti penting data aliran dana sedang </w:t>
      </w:r>
      <w:r>
        <w:rPr>
          <w:rFonts w:ascii="Times New Roman" w:hAnsi="Times New Roman" w:cs="Times New Roman"/>
          <w:b/>
          <w:i w:val="0"/>
          <w:sz w:val="24"/>
        </w:rPr>
        <w:t>meningkat</w:t>
      </w:r>
      <w:r>
        <w:rPr>
          <w:rFonts w:ascii="Times New Roman" w:hAnsi="Times New Roman" w:cs="Times New Roman"/>
          <w:b w:val="0"/>
          <w:i w:val="0"/>
          <w:sz w:val="24"/>
        </w:rPr>
        <w:t xml:space="preserve">, sedangkan arti penting data akrual </w:t>
      </w:r>
      <w:r>
        <w:rPr>
          <w:rFonts w:ascii="Times New Roman" w:hAnsi="Times New Roman" w:cs="Times New Roman"/>
          <w:b/>
          <w:i w:val="0"/>
          <w:sz w:val="24"/>
        </w:rPr>
        <w:t>menurun</w:t>
      </w:r>
      <w:r>
        <w:rPr>
          <w:rFonts w:ascii="Times New Roman" w:hAnsi="Times New Roman" w:cs="Times New Roman"/>
          <w:b w:val="0"/>
          <w:i w:val="0"/>
          <w:sz w:val="24"/>
        </w:rPr>
        <w:t xml:space="preserve"> — pertanda bahwa arus kas memainkan peran yang penting dan barangkali kian besar dalam menilai kinerja serta prospek perusahaan (Wolk et al., 2017, PDF hlm. 21) — sebuah temuan yang memperkuat seruan perbaikan yang dibahas pada bagian berikutnya.</w:t>
      </w:r>
    </w:p>
    <w:p>
      <w:pPr>
        <w:spacing w:lineRule="exact" w:line="360" w:before="240" w:after="120"/>
        <w:jc w:val="left"/>
      </w:pPr>
      <w:r>
        <w:rPr>
          <w:rFonts w:ascii="Times New Roman" w:hAnsi="Times New Roman" w:cs="Times New Roman"/>
          <w:b/>
          <w:i w:val="0"/>
          <w:sz w:val="26"/>
        </w:rPr>
        <w:t>XI. Rekomendasi Perbaikan SCF</w:t>
      </w:r>
    </w:p>
    <w:p>
      <w:pPr>
        <w:spacing w:lineRule="exact" w:line="360" w:before="0" w:after="120"/>
        <w:jc w:val="both"/>
      </w:pPr>
      <w:r>
        <w:rPr>
          <w:rFonts w:ascii="Times New Roman" w:hAnsi="Times New Roman" w:cs="Times New Roman"/>
          <w:b w:val="0"/>
          <w:i w:val="0"/>
          <w:sz w:val="24"/>
        </w:rPr>
        <w:t xml:space="preserve">SCF merupakan perkakas penting bagi investor, kreditor, dan manajer; bernilai dalam bentuknya yang sekarang, tetapi masih menyisakan ruang perbaikan. Seruan perbaikan paling lugas datang dari </w:t>
      </w:r>
      <w:r>
        <w:rPr>
          <w:rFonts w:ascii="Times New Roman" w:hAnsi="Times New Roman" w:cs="Times New Roman"/>
          <w:b/>
          <w:i w:val="0"/>
          <w:sz w:val="24"/>
        </w:rPr>
        <w:t>Broome</w:t>
      </w:r>
      <w:r>
        <w:rPr>
          <w:rFonts w:ascii="Times New Roman" w:hAnsi="Times New Roman" w:cs="Times New Roman"/>
          <w:b w:val="0"/>
          <w:i w:val="0"/>
          <w:sz w:val="24"/>
        </w:rPr>
        <w:t xml:space="preserve">, yang mencatat peran krusial SCF dalam analisis sekuritas. Dengan berkaca pada rentetan skandal akuntansi — </w:t>
      </w:r>
      <w:r>
        <w:rPr>
          <w:rFonts w:ascii="Times New Roman" w:hAnsi="Times New Roman" w:cs="Times New Roman"/>
          <w:b/>
          <w:i w:val="0"/>
          <w:sz w:val="24"/>
        </w:rPr>
        <w:t>Adelphia, Dynegy, Qwest, Tyco, WorldCom</w:t>
      </w:r>
      <w:r>
        <w:rPr>
          <w:rFonts w:ascii="Times New Roman" w:hAnsi="Times New Roman" w:cs="Times New Roman"/>
          <w:b w:val="0"/>
          <w:i w:val="0"/>
          <w:sz w:val="24"/>
        </w:rPr>
        <w:t xml:space="preserve">, dan lain-lainnya — Broome berpendapat bahwa SCF dapat dan harus diperbaiki. Menurutnya, keleluasaan SFAS No. 95 dalam mengizinkan pilihan antara </w:t>
      </w:r>
      <w:r>
        <w:rPr>
          <w:rFonts w:ascii="Times New Roman" w:hAnsi="Times New Roman" w:cs="Times New Roman"/>
          <w:b w:val="0"/>
          <w:i/>
          <w:sz w:val="24"/>
        </w:rPr>
        <w:t>metode langsung</w:t>
      </w:r>
      <w:r>
        <w:rPr>
          <w:rFonts w:ascii="Times New Roman" w:hAnsi="Times New Roman" w:cs="Times New Roman"/>
          <w:b w:val="0"/>
          <w:i w:val="0"/>
          <w:sz w:val="24"/>
        </w:rPr>
        <w:t xml:space="preserve"> dan </w:t>
      </w:r>
      <w:r>
        <w:rPr>
          <w:rFonts w:ascii="Times New Roman" w:hAnsi="Times New Roman" w:cs="Times New Roman"/>
          <w:b w:val="0"/>
          <w:i/>
          <w:sz w:val="24"/>
        </w:rPr>
        <w:t>tidak langsung</w:t>
      </w:r>
      <w:r>
        <w:rPr>
          <w:rFonts w:ascii="Times New Roman" w:hAnsi="Times New Roman" w:cs="Times New Roman"/>
          <w:b w:val="0"/>
          <w:i w:val="0"/>
          <w:sz w:val="24"/>
        </w:rPr>
        <w:t xml:space="preserve"> menimbulkan kebingungan. Broome menulis bahwa penyesuaian-penyesuaian rumit yang dituntut </w:t>
      </w:r>
      <w:r>
        <w:rPr>
          <w:rFonts w:ascii="Times New Roman" w:hAnsi="Times New Roman" w:cs="Times New Roman"/>
          <w:b w:val="0"/>
          <w:i/>
          <w:sz w:val="24"/>
        </w:rPr>
        <w:t>metode tidak langsung</w:t>
      </w:r>
      <w:r>
        <w:rPr>
          <w:rFonts w:ascii="Times New Roman" w:hAnsi="Times New Roman" w:cs="Times New Roman"/>
          <w:b w:val="0"/>
          <w:i w:val="0"/>
          <w:sz w:val="24"/>
        </w:rPr>
        <w:t xml:space="preserve"> sukar dipahami pembaca dan memberi manajer korporat lebih banyak celah untuk memanipulasi laporan arus kas; dalam banyak kasus, </w:t>
      </w:r>
      <w:r>
        <w:rPr>
          <w:rFonts w:ascii="Times New Roman" w:hAnsi="Times New Roman" w:cs="Times New Roman"/>
          <w:b/>
          <w:i w:val="0"/>
          <w:sz w:val="24"/>
        </w:rPr>
        <w:t>penyesuaian-penyesuaian itu tidak dapat direkonsiliasi dengan perubahan yang teramati pada akun-akun neraca</w:t>
      </w:r>
      <w:r>
        <w:rPr>
          <w:rFonts w:ascii="Times New Roman" w:hAnsi="Times New Roman" w:cs="Times New Roman"/>
          <w:b w:val="0"/>
          <w:i w:val="0"/>
          <w:sz w:val="24"/>
        </w:rPr>
        <w:t xml:space="preserve"> (Wolk et al., 2017, PDF hlm. 21–22).</w:t>
      </w:r>
    </w:p>
    <w:p>
      <w:pPr>
        <w:spacing w:lineRule="exact" w:line="360" w:before="0" w:after="120"/>
        <w:jc w:val="both"/>
      </w:pPr>
      <w:r>
        <w:rPr>
          <w:rFonts w:ascii="Times New Roman" w:hAnsi="Times New Roman" w:cs="Times New Roman"/>
          <w:b w:val="0"/>
          <w:i w:val="0"/>
          <w:sz w:val="24"/>
        </w:rPr>
        <w:t xml:space="preserve">Atas dasar itu, Broome mengajukan </w:t>
      </w:r>
      <w:r>
        <w:rPr>
          <w:rFonts w:ascii="Times New Roman" w:hAnsi="Times New Roman" w:cs="Times New Roman"/>
          <w:b/>
          <w:i w:val="0"/>
          <w:sz w:val="24"/>
        </w:rPr>
        <w:t>tiga rekomendasi utama</w:t>
      </w:r>
      <w:r>
        <w:rPr>
          <w:rFonts w:ascii="Times New Roman" w:hAnsi="Times New Roman" w:cs="Times New Roman"/>
          <w:b w:val="0"/>
          <w:i w:val="0"/>
          <w:sz w:val="24"/>
        </w:rPr>
        <w:t>:</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 xml:space="preserve">Mengingat </w:t>
      </w:r>
      <w:r>
        <w:rPr>
          <w:rFonts w:ascii="Times New Roman" w:hAnsi="Times New Roman" w:cs="Times New Roman"/>
          <w:b w:val="0"/>
          <w:i/>
          <w:sz w:val="24"/>
        </w:rPr>
        <w:t>metode langsung</w:t>
      </w:r>
      <w:r>
        <w:rPr>
          <w:rFonts w:ascii="Times New Roman" w:hAnsi="Times New Roman" w:cs="Times New Roman"/>
          <w:b w:val="0"/>
          <w:i w:val="0"/>
          <w:sz w:val="24"/>
        </w:rPr>
        <w:t xml:space="preserve"> maupun </w:t>
      </w:r>
      <w:r>
        <w:rPr>
          <w:rFonts w:ascii="Times New Roman" w:hAnsi="Times New Roman" w:cs="Times New Roman"/>
          <w:b w:val="0"/>
          <w:i/>
          <w:sz w:val="24"/>
        </w:rPr>
        <w:t>tidak langsung</w:t>
      </w:r>
      <w:r>
        <w:rPr>
          <w:rFonts w:ascii="Times New Roman" w:hAnsi="Times New Roman" w:cs="Times New Roman"/>
          <w:b w:val="0"/>
          <w:i w:val="0"/>
          <w:sz w:val="24"/>
        </w:rPr>
        <w:t xml:space="preserve"> sama-sama berpotensi memuat informasi yang berharga, FASB sebaiknya mewajibkan </w:t>
      </w:r>
      <w:r>
        <w:rPr>
          <w:rFonts w:ascii="Times New Roman" w:hAnsi="Times New Roman" w:cs="Times New Roman"/>
          <w:b w:val="0"/>
          <w:i/>
          <w:sz w:val="24"/>
        </w:rPr>
        <w:t>metode langsung</w:t>
      </w:r>
      <w:r>
        <w:rPr>
          <w:rFonts w:ascii="Times New Roman" w:hAnsi="Times New Roman" w:cs="Times New Roman"/>
          <w:b w:val="0"/>
          <w:i w:val="0"/>
          <w:sz w:val="24"/>
        </w:rPr>
        <w:t xml:space="preserve"> sekaligus rekonsiliasi laba bersih ke arus kas operasi yang menyertainya untuk bagian operasi.</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 xml:space="preserve">FASB sebaiknya menyediakan </w:t>
      </w:r>
      <w:r>
        <w:rPr>
          <w:rFonts w:ascii="Times New Roman" w:hAnsi="Times New Roman" w:cs="Times New Roman"/>
          <w:b/>
          <w:i w:val="0"/>
          <w:sz w:val="24"/>
        </w:rPr>
        <w:t>lebih banyak panduan klasifikasi</w:t>
      </w:r>
      <w:r>
        <w:rPr>
          <w:rFonts w:ascii="Times New Roman" w:hAnsi="Times New Roman" w:cs="Times New Roman"/>
          <w:b w:val="0"/>
          <w:i w:val="0"/>
          <w:sz w:val="24"/>
        </w:rPr>
        <w:t xml:space="preserve"> arus kas bagi ketiga bagian laporan.</w:t>
      </w:r>
    </w:p>
    <w:p>
      <w:pPr>
        <w:spacing w:lineRule="exact" w:line="360" w:before="0" w:after="120"/>
        <w:ind w:left="425"/>
        <w:jc w:val="both"/>
      </w:pPr>
      <w:r>
        <w:rPr>
          <w:rFonts w:ascii="Times New Roman" w:hAnsi="Times New Roman" w:cs="Times New Roman"/>
          <w:b w:val="0"/>
          <w:i w:val="0"/>
          <w:sz w:val="24"/>
        </w:rPr>
        <w:t xml:space="preserve">• </w:t>
      </w:r>
      <w:r>
        <w:rPr>
          <w:rFonts w:ascii="Times New Roman" w:hAnsi="Times New Roman" w:cs="Times New Roman"/>
          <w:b w:val="0"/>
          <w:i w:val="0"/>
          <w:sz w:val="24"/>
        </w:rPr>
        <w:t xml:space="preserve">Rekonsiliasi pelengkap sebaiknya </w:t>
      </w:r>
      <w:r>
        <w:rPr>
          <w:rFonts w:ascii="Times New Roman" w:hAnsi="Times New Roman" w:cs="Times New Roman"/>
          <w:b/>
          <w:i w:val="0"/>
          <w:sz w:val="24"/>
        </w:rPr>
        <w:t>dimulai dari arus kas operasi lalu bergerak menuju laba bersih</w:t>
      </w:r>
      <w:r>
        <w:rPr>
          <w:rFonts w:ascii="Times New Roman" w:hAnsi="Times New Roman" w:cs="Times New Roman"/>
          <w:b w:val="0"/>
          <w:i w:val="0"/>
          <w:sz w:val="24"/>
        </w:rPr>
        <w:t xml:space="preserve"> — kebalikan dari praktik yang berlaku saat ini.</w:t>
      </w:r>
    </w:p>
    <w:p>
      <w:pPr>
        <w:spacing w:lineRule="exact" w:line="360" w:before="0" w:after="120"/>
        <w:jc w:val="both"/>
      </w:pPr>
      <w:r>
        <w:rPr>
          <w:rFonts w:ascii="Times New Roman" w:hAnsi="Times New Roman" w:cs="Times New Roman"/>
          <w:b w:val="0"/>
          <w:i w:val="0"/>
          <w:sz w:val="24"/>
        </w:rPr>
        <w:t xml:space="preserve">Para penulis menambahkan rekomendasi mereka sendiri. Mereka sependapat dengan Broome bahwa </w:t>
      </w:r>
      <w:r>
        <w:rPr>
          <w:rFonts w:ascii="Times New Roman" w:hAnsi="Times New Roman" w:cs="Times New Roman"/>
          <w:b w:val="0"/>
          <w:i/>
          <w:sz w:val="24"/>
        </w:rPr>
        <w:t>metode langsung</w:t>
      </w:r>
      <w:r>
        <w:rPr>
          <w:rFonts w:ascii="Times New Roman" w:hAnsi="Times New Roman" w:cs="Times New Roman"/>
          <w:b w:val="0"/>
          <w:i w:val="0"/>
          <w:sz w:val="24"/>
        </w:rPr>
        <w:t xml:space="preserve"> semestinya diwajibkan. Namun, apabila sistem pilihan yang ada tetap dipertahankan, perusahaan sebaiknya diwajibkan menyajikan </w:t>
      </w:r>
      <w:r>
        <w:rPr>
          <w:rFonts w:ascii="Times New Roman" w:hAnsi="Times New Roman" w:cs="Times New Roman"/>
          <w:b/>
          <w:i w:val="0"/>
          <w:sz w:val="24"/>
        </w:rPr>
        <w:t>skedul yang menampilkan transaksi non-arus-kas yang memengaruhi akun modal kerja</w:t>
      </w:r>
      <w:r>
        <w:rPr>
          <w:rFonts w:ascii="Times New Roman" w:hAnsi="Times New Roman" w:cs="Times New Roman"/>
          <w:b w:val="0"/>
          <w:i w:val="0"/>
          <w:sz w:val="24"/>
        </w:rPr>
        <w:t xml:space="preserve">, agar pengguna dapat memahami perbedaan antara perubahan neraca dan SCF. Lebih jauh, untuk </w:t>
      </w:r>
      <w:r>
        <w:rPr>
          <w:rFonts w:ascii="Times New Roman" w:hAnsi="Times New Roman" w:cs="Times New Roman"/>
          <w:b/>
          <w:i w:val="0"/>
          <w:sz w:val="24"/>
        </w:rPr>
        <w:t>akuisisi di tengah tahun</w:t>
      </w:r>
      <w:r>
        <w:rPr>
          <w:rFonts w:ascii="Times New Roman" w:hAnsi="Times New Roman" w:cs="Times New Roman"/>
          <w:b w:val="0"/>
          <w:i w:val="0"/>
          <w:sz w:val="24"/>
        </w:rPr>
        <w:t xml:space="preserve">, perusahaan sebaiknya menyediakan </w:t>
      </w:r>
      <w:r>
        <w:rPr>
          <w:rFonts w:ascii="Times New Roman" w:hAnsi="Times New Roman" w:cs="Times New Roman"/>
          <w:b/>
          <w:i w:val="0"/>
          <w:sz w:val="24"/>
        </w:rPr>
        <w:t>skedul yang merekonsiliasi penyesuaian modal kerja pada bagian operasi dengan perubahan neraca terkait</w:t>
      </w:r>
      <w:r>
        <w:rPr>
          <w:rFonts w:ascii="Times New Roman" w:hAnsi="Times New Roman" w:cs="Times New Roman"/>
          <w:b w:val="0"/>
          <w:i w:val="0"/>
          <w:sz w:val="24"/>
        </w:rPr>
        <w:t xml:space="preserve">. Secara umum, sebuah perusahaan sebaiknya </w:t>
      </w:r>
      <w:r>
        <w:rPr>
          <w:rFonts w:ascii="Times New Roman" w:hAnsi="Times New Roman" w:cs="Times New Roman"/>
          <w:b/>
          <w:i w:val="0"/>
          <w:sz w:val="24"/>
        </w:rPr>
        <w:t>menjelaskan sumber setiap nonartikulasi</w:t>
      </w:r>
      <w:r>
        <w:rPr>
          <w:rFonts w:ascii="Times New Roman" w:hAnsi="Times New Roman" w:cs="Times New Roman"/>
          <w:b w:val="0"/>
          <w:i w:val="0"/>
          <w:sz w:val="24"/>
        </w:rPr>
        <w:t xml:space="preserve"> yang terjadi pada bagian operasi SCF (Wolk et al., 2017, PDF hlm. 22). Rekomendasi-rekomendasi ini secara langsung menjawab dua persoalan struktural yang menjadi benang merah bab: kewajiban </w:t>
      </w:r>
      <w:r>
        <w:rPr>
          <w:rFonts w:ascii="Times New Roman" w:hAnsi="Times New Roman" w:cs="Times New Roman"/>
          <w:b w:val="0"/>
          <w:i/>
          <w:sz w:val="24"/>
        </w:rPr>
        <w:t>metode langsung</w:t>
      </w:r>
      <w:r>
        <w:rPr>
          <w:rFonts w:ascii="Times New Roman" w:hAnsi="Times New Roman" w:cs="Times New Roman"/>
          <w:b w:val="0"/>
          <w:i w:val="0"/>
          <w:sz w:val="24"/>
        </w:rPr>
        <w:t xml:space="preserve"> meredam masalah nonartikulasi, sedangkan tuntutan panduan klasifikasi yang lebih tegas meredam masalah klasifikasi.</w:t>
      </w:r>
    </w:p>
    <w:p>
      <w:pPr>
        <w:spacing w:lineRule="exact" w:line="360" w:before="240" w:after="120"/>
        <w:jc w:val="left"/>
      </w:pPr>
      <w:r>
        <w:rPr>
          <w:rFonts w:ascii="Times New Roman" w:hAnsi="Times New Roman" w:cs="Times New Roman"/>
          <w:b/>
          <w:i w:val="0"/>
          <w:sz w:val="26"/>
        </w:rPr>
        <w:t>XII. Sintesis dan Simpulan</w:t>
      </w:r>
    </w:p>
    <w:p>
      <w:pPr>
        <w:spacing w:lineRule="exact" w:line="360" w:before="0" w:after="120"/>
        <w:jc w:val="both"/>
      </w:pPr>
      <w:r>
        <w:rPr>
          <w:rFonts w:ascii="Times New Roman" w:hAnsi="Times New Roman" w:cs="Times New Roman"/>
          <w:b w:val="0"/>
          <w:i w:val="0"/>
          <w:sz w:val="24"/>
        </w:rPr>
        <w:t xml:space="preserve">Bab ini dapat dibaca sebagai satu garis penceritaan yang utuh, dari aliran dana menuju arus kas. Titik tolaknya adalah </w:t>
      </w:r>
      <w:r>
        <w:rPr>
          <w:rFonts w:ascii="Times New Roman" w:hAnsi="Times New Roman" w:cs="Times New Roman"/>
          <w:b w:val="0"/>
          <w:i/>
          <w:sz w:val="24"/>
        </w:rPr>
        <w:t>Statement of Changes in Financial Position</w:t>
      </w:r>
      <w:r>
        <w:rPr>
          <w:rFonts w:ascii="Times New Roman" w:hAnsi="Times New Roman" w:cs="Times New Roman"/>
          <w:b w:val="0"/>
          <w:i w:val="0"/>
          <w:sz w:val="24"/>
        </w:rPr>
        <w:t xml:space="preserve"> yang diwajibkan APB Opinion No. 19 pada 1971 — untuk mengungkapkan perubahan posisi keuangan, mengikhtisarkan aktivitas pendanaan dan investasi, serta melaporkan aliran dana dari operasi. Dari sini lahir wawasan kunci tentang kedudukan SCF: SCF sesungguhnya merupakan </w:t>
      </w:r>
      <w:r>
        <w:rPr>
          <w:rFonts w:ascii="Times New Roman" w:hAnsi="Times New Roman" w:cs="Times New Roman"/>
          <w:b/>
          <w:i w:val="0"/>
          <w:sz w:val="24"/>
        </w:rPr>
        <w:t>kasus khusus dari SCFP yang lebih umum</w:t>
      </w:r>
      <w:r>
        <w:rPr>
          <w:rFonts w:ascii="Times New Roman" w:hAnsi="Times New Roman" w:cs="Times New Roman"/>
          <w:b w:val="0"/>
          <w:i w:val="0"/>
          <w:sz w:val="24"/>
        </w:rPr>
        <w:t xml:space="preserve">, dengan dana didefinisikan sebagai kas. Sebagaimana pendahulunya, SCF tetaplah </w:t>
      </w:r>
      <w:r>
        <w:rPr>
          <w:rFonts w:ascii="Times New Roman" w:hAnsi="Times New Roman" w:cs="Times New Roman"/>
          <w:b/>
          <w:i w:val="0"/>
          <w:sz w:val="24"/>
        </w:rPr>
        <w:t>laporan keuangan turunan</w:t>
      </w:r>
      <w:r>
        <w:rPr>
          <w:rFonts w:ascii="Times New Roman" w:hAnsi="Times New Roman" w:cs="Times New Roman"/>
          <w:b w:val="0"/>
          <w:i w:val="0"/>
          <w:sz w:val="24"/>
        </w:rPr>
        <w:t xml:space="preserve"> (</w:t>
      </w:r>
      <w:r>
        <w:rPr>
          <w:rFonts w:ascii="Times New Roman" w:hAnsi="Times New Roman" w:cs="Times New Roman"/>
          <w:b w:val="0"/>
          <w:i/>
          <w:sz w:val="24"/>
        </w:rPr>
        <w:t>derivative statement</w:t>
      </w:r>
      <w:r>
        <w:rPr>
          <w:rFonts w:ascii="Times New Roman" w:hAnsi="Times New Roman" w:cs="Times New Roman"/>
          <w:b w:val="0"/>
          <w:i w:val="0"/>
          <w:sz w:val="24"/>
        </w:rPr>
        <w:t>) — ia bersandar pada transaksi yang telah diikhtisarkan dalam laporan laba rugi dan neraca. Meski begitu, ia menyajikan informasi baru melalui penguraian data menjadi komponen arus kas dan akrual, serta melalui penataan ulang data ke dalam arus operasi, arus pendanaan bersih, dan arus investasi bersih (Wolk et al., 2017, PDF hlm. 22).</w:t>
      </w:r>
    </w:p>
    <w:p>
      <w:pPr>
        <w:spacing w:lineRule="exact" w:line="360" w:before="0" w:after="120"/>
        <w:jc w:val="both"/>
      </w:pPr>
      <w:r>
        <w:rPr>
          <w:rFonts w:ascii="Times New Roman" w:hAnsi="Times New Roman" w:cs="Times New Roman"/>
          <w:b w:val="0"/>
          <w:i w:val="0"/>
          <w:sz w:val="24"/>
        </w:rPr>
        <w:t xml:space="preserve">Dua persoalan struktural membayangi laporan ini. Yang pertama, </w:t>
      </w:r>
      <w:r>
        <w:rPr>
          <w:rFonts w:ascii="Times New Roman" w:hAnsi="Times New Roman" w:cs="Times New Roman"/>
          <w:b/>
          <w:i w:val="0"/>
          <w:sz w:val="24"/>
        </w:rPr>
        <w:t>nonartikulasi</w:t>
      </w:r>
      <w:r>
        <w:rPr>
          <w:rFonts w:ascii="Times New Roman" w:hAnsi="Times New Roman" w:cs="Times New Roman"/>
          <w:b w:val="0"/>
          <w:i w:val="0"/>
          <w:sz w:val="24"/>
        </w:rPr>
        <w:t xml:space="preserve">: penyesuaian modal kerja pada bagian operasi kerap berbeda dari perubahan akun neraca terkait, suatu gejala yang dapat timbul ketika </w:t>
      </w:r>
      <w:r>
        <w:rPr>
          <w:rFonts w:ascii="Times New Roman" w:hAnsi="Times New Roman" w:cs="Times New Roman"/>
          <w:b w:val="0"/>
          <w:i/>
          <w:sz w:val="24"/>
        </w:rPr>
        <w:t>metode tidak langsung</w:t>
      </w:r>
      <w:r>
        <w:rPr>
          <w:rFonts w:ascii="Times New Roman" w:hAnsi="Times New Roman" w:cs="Times New Roman"/>
          <w:b w:val="0"/>
          <w:i w:val="0"/>
          <w:sz w:val="24"/>
        </w:rPr>
        <w:t xml:space="preserve"> digunakan. Yang kedua, </w:t>
      </w:r>
      <w:r>
        <w:rPr>
          <w:rFonts w:ascii="Times New Roman" w:hAnsi="Times New Roman" w:cs="Times New Roman"/>
          <w:b/>
          <w:i w:val="0"/>
          <w:sz w:val="24"/>
        </w:rPr>
        <w:t>masalah klasifikasi</w:t>
      </w:r>
      <w:r>
        <w:rPr>
          <w:rFonts w:ascii="Times New Roman" w:hAnsi="Times New Roman" w:cs="Times New Roman"/>
          <w:b w:val="0"/>
          <w:i w:val="0"/>
          <w:sz w:val="24"/>
        </w:rPr>
        <w:t xml:space="preserve">: dengan memilih model laporan laba rugi yang berorientasi </w:t>
      </w:r>
      <w:r>
        <w:rPr>
          <w:rFonts w:ascii="Times New Roman" w:hAnsi="Times New Roman" w:cs="Times New Roman"/>
          <w:b w:val="0"/>
          <w:i/>
          <w:sz w:val="24"/>
        </w:rPr>
        <w:t>proprietary</w:t>
      </w:r>
      <w:r>
        <w:rPr>
          <w:rFonts w:ascii="Times New Roman" w:hAnsi="Times New Roman" w:cs="Times New Roman"/>
          <w:b w:val="0"/>
          <w:i w:val="0"/>
          <w:sz w:val="24"/>
        </w:rPr>
        <w:t xml:space="preserve"> alih-alih model entitas, FASB menempatkan beban bunga, pendapatan bunga, dan pendapatan dividen pada bagian operasi, padahal pos-pos neraca terkait — utang obligasi, investasi saham, wesel tagih jangka panjang — tergolong elemen pendanaan atau investasi. Pada masalah klasifikasi ini bahkan terdapat dua wujud: satu mencampur arus pendanaan (beban bunga) ke dalam arus operasi, dan satu lagi menggelembungkan arus kas operasi dengan menggeser arus kas tertentu ke aktivitas investasi.</w:t>
      </w:r>
    </w:p>
    <w:p>
      <w:pPr>
        <w:spacing w:lineRule="exact" w:line="360" w:before="0" w:after="120"/>
        <w:jc w:val="both"/>
      </w:pPr>
      <w:r>
        <w:rPr>
          <w:rFonts w:ascii="Times New Roman" w:hAnsi="Times New Roman" w:cs="Times New Roman"/>
          <w:b w:val="0"/>
          <w:i w:val="0"/>
          <w:sz w:val="24"/>
        </w:rPr>
        <w:t xml:space="preserve">Sebagai respons atas keterbatasan SCF, berkembanglah </w:t>
      </w:r>
      <w:r>
        <w:rPr>
          <w:rFonts w:ascii="Times New Roman" w:hAnsi="Times New Roman" w:cs="Times New Roman"/>
          <w:b w:val="0"/>
          <w:i/>
          <w:sz w:val="24"/>
        </w:rPr>
        <w:t>free cash flow</w:t>
      </w:r>
      <w:r>
        <w:rPr>
          <w:rFonts w:ascii="Times New Roman" w:hAnsi="Times New Roman" w:cs="Times New Roman"/>
          <w:b w:val="0"/>
          <w:i w:val="0"/>
          <w:sz w:val="24"/>
        </w:rPr>
        <w:t xml:space="preserve"> — ukuran yang kian banyak dipakai, dapat dipandang sebagai varian SCF, dan konsisten dengan pengklasifikasian beban bunga sebagai aktivitas pendanaan. FCF menjawab sebagian kritik teoretis terhadap trikotomi </w:t>
      </w:r>
      <w:r>
        <w:rPr>
          <w:rFonts w:ascii="Times New Roman" w:hAnsi="Times New Roman" w:cs="Times New Roman"/>
          <w:b w:val="0"/>
          <w:i/>
          <w:sz w:val="24"/>
        </w:rPr>
        <w:t>proprietary</w:t>
      </w:r>
      <w:r>
        <w:rPr>
          <w:rFonts w:ascii="Times New Roman" w:hAnsi="Times New Roman" w:cs="Times New Roman"/>
          <w:b w:val="0"/>
          <w:i w:val="0"/>
          <w:sz w:val="24"/>
        </w:rPr>
        <w:t xml:space="preserve"> dengan kembali ke kerangka entitas. Sementara itu, riset memperkuat posisi SCF: bukti menunjukkan data arus dan aliran kas bersifat informatif melampaui data akrual, dan sebagian peneliti bahkan menilai SCF lebih berguna dalam analisis investasi dibanding laporan laba; pandangan yang paling seimbang menempatkan arus kas dan akrual sebagai dua hal yang komplementer. Adapun arah perbaikan telah ditunjukkan dengan jelas — pewajiban </w:t>
      </w:r>
      <w:r>
        <w:rPr>
          <w:rFonts w:ascii="Times New Roman" w:hAnsi="Times New Roman" w:cs="Times New Roman"/>
          <w:b w:val="0"/>
          <w:i/>
          <w:sz w:val="24"/>
        </w:rPr>
        <w:t>metode langsung</w:t>
      </w:r>
      <w:r>
        <w:rPr>
          <w:rFonts w:ascii="Times New Roman" w:hAnsi="Times New Roman" w:cs="Times New Roman"/>
          <w:b w:val="0"/>
          <w:i w:val="0"/>
          <w:sz w:val="24"/>
        </w:rPr>
        <w:t xml:space="preserve"> berikut rekonsiliasinya, panduan klasifikasi yang lebih tegas, serta pengungkapan setiap nonartikulasi.</w:t>
      </w:r>
    </w:p>
    <w:p>
      <w:pPr>
        <w:spacing w:lineRule="exact" w:line="360" w:before="0" w:after="120"/>
        <w:jc w:val="both"/>
      </w:pPr>
      <w:r>
        <w:rPr>
          <w:rFonts w:ascii="Times New Roman" w:hAnsi="Times New Roman" w:cs="Times New Roman"/>
          <w:b w:val="0"/>
          <w:i w:val="0"/>
          <w:sz w:val="24"/>
        </w:rPr>
        <w:t xml:space="preserve">Terlepas dari segala persoalannya, peralihan dari SCFP ke SCF telah membawa konsistensi yang lebih besar antarperusahaan, menyediakan informasi yang berguna untuk tujuan prediktif, dan meningkatkan komparabilitas. Para penulis memperkirakan SCF akan kian penting justru karena ia tidak mengandung </w:t>
      </w:r>
      <w:r>
        <w:rPr>
          <w:rFonts w:ascii="Times New Roman" w:hAnsi="Times New Roman" w:cs="Times New Roman"/>
          <w:b/>
          <w:i w:val="0"/>
          <w:sz w:val="24"/>
        </w:rPr>
        <w:t>kesewenang-wenangan</w:t>
      </w:r>
      <w:r>
        <w:rPr>
          <w:rFonts w:ascii="Times New Roman" w:hAnsi="Times New Roman" w:cs="Times New Roman"/>
          <w:b w:val="0"/>
          <w:i w:val="0"/>
          <w:sz w:val="24"/>
        </w:rPr>
        <w:t xml:space="preserve"> (</w:t>
      </w:r>
      <w:r>
        <w:rPr>
          <w:rFonts w:ascii="Times New Roman" w:hAnsi="Times New Roman" w:cs="Times New Roman"/>
          <w:b w:val="0"/>
          <w:i/>
          <w:sz w:val="24"/>
        </w:rPr>
        <w:t>arbitrariness</w:t>
      </w:r>
      <w:r>
        <w:rPr>
          <w:rFonts w:ascii="Times New Roman" w:hAnsi="Times New Roman" w:cs="Times New Roman"/>
          <w:b w:val="0"/>
          <w:i w:val="0"/>
          <w:sz w:val="24"/>
        </w:rPr>
        <w:t xml:space="preserve">) yang melekat pada laporan laba rugi. Dari sinilah lahir satu prinsip pembacaan yang menjadi inti sari bab: laporan arus kas harus selalu dipertimbangkan </w:t>
      </w:r>
      <w:r>
        <w:rPr>
          <w:rFonts w:ascii="Times New Roman" w:hAnsi="Times New Roman" w:cs="Times New Roman"/>
          <w:b/>
          <w:i w:val="0"/>
          <w:sz w:val="24"/>
        </w:rPr>
        <w:t>secara utuh</w:t>
      </w:r>
      <w:r>
        <w:rPr>
          <w:rFonts w:ascii="Times New Roman" w:hAnsi="Times New Roman" w:cs="Times New Roman"/>
          <w:b w:val="0"/>
          <w:i w:val="0"/>
          <w:sz w:val="24"/>
        </w:rPr>
        <w:t xml:space="preserve"> (</w:t>
      </w:r>
      <w:r>
        <w:rPr>
          <w:rFonts w:ascii="Times New Roman" w:hAnsi="Times New Roman" w:cs="Times New Roman"/>
          <w:b w:val="0"/>
          <w:i/>
          <w:sz w:val="24"/>
        </w:rPr>
        <w:t>in its entirety</w:t>
      </w:r>
      <w:r>
        <w:rPr>
          <w:rFonts w:ascii="Times New Roman" w:hAnsi="Times New Roman" w:cs="Times New Roman"/>
          <w:b w:val="0"/>
          <w:i w:val="0"/>
          <w:sz w:val="24"/>
        </w:rPr>
        <w:t>) — menelusuri ketiga bagiannya, operasi, investasi, dan pendanaan, secara bersama — sebab pelajaran dari WorldCom mengajarkan bahwa pengguna yang hanya menatap satu bagian akan kehilangan gambaran yang sesungguhnya (Wolk et al., 2017, PDF hlm. 22–23).</w:t>
      </w:r>
    </w:p>
    <w:p>
      <w:pPr>
        <w:spacing w:lineRule="exact" w:line="360" w:before="240" w:after="120"/>
        <w:jc w:val="left"/>
      </w:pPr>
      <w:r>
        <w:rPr>
          <w:rFonts w:ascii="Times New Roman" w:hAnsi="Times New Roman" w:cs="Times New Roman"/>
          <w:b/>
          <w:i w:val="0"/>
          <w:sz w:val="26"/>
        </w:rPr>
        <w:t>Daftar Pustaka</w:t>
      </w:r>
    </w:p>
    <w:p>
      <w:pPr>
        <w:spacing w:lineRule="exact" w:line="360" w:before="0" w:after="120"/>
        <w:ind w:left="425" w:hanging="425"/>
        <w:jc w:val="both"/>
      </w:pPr>
      <w:r>
        <w:rPr>
          <w:rFonts w:ascii="Times New Roman" w:hAnsi="Times New Roman" w:cs="Times New Roman"/>
          <w:b w:val="0"/>
          <w:i w:val="0"/>
          <w:sz w:val="24"/>
        </w:rPr>
        <w:t xml:space="preserve">Wolk, H. I., Dodd, J. L., &amp; Rozycki, J. J. (2017). </w:t>
      </w:r>
      <w:r>
        <w:rPr>
          <w:rFonts w:ascii="Times New Roman" w:hAnsi="Times New Roman" w:cs="Times New Roman"/>
          <w:b w:val="0"/>
          <w:i/>
          <w:sz w:val="24"/>
        </w:rPr>
        <w:t>Accounting theory: Conceptual issues in a political and economic environment</w:t>
      </w:r>
      <w:r>
        <w:rPr>
          <w:rFonts w:ascii="Times New Roman" w:hAnsi="Times New Roman" w:cs="Times New Roman"/>
          <w:b w:val="0"/>
          <w:i w:val="0"/>
          <w:sz w:val="24"/>
        </w:rPr>
        <w:t xml:space="preserve"> (9th ed.). SAGE Publications.</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