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40"/>
        <w:jc w:val="center"/>
      </w:pPr>
      <w:r>
        <w:rPr>
          <w:rFonts w:ascii="Calibri" w:hAnsi="Calibri" w:cs="Calibri"/>
          <w:b/>
          <w:i w:val="0"/>
          <w:sz w:val="28"/>
        </w:rPr>
        <w:t>RINGKASAN MATERI KULIAH (RMK) — PERTEMUAN 10</w:t>
      </w:r>
    </w:p>
    <w:p>
      <w:pPr>
        <w:spacing w:line="360" w:lineRule="auto" w:before="0" w:after="40"/>
        <w:jc w:val="center"/>
      </w:pPr>
      <w:r>
        <w:rPr>
          <w:rFonts w:ascii="Calibri" w:hAnsi="Calibri" w:cs="Calibri"/>
          <w:b w:val="0"/>
          <w:i w:val="0"/>
          <w:sz w:val="24"/>
        </w:rPr>
        <w:t>Mata Kuliah: Pelaporan Keuangan Korporat (MNK202)</w:t>
      </w:r>
    </w:p>
    <w:p>
      <w:pPr>
        <w:spacing w:line="360" w:lineRule="auto" w:before="0" w:after="40"/>
        <w:jc w:val="center"/>
      </w:pPr>
      <w:r>
        <w:rPr>
          <w:rFonts w:ascii="Calibri" w:hAnsi="Calibri" w:cs="Calibri"/>
          <w:b w:val="0"/>
          <w:i w:val="0"/>
          <w:sz w:val="24"/>
        </w:rPr>
        <w:t>Topik: Statement of Cash Flows</w:t>
      </w:r>
    </w:p>
    <w:p>
      <w:pPr>
        <w:spacing w:line="360" w:lineRule="auto" w:before="0" w:after="40"/>
        <w:jc w:val="center"/>
      </w:pPr>
      <w:r>
        <w:rPr>
          <w:rFonts w:ascii="Calibri" w:hAnsi="Calibri" w:cs="Calibri"/>
          <w:b w:val="0"/>
          <w:i w:val="0"/>
          <w:sz w:val="24"/>
        </w:rPr>
        <w:t>Dosen Pengampu: [—]</w:t>
      </w:r>
    </w:p>
    <w:p>
      <w:pPr>
        <w:spacing w:line="360" w:lineRule="auto" w:before="0" w:after="40"/>
        <w:jc w:val="center"/>
      </w:pPr>
      <w:r>
        <w:rPr>
          <w:rFonts w:ascii="Calibri" w:hAnsi="Calibri" w:cs="Calibri"/>
          <w:b w:val="0"/>
          <w:i w:val="0"/>
          <w:sz w:val="24"/>
        </w:rPr>
        <w:t>Nama Mahasiswa: Dzaki Muhammad Yusfian — NIM 1225 01079</w:t>
      </w:r>
    </w:p>
    <w:p>
      <w:pPr>
        <w:spacing w:line="360" w:lineRule="auto" w:before="0" w:after="40"/>
        <w:jc w:val="center"/>
      </w:pPr>
      <w:r>
        <w:rPr>
          <w:rFonts w:ascii="Calibri" w:hAnsi="Calibri" w:cs="Calibri"/>
          <w:b w:val="0"/>
          <w:i w:val="0"/>
          <w:sz w:val="24"/>
        </w:rPr>
        <w:t>Program Studi: Pascasarjana — Magister Akuntansi / Magister Manajemen, STIE YKPN</w:t>
      </w:r>
    </w:p>
    <w:p>
      <w:pPr>
        <w:spacing w:line="360" w:lineRule="auto" w:before="0" w:after="40"/>
        <w:jc w:val="center"/>
      </w:pPr>
      <w:r>
        <w:rPr>
          <w:rFonts w:ascii="Calibri" w:hAnsi="Calibri" w:cs="Calibri"/>
          <w:b w:val="0"/>
          <w:i w:val="0"/>
          <w:sz w:val="24"/>
        </w:rPr>
        <w:t>Tanggal: [—] (Pertemuan X — Selasa, sesuai jadwal silabus)</w:t>
      </w:r>
    </w:p>
    <w:p>
      <w:pPr>
        <w:spacing w:line="360" w:lineRule="auto" w:before="0" w:after="40"/>
        <w:jc w:val="center"/>
      </w:pPr>
      <w:r>
        <w:rPr>
          <w:rFonts w:ascii="Calibri" w:hAnsi="Calibri" w:cs="Calibri"/>
          <w:b w:val="0"/>
          <w:i w:val="0"/>
          <w:sz w:val="24"/>
        </w:rPr>
        <w:t>Sumber: Wolk, Dodd &amp; Rozycki (2017), Accounting Theory (9th ed.), Bab 13 — Statement of Cash Flows</w:t>
      </w:r>
    </w:p>
    <w:p>
      <w:pPr>
        <w:spacing w:line="360" w:lineRule="auto" w:before="0" w:after="200"/>
        <w:jc w:val="both"/>
        <w:pBdr>
          <w:bottom w:val="single" w:sz="8" w:color="000000"/>
        </w:pBdr>
      </w:pPr>
      <w:r>
        <w:rPr>
          <w:rFonts w:ascii="Calibri" w:hAnsi="Calibri" w:cs="Calibri"/>
          <w:b w:val="0"/>
          <w:i w:val="0"/>
          <w:sz w:val="24"/>
        </w:rPr>
      </w:r>
    </w:p>
    <w:p>
      <w:pPr>
        <w:spacing w:line="360" w:lineRule="auto" w:before="80" w:after="40"/>
        <w:jc w:val="left"/>
      </w:pPr>
      <w:r>
        <w:rPr>
          <w:rFonts w:ascii="Calibri" w:hAnsi="Calibri" w:cs="Calibri"/>
          <w:b/>
          <w:i w:val="0"/>
          <w:sz w:val="26"/>
        </w:rPr>
        <w:t>Bagian A — Cornell Notes</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Kenapa bab ini buka dengan "cash is cash is cash"?</w:t>
            </w:r>
          </w:p>
        </w:tc>
        <w:tc>
          <w:tcPr>
            <w:tcW w:type="dxa" w:w="5669"/>
          </w:tcPr>
          <w:p>
            <w:pPr>
              <w:spacing w:line="360" w:lineRule="auto"/>
              <w:jc w:val="both"/>
            </w:pPr>
            <w:r/>
            <w:r>
              <w:rPr>
                <w:rFonts w:ascii="Calibri" w:hAnsi="Calibri" w:cs="Calibri"/>
                <w:b w:val="0"/>
                <w:i w:val="0"/>
                <w:sz w:val="22"/>
              </w:rPr>
              <w:t xml:space="preserve">Wolk mulai dengan cerita dari musikal </w:t>
            </w:r>
            <w:r>
              <w:rPr>
                <w:rFonts w:ascii="Calibri" w:hAnsi="Calibri" w:cs="Calibri"/>
                <w:b w:val="0"/>
                <w:i/>
                <w:sz w:val="22"/>
              </w:rPr>
              <w:t>The Music Man</w:t>
            </w:r>
            <w:r>
              <w:rPr>
                <w:rFonts w:ascii="Calibri" w:hAnsi="Calibri" w:cs="Calibri"/>
                <w:b w:val="0"/>
                <w:i w:val="0"/>
                <w:sz w:val="22"/>
              </w:rPr>
              <w:t xml:space="preserve">, waktu para pedagang teriak minta dibayar tunai untuk barang dagangan mereka. Pesannya simpel: pada akhirnya semua tagihan, investasi, utang, dan dividen dibayar pakai kas, bukan pakai laba. Perusahaan yang nggak bisa menghasilkan kas yang cukup dari operasinya, lama-lama bakal mati. Nah, di situlah daya tarik laporan berbasis kas: angkanya apa adanya, nggak banyak bisa ditafsir macam-macam seperti laba akrual. Inilah alasan dasar kenapa </w:t>
            </w:r>
            <w:r>
              <w:rPr>
                <w:rFonts w:ascii="Calibri" w:hAnsi="Calibri" w:cs="Calibri"/>
                <w:b w:val="0"/>
                <w:i/>
                <w:sz w:val="22"/>
              </w:rPr>
              <w:t>Statement of Cash Flows</w:t>
            </w:r>
            <w:r>
              <w:rPr>
                <w:rFonts w:ascii="Calibri" w:hAnsi="Calibri" w:cs="Calibri"/>
                <w:b w:val="0"/>
                <w:i w:val="0"/>
                <w:sz w:val="22"/>
              </w:rPr>
              <w:t xml:space="preserve"> (SCF, laporan arus kas) jadi pelengkap wajib di samping laporan keuangan berbasis akrual (Wolk et al., 2017).</w:t>
            </w:r>
          </w:p>
        </w:tc>
      </w:tr>
      <w:tr>
        <w:tc>
          <w:tcPr>
            <w:tcW w:type="dxa" w:w="2835"/>
          </w:tcPr>
          <w:p>
            <w:pPr>
              <w:spacing w:line="360" w:lineRule="auto"/>
              <w:jc w:val="left"/>
            </w:pPr>
            <w:r/>
            <w:r>
              <w:rPr>
                <w:rFonts w:ascii="Calibri" w:hAnsi="Calibri" w:cs="Calibri"/>
                <w:b/>
                <w:i w:val="0"/>
                <w:sz w:val="22"/>
              </w:rPr>
              <w:t>Gimana alur bab ini, dan dua masalah utamanya apa?</w:t>
            </w:r>
          </w:p>
        </w:tc>
        <w:tc>
          <w:tcPr>
            <w:tcW w:type="dxa" w:w="5669"/>
          </w:tcPr>
          <w:p>
            <w:pPr>
              <w:spacing w:line="360" w:lineRule="auto"/>
              <w:jc w:val="both"/>
            </w:pPr>
            <w:r/>
            <w:r>
              <w:rPr>
                <w:rFonts w:ascii="Calibri" w:hAnsi="Calibri" w:cs="Calibri"/>
                <w:b w:val="0"/>
                <w:i w:val="0"/>
                <w:sz w:val="22"/>
              </w:rPr>
              <w:t xml:space="preserve">Bab ini pertama-tama ngomongin pendahulu SCF, yaitu </w:t>
            </w:r>
            <w:r>
              <w:rPr>
                <w:rFonts w:ascii="Calibri" w:hAnsi="Calibri" w:cs="Calibri"/>
                <w:b w:val="0"/>
                <w:i/>
                <w:sz w:val="22"/>
              </w:rPr>
              <w:t>Statement of Changes in Financial Position</w:t>
            </w:r>
            <w:r>
              <w:rPr>
                <w:rFonts w:ascii="Calibri" w:hAnsi="Calibri" w:cs="Calibri"/>
                <w:b w:val="0"/>
                <w:i w:val="0"/>
                <w:sz w:val="22"/>
              </w:rPr>
              <w:t xml:space="preserve"> (SCFP, laporan perubahan posisi keuangan), baru masuk ke kenapa dan bagaimana SCF disusun. Sepanjang jalan, Wolk jujur soal dua kelemahan bawaan SCF: pertama ketakterartikulasian (</w:t>
            </w:r>
            <w:r>
              <w:rPr>
                <w:rFonts w:ascii="Calibri" w:hAnsi="Calibri" w:cs="Calibri"/>
                <w:b w:val="0"/>
                <w:i/>
                <w:sz w:val="22"/>
              </w:rPr>
              <w:t>nonarticulation</w:t>
            </w:r>
            <w:r>
              <w:rPr>
                <w:rFonts w:ascii="Calibri" w:hAnsi="Calibri" w:cs="Calibri"/>
                <w:b w:val="0"/>
                <w:i w:val="0"/>
                <w:sz w:val="22"/>
              </w:rPr>
              <w:t xml:space="preserve">) yang muncul gara-gara metode tidak langsung di bagian operasi, dan kedua masalah klasifikasi dalam pembagian tiga arah ala FASB. Dua-duanya bermuara ke satu nasihat praktis: SCF harus dibaca utuh, jangan cuma sepotong. Di bagian akhir, bab ini ngenalin </w:t>
            </w:r>
            <w:r>
              <w:rPr>
                <w:rFonts w:ascii="Calibri" w:hAnsi="Calibri" w:cs="Calibri"/>
                <w:b w:val="0"/>
                <w:i/>
                <w:sz w:val="22"/>
              </w:rPr>
              <w:t>free cash flow</w:t>
            </w:r>
            <w:r>
              <w:rPr>
                <w:rFonts w:ascii="Calibri" w:hAnsi="Calibri" w:cs="Calibri"/>
                <w:b w:val="0"/>
                <w:i w:val="0"/>
                <w:sz w:val="22"/>
              </w:rPr>
              <w:t xml:space="preserve"> (FCF, arus kas bebas), ukuran non-GAAP yang justru lahir karena SCF punya kelemahan tadi, lalu ditutup dengan ulasan riset dan usulan perbaikan (Wolk et al., 2017).</w:t>
            </w:r>
          </w:p>
        </w:tc>
      </w:tr>
      <w:tr>
        <w:tc>
          <w:tcPr>
            <w:tcW w:type="dxa" w:w="2835"/>
          </w:tcPr>
          <w:p>
            <w:pPr>
              <w:spacing w:line="360" w:lineRule="auto"/>
              <w:jc w:val="left"/>
            </w:pPr>
            <w:r/>
            <w:r>
              <w:rPr>
                <w:rFonts w:ascii="Calibri" w:hAnsi="Calibri" w:cs="Calibri"/>
                <w:b/>
                <w:i w:val="0"/>
                <w:sz w:val="22"/>
              </w:rPr>
              <w:t>Apa warisan SCFP dan peran APB Opinion No. 19 (1971)?</w:t>
            </w:r>
          </w:p>
        </w:tc>
        <w:tc>
          <w:tcPr>
            <w:tcW w:type="dxa" w:w="5669"/>
          </w:tcPr>
          <w:p>
            <w:pPr>
              <w:spacing w:line="360" w:lineRule="auto"/>
              <w:jc w:val="both"/>
            </w:pPr>
            <w:r/>
            <w:r>
              <w:rPr>
                <w:rFonts w:ascii="Calibri" w:hAnsi="Calibri" w:cs="Calibri"/>
                <w:b w:val="0"/>
                <w:i w:val="0"/>
                <w:sz w:val="22"/>
              </w:rPr>
              <w:t>Biar paham kenapa SCF penting, kita perlu lihat dulu pendahulunya. SCFP itu kelanjutan dari laporan arus dana (</w:t>
            </w:r>
            <w:r>
              <w:rPr>
                <w:rFonts w:ascii="Calibri" w:hAnsi="Calibri" w:cs="Calibri"/>
                <w:b w:val="0"/>
                <w:i/>
                <w:sz w:val="22"/>
              </w:rPr>
              <w:t>funds flow statement</w:t>
            </w:r>
            <w:r>
              <w:rPr>
                <w:rFonts w:ascii="Calibri" w:hAnsi="Calibri" w:cs="Calibri"/>
                <w:b w:val="0"/>
                <w:i w:val="0"/>
                <w:sz w:val="22"/>
              </w:rPr>
              <w:t>), yang menganggap akun-akun modal kerja sebagai "saldo dana", dan tujuannya nunjukin gimana saldo itu naik karena laba dan turun karena rugi atau penggunaan lain. APB Opinion No. 19 nyebut tiga tujuan laporan ini: melengkapi pengungkapan perubahan posisi keuangan, meringkas aktivitas pendanaan dan investasi, dan melaporkan arus dana dari operasi. Karena semua angkanya cuma "mendaur ulang" data yang sudah ada di laporan laba rugi dan neraca, SCFP disebut laporan turunan. Pengakuannya nggak langsung jadi: APB Opinion No. 3 (1963) baru sebatas menyarankan, SEC mewajibkannya untuk pelaporan resmi pada 1971, dan di tahun yang sama APB merespons dengan Opinion No. 19 yang mewajibkannya penuh (Wolk et al., 2017).</w:t>
            </w:r>
          </w:p>
        </w:tc>
      </w:tr>
      <w:tr>
        <w:tc>
          <w:tcPr>
            <w:tcW w:type="dxa" w:w="2835"/>
          </w:tcPr>
          <w:p>
            <w:pPr>
              <w:spacing w:line="360" w:lineRule="auto"/>
              <w:jc w:val="left"/>
            </w:pPr>
            <w:r/>
            <w:r>
              <w:rPr>
                <w:rFonts w:ascii="Calibri" w:hAnsi="Calibri" w:cs="Calibri"/>
                <w:b/>
                <w:i w:val="0"/>
                <w:sz w:val="22"/>
              </w:rPr>
              <w:t>Gimana logika sources/uses dan empat pilihan definisi dana?</w:t>
            </w:r>
          </w:p>
        </w:tc>
        <w:tc>
          <w:tcPr>
            <w:tcW w:type="dxa" w:w="5669"/>
          </w:tcPr>
          <w:p>
            <w:pPr>
              <w:spacing w:line="360" w:lineRule="auto"/>
              <w:jc w:val="both"/>
            </w:pPr>
            <w:r/>
            <w:r>
              <w:rPr>
                <w:rFonts w:ascii="Calibri" w:hAnsi="Calibri" w:cs="Calibri"/>
                <w:b w:val="0"/>
                <w:i w:val="0"/>
                <w:sz w:val="22"/>
              </w:rPr>
              <w:t>SCFP punya dua sisi yang saling mengimbangi. Ada sumber sumber daya (</w:t>
            </w:r>
            <w:r>
              <w:rPr>
                <w:rFonts w:ascii="Calibri" w:hAnsi="Calibri" w:cs="Calibri"/>
                <w:b w:val="0"/>
                <w:i/>
                <w:sz w:val="22"/>
              </w:rPr>
              <w:t>sources of resources</w:t>
            </w:r>
            <w:r>
              <w:rPr>
                <w:rFonts w:ascii="Calibri" w:hAnsi="Calibri" w:cs="Calibri"/>
                <w:b w:val="0"/>
                <w:i w:val="0"/>
                <w:sz w:val="22"/>
              </w:rPr>
              <w:t>), yang datang dari naiknya ekuitas dan turunnya aset, dan ada penggunaan sumber daya (</w:t>
            </w:r>
            <w:r>
              <w:rPr>
                <w:rFonts w:ascii="Calibri" w:hAnsi="Calibri" w:cs="Calibri"/>
                <w:b w:val="0"/>
                <w:i/>
                <w:sz w:val="22"/>
              </w:rPr>
              <w:t>uses of resources</w:t>
            </w:r>
            <w:r>
              <w:rPr>
                <w:rFonts w:ascii="Calibri" w:hAnsi="Calibri" w:cs="Calibri"/>
                <w:b w:val="0"/>
                <w:i w:val="0"/>
                <w:sz w:val="22"/>
              </w:rPr>
              <w:t>), yang datang dari turunnya ekuitas dan naiknya aset. Semuanya ujungnya ke satu persamaan dasar 13.1: kredit transaksi = debit transaksi. Naiknya ekuitas itu artinya ada pendanaan, entah dari luar (utang, jual saham) atau dari dalam (laba, jual aset), sementara turunnya ekuitas berarti bayar utang, beli saham treasuri, bagi dividen, atau rugi. Kalau transaksi yang nggak nyentuh kas ikut dimasukin — misalnya utang yang diubah jadi saham, atau saham yang dipakai nuker aset nonkas — SCFP berubah jadi ringkasan menyeluruh yang disebut pendekatan mencakup-semua (</w:t>
            </w:r>
            <w:r>
              <w:rPr>
                <w:rFonts w:ascii="Calibri" w:hAnsi="Calibri" w:cs="Calibri"/>
                <w:b w:val="0"/>
                <w:i/>
                <w:sz w:val="22"/>
              </w:rPr>
              <w:t>all-inclusive</w:t>
            </w:r>
            <w:r>
              <w:rPr>
                <w:rFonts w:ascii="Calibri" w:hAnsi="Calibri" w:cs="Calibri"/>
                <w:b w:val="0"/>
                <w:i w:val="0"/>
                <w:sz w:val="22"/>
              </w:rPr>
              <w:t>). Sebenarnya Opinion No. 19 ngasih empat pilihan arti "dana": kas, kas plus near cash, quick assets, atau modal kerja. Tapi karena definisi modal kerja paling murah dibuat dan paling sedikit ribet, kebanyakan perusahaan milih itu (Wolk et al., 2017; lihat Exhibit 13.1).</w:t>
            </w:r>
          </w:p>
        </w:tc>
      </w:tr>
    </w:tbl>
    <w:p>
      <w:pPr>
        <w:spacing w:before="40" w:after="40"/>
        <w:jc w:val="center"/>
      </w:pPr>
      <w:r>
        <w:drawing>
          <wp:inline xmlns:a="http://schemas.openxmlformats.org/drawingml/2006/main" xmlns:pic="http://schemas.openxmlformats.org/drawingml/2006/picture">
            <wp:extent cx="5220000" cy="2437830"/>
            <wp:docPr id="1" name="Picture 1"/>
            <wp:cNvGraphicFramePr>
              <a:graphicFrameLocks noChangeAspect="1"/>
            </wp:cNvGraphicFramePr>
            <a:graphic>
              <a:graphicData uri="http://schemas.openxmlformats.org/drawingml/2006/picture">
                <pic:pic>
                  <pic:nvPicPr>
                    <pic:cNvPr id="0" name="exhibit-13-1.png"/>
                    <pic:cNvPicPr/>
                  </pic:nvPicPr>
                  <pic:blipFill>
                    <a:blip r:embed="rId10"/>
                    <a:stretch>
                      <a:fillRect/>
                    </a:stretch>
                  </pic:blipFill>
                  <pic:spPr>
                    <a:xfrm>
                      <a:off x="0" y="0"/>
                      <a:ext cx="5220000" cy="2437830"/>
                    </a:xfrm>
                    <a:prstGeom prst="rect"/>
                  </pic:spPr>
                </pic:pic>
              </a:graphicData>
            </a:graphic>
          </wp:inline>
        </w:drawing>
      </w:r>
    </w:p>
    <w:p>
      <w:pPr>
        <w:spacing w:line="360" w:lineRule="auto" w:before="0" w:after="0"/>
        <w:jc w:val="center"/>
      </w:pPr>
      <w:r>
        <w:rPr>
          <w:rFonts w:ascii="Calibri" w:hAnsi="Calibri" w:cs="Calibri"/>
          <w:b w:val="0"/>
          <w:i w:val="0"/>
          <w:sz w:val="22"/>
        </w:rPr>
        <w:t>Exhibit 13.1 — Format Standar Statement of Changes in Financial Position</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1341589"/>
            <wp:docPr id="2" name="Picture 2"/>
            <wp:cNvGraphicFramePr>
              <a:graphicFrameLocks noChangeAspect="1"/>
            </wp:cNvGraphicFramePr>
            <a:graphic>
              <a:graphicData uri="http://schemas.openxmlformats.org/drawingml/2006/picture">
                <pic:pic>
                  <pic:nvPicPr>
                    <pic:cNvPr id="0" name="timeline.png"/>
                    <pic:cNvPicPr/>
                  </pic:nvPicPr>
                  <pic:blipFill>
                    <a:blip r:embed="rId11"/>
                    <a:stretch>
                      <a:fillRect/>
                    </a:stretch>
                  </pic:blipFill>
                  <pic:spPr>
                    <a:xfrm>
                      <a:off x="0" y="0"/>
                      <a:ext cx="5220000" cy="1341589"/>
                    </a:xfrm>
                    <a:prstGeom prst="rect"/>
                  </pic:spPr>
                </pic:pic>
              </a:graphicData>
            </a:graphic>
          </wp:inline>
        </w:drawing>
      </w:r>
    </w:p>
    <w:p>
      <w:pPr>
        <w:spacing w:line="360" w:lineRule="auto" w:before="0" w:after="0"/>
        <w:jc w:val="center"/>
      </w:pPr>
      <w:r>
        <w:rPr>
          <w:rFonts w:ascii="Calibri" w:hAnsi="Calibri" w:cs="Calibri"/>
          <w:b/>
          <w:i w:val="0"/>
          <w:sz w:val="22"/>
        </w:rPr>
        <w:t xml:space="preserve">Gambar 1. </w:t>
      </w:r>
      <w:r>
        <w:rPr>
          <w:rFonts w:ascii="Calibri" w:hAnsi="Calibri" w:cs="Calibri"/>
          <w:b w:val="0"/>
          <w:i w:val="0"/>
          <w:sz w:val="22"/>
        </w:rPr>
        <w:t>Lini Masa Warisan Pelaporan Arus Dana (APB No. 3 1963 → SEC 1971 → APB No. 19 1971 → SFAS No. 95 1987)</w:t>
      </w:r>
    </w:p>
    <w:p>
      <w:pPr>
        <w:spacing w:line="360" w:lineRule="auto" w:before="0" w:after="120"/>
        <w:jc w:val="center"/>
      </w:pPr>
      <w:r>
        <w:rPr>
          <w:rFonts w:ascii="Calibri" w:hAnsi="Calibri" w:cs="Calibri"/>
          <w:b w:val="0"/>
          <w:i/>
          <w:sz w:val="22"/>
        </w:rPr>
        <w:t>Sumber: diolah dari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Kenapa akhirnya "dana" diartikan sebagai kas?</w:t>
            </w:r>
          </w:p>
        </w:tc>
        <w:tc>
          <w:tcPr>
            <w:tcW w:type="dxa" w:w="5669"/>
          </w:tcPr>
          <w:p>
            <w:pPr>
              <w:spacing w:line="360" w:lineRule="auto"/>
              <w:jc w:val="both"/>
            </w:pPr>
            <w:r/>
            <w:r>
              <w:rPr>
                <w:rFonts w:ascii="Calibri" w:hAnsi="Calibri" w:cs="Calibri"/>
                <w:b w:val="0"/>
                <w:i w:val="0"/>
                <w:sz w:val="22"/>
              </w:rPr>
              <w:t>Pas FASB lagi godok SCF, mereka sepakat bahwa "dana" mendingan diartikan kas, bukan modal kerja bersih. Soalnya modal kerja bersih itu ukuran likuiditas yang payah. Ada tiga alasannya kalau dipikir-pikir: di dalamnya ada beban dan kredit tangguhan yang sebenarnya nggak ada urusannya sama kas; buat perusahaan dengan siklus operasi panjang, ngubah aset lancar jadi kas bisa makan waktu setahun lebih; dan pos seperti persediaan dicatat pakai biaya, jadi nggak nunjukin berapa kas yang bisa dihasilkan. Di tengah kerumitan kayak gini, lapor pakai kas jelas lebih gampang dipahami (Wolk et al., 2017).</w:t>
            </w:r>
          </w:p>
        </w:tc>
      </w:tr>
      <w:tr>
        <w:tc>
          <w:tcPr>
            <w:tcW w:type="dxa" w:w="2835"/>
          </w:tcPr>
          <w:p>
            <w:pPr>
              <w:spacing w:line="360" w:lineRule="auto"/>
              <w:jc w:val="left"/>
            </w:pPr>
            <w:r/>
            <w:r>
              <w:rPr>
                <w:rFonts w:ascii="Calibri" w:hAnsi="Calibri" w:cs="Calibri"/>
                <w:b/>
                <w:i w:val="0"/>
                <w:sz w:val="22"/>
              </w:rPr>
              <w:t>Gimana SFAS No. 95 menggantikan SCFP, dan apa hubungannya dengan SFAC No. 1 dan No. 5?</w:t>
            </w:r>
          </w:p>
        </w:tc>
        <w:tc>
          <w:tcPr>
            <w:tcW w:type="dxa" w:w="5669"/>
          </w:tcPr>
          <w:p>
            <w:pPr>
              <w:spacing w:line="360" w:lineRule="auto"/>
              <w:jc w:val="both"/>
            </w:pPr>
            <w:r/>
            <w:r>
              <w:rPr>
                <w:rFonts w:ascii="Calibri" w:hAnsi="Calibri" w:cs="Calibri"/>
                <w:b w:val="0"/>
                <w:i w:val="0"/>
                <w:sz w:val="22"/>
              </w:rPr>
              <w:t>Tahun 1987 FASB mewajibkan SCF lewat SFAS No. 95, sekaligus "memensiunkan" SCFP. Dasarnya sudah disiapkan kerangka konseptual. SFAC No. 1 nyebut tiga tujuan pelaporan keuangan: tujuan pertama luas (ngasih info yang berguna buat keputusan investasi dan kredit), sedangkan dua tujuan lain — info soal sumber daya bersih perusahaan beserta perubahannya, dan info buat menilai arus kas masa depan — sebenarnya cara konkret mewujudkan tujuan pertama. Dua tujuan terakhir inilah yang bikin SCF diadopsi di era 1980-an. SFAC No. 5 mempertegas: SCF nunjukin gimana perusahaan menghasilkan kas dari operasi buat bayar utang, bagi dividen, atau investasi lagi, plus aktivitas pendanaan dan investasinya. Gunanya buat menilai likuiditas, fleksibilitas keuangan, profitabilitas, dan risiko (Wolk et al., 2017).</w:t>
            </w:r>
          </w:p>
        </w:tc>
      </w:tr>
      <w:tr>
        <w:tc>
          <w:tcPr>
            <w:tcW w:type="dxa" w:w="2835"/>
          </w:tcPr>
          <w:p>
            <w:pPr>
              <w:spacing w:line="360" w:lineRule="auto"/>
              <w:jc w:val="left"/>
            </w:pPr>
            <w:r/>
            <w:r>
              <w:rPr>
                <w:rFonts w:ascii="Calibri" w:hAnsi="Calibri" w:cs="Calibri"/>
                <w:b/>
                <w:i w:val="0"/>
                <w:sz w:val="22"/>
              </w:rPr>
              <w:t>Apa enam manfaat data arus kas menurut FASB?</w:t>
            </w:r>
          </w:p>
        </w:tc>
        <w:tc>
          <w:tcPr>
            <w:tcW w:type="dxa" w:w="5669"/>
          </w:tcPr>
          <w:p>
            <w:pPr>
              <w:spacing w:line="360" w:lineRule="auto"/>
              <w:jc w:val="both"/>
            </w:pPr>
            <w:r/>
            <w:r>
              <w:rPr>
                <w:rFonts w:ascii="Calibri" w:hAnsi="Calibri" w:cs="Calibri"/>
                <w:b w:val="0"/>
                <w:i w:val="0"/>
                <w:sz w:val="22"/>
              </w:rPr>
              <w:t>Sebuah discussion memorandum FASB ngasih enam alasan kenapa data arus kas itu pelengkap yang berharga: ngasih umpan balik soal arus kas yang sebenarnya, bantu ngaitin laba akuntansi dengan arus kas, nunjukin kualitas laba, bikin info lebih bisa dibandingkan, bantu menilai fleksibilitas dan likuiditas, dan bantu memprediksi arus kas ke depan. Benang merahnya satu: semuanya soal keterbatasan akuntansi akrual. Jadi data arus kas bukan buat ngegantiin data akrual, tapi buat ngelengkapinnya (Wolk et al., 2017).</w:t>
            </w:r>
          </w:p>
        </w:tc>
      </w:tr>
      <w:tr>
        <w:tc>
          <w:tcPr>
            <w:tcW w:type="dxa" w:w="2835"/>
          </w:tcPr>
          <w:p>
            <w:pPr>
              <w:spacing w:line="360" w:lineRule="auto"/>
              <w:jc w:val="left"/>
            </w:pPr>
            <w:r/>
            <w:r>
              <w:rPr>
                <w:rFonts w:ascii="Calibri" w:hAnsi="Calibri" w:cs="Calibri"/>
                <w:b/>
                <w:i w:val="0"/>
                <w:sz w:val="22"/>
              </w:rPr>
              <w:t>Apa itu kualitas laba, dan gimana arus kas bantu masalah keseragaman?</w:t>
            </w:r>
          </w:p>
        </w:tc>
        <w:tc>
          <w:tcPr>
            <w:tcW w:type="dxa" w:w="5669"/>
          </w:tcPr>
          <w:p>
            <w:pPr>
              <w:spacing w:line="360" w:lineRule="auto"/>
              <w:jc w:val="both"/>
            </w:pPr>
            <w:r/>
            <w:r>
              <w:rPr>
                <w:rFonts w:ascii="Calibri" w:hAnsi="Calibri" w:cs="Calibri"/>
                <w:b w:val="0"/>
                <w:i w:val="0"/>
                <w:sz w:val="22"/>
              </w:rPr>
              <w:t>Kualitas laba (</w:t>
            </w:r>
            <w:r>
              <w:rPr>
                <w:rFonts w:ascii="Calibri" w:hAnsi="Calibri" w:cs="Calibri"/>
                <w:b w:val="0"/>
                <w:i/>
                <w:sz w:val="22"/>
              </w:rPr>
              <w:t>quality of income</w:t>
            </w:r>
            <w:r>
              <w:rPr>
                <w:rFonts w:ascii="Calibri" w:hAnsi="Calibri" w:cs="Calibri"/>
                <w:b w:val="0"/>
                <w:i w:val="0"/>
                <w:sz w:val="22"/>
              </w:rPr>
              <w:t>) itu istilah analis buat ngegambarin seberapa dekat arus kas dengan laba akuntansi: makin nyambung keduanya, makin tinggi kualitas labanya. Idenya, laba itu penuh akrual dan penundaan yang nggak melibatkan kas, jadi nggak selalu jadi penanda likuiditas yang bagus. Ada juga sisi lain, yaitu soal keseragaman. Kebebasan milih kebijakan akuntansi bisa bikin perusahaan susah dibandingin satu sama lain, sedangkan arus kas operasi lebih sedikit pilihannya jadi lebih seragam dan gampang diadu. Itulah kenapa SCF dianggap obat buat kesewenang-wenangan dalam ngukur laba — arus kas itu jernih dan nyata, beda sama laba yang abstrak (Wolk et al., 2017).</w:t>
            </w:r>
          </w:p>
        </w:tc>
      </w:tr>
      <w:tr>
        <w:tc>
          <w:tcPr>
            <w:tcW w:type="dxa" w:w="2835"/>
          </w:tcPr>
          <w:p>
            <w:pPr>
              <w:spacing w:line="360" w:lineRule="auto"/>
              <w:jc w:val="left"/>
            </w:pPr>
            <w:r/>
            <w:r>
              <w:rPr>
                <w:rFonts w:ascii="Calibri" w:hAnsi="Calibri" w:cs="Calibri"/>
                <w:b/>
                <w:i w:val="0"/>
                <w:sz w:val="22"/>
              </w:rPr>
              <w:t>Apa beda fleksibilitas keuangan dan likuiditas, dan kenapa neraca nggak cukup?</w:t>
            </w:r>
          </w:p>
        </w:tc>
        <w:tc>
          <w:tcPr>
            <w:tcW w:type="dxa" w:w="5669"/>
          </w:tcPr>
          <w:p>
            <w:pPr>
              <w:spacing w:line="360" w:lineRule="auto"/>
              <w:jc w:val="both"/>
            </w:pPr>
            <w:r/>
            <w:r>
              <w:rPr>
                <w:rFonts w:ascii="Calibri" w:hAnsi="Calibri" w:cs="Calibri"/>
                <w:b w:val="0"/>
                <w:i w:val="0"/>
                <w:sz w:val="22"/>
              </w:rPr>
              <w:t>Fleksibilitas keuangan (</w:t>
            </w:r>
            <w:r>
              <w:rPr>
                <w:rFonts w:ascii="Calibri" w:hAnsi="Calibri" w:cs="Calibri"/>
                <w:b w:val="0"/>
                <w:i/>
                <w:sz w:val="22"/>
              </w:rPr>
              <w:t>financial flexibility</w:t>
            </w:r>
            <w:r>
              <w:rPr>
                <w:rFonts w:ascii="Calibri" w:hAnsi="Calibri" w:cs="Calibri"/>
                <w:b w:val="0"/>
                <w:i w:val="0"/>
                <w:sz w:val="22"/>
              </w:rPr>
              <w:t>) itu kemampuan perusahaan nyesuaiin diri sama keadaan dan peluang baru, sedangkan likuiditas (</w:t>
            </w:r>
            <w:r>
              <w:rPr>
                <w:rFonts w:ascii="Calibri" w:hAnsi="Calibri" w:cs="Calibri"/>
                <w:b w:val="0"/>
                <w:i/>
                <w:sz w:val="22"/>
              </w:rPr>
              <w:t>liquidity</w:t>
            </w:r>
            <w:r>
              <w:rPr>
                <w:rFonts w:ascii="Calibri" w:hAnsi="Calibri" w:cs="Calibri"/>
                <w:b w:val="0"/>
                <w:i w:val="0"/>
                <w:sz w:val="22"/>
              </w:rPr>
              <w:t>) itu kemampuan ngubah aset jadi kas dengan cepat tanpa rugi. Kas hasil operasi sendiri ngasih petunjuk soal dua-duanya, soalnya kas itu yang dipakai buat bayar utang, danai investasi baru, dan bagi-bagi ke pemegang saham — persis alasan kenapa dulu laporan arus dana diwajibkan. Memang di neraca juga ada info likuiditas, tapi pembagian lancar dan taklancar itu pemandu yang kasar banget. Soalnya sebagian pos lancar cuma beban tangguhan tanpa efek kas, persediaan belum tentu cepat jadi kas, dan angka di neraca biasanya bukan nilai jual bersih jadi kita nggak tahu pasti berapa kas yang bakal dihasilkan suatu aset. Ada juga akuntansi harga keluar (</w:t>
            </w:r>
            <w:r>
              <w:rPr>
                <w:rFonts w:ascii="Calibri" w:hAnsi="Calibri" w:cs="Calibri"/>
                <w:b w:val="0"/>
                <w:i/>
                <w:sz w:val="22"/>
              </w:rPr>
              <w:t>exit-price accounting</w:t>
            </w:r>
            <w:r>
              <w:rPr>
                <w:rFonts w:ascii="Calibri" w:hAnsi="Calibri" w:cs="Calibri"/>
                <w:b w:val="0"/>
                <w:i w:val="0"/>
                <w:sz w:val="22"/>
              </w:rPr>
              <w:t>) yang coba ngukur fleksibilitas lewat kas kalau aset dilikuidasi tanpa paksaan, tapi tetap kasar karena yang nentuin likuiditas itu kecepatan ngubahnya jadi kas. Soal apakah arus kas, arus dana, atau laba yang paling jitu meramal arus kas masa depan, itu masih jadi pertanyaan terbuka (Wolk et al., 2017).</w:t>
            </w:r>
          </w:p>
        </w:tc>
      </w:tr>
      <w:tr>
        <w:tc>
          <w:tcPr>
            <w:tcW w:type="dxa" w:w="2835"/>
          </w:tcPr>
          <w:p>
            <w:pPr>
              <w:spacing w:line="360" w:lineRule="auto"/>
              <w:jc w:val="left"/>
            </w:pPr>
            <w:r/>
            <w:r>
              <w:rPr>
                <w:rFonts w:ascii="Calibri" w:hAnsi="Calibri" w:cs="Calibri"/>
                <w:b/>
                <w:i w:val="0"/>
                <w:sz w:val="22"/>
              </w:rPr>
              <w:t>Seperti apa struktur SCF dengan trikotomi operasi–investasi–pendanaan?</w:t>
            </w:r>
          </w:p>
        </w:tc>
        <w:tc>
          <w:tcPr>
            <w:tcW w:type="dxa" w:w="5669"/>
          </w:tcPr>
          <w:p>
            <w:pPr>
              <w:spacing w:line="360" w:lineRule="auto"/>
              <w:jc w:val="both"/>
            </w:pPr>
            <w:r/>
            <w:r>
              <w:rPr>
                <w:rFonts w:ascii="Calibri" w:hAnsi="Calibri" w:cs="Calibri"/>
                <w:b w:val="0"/>
                <w:i w:val="0"/>
                <w:sz w:val="22"/>
              </w:rPr>
              <w:t>Kalau SCFP cuma main di kerangka "sumber dan penggunaan" yang mekanis, SCF nyusun penerimaan dan pengeluaran kas ke tiga kelompok yang lebih bermakna: aktivitas operasi, investasi, dan pendanaan. Pembagian tiga arah ini bikin klasifikasinya lebih konsisten dan lebih gampang dibandingin daripada SCFP. Tapi nggak semua setuju: tiga dari tujuh anggota FASB menolak. Menurut mereka, bunga dan dividen yang diterima itu sebenarnya aktivitas investasi (paragraf 22), dan bunga yang dibayar itu pendanaan, bukan biaya operasi (paragraf 23) — pandangan yang malah lebih cocok sama cara berpikir ilmu keuangan zaman sekarang (Wolk et al., 2017).</w:t>
            </w:r>
          </w:p>
        </w:tc>
      </w:tr>
    </w:tbl>
    <w:p>
      <w:pPr>
        <w:spacing w:before="40" w:after="40"/>
        <w:jc w:val="center"/>
      </w:pPr>
      <w:r>
        <w:drawing>
          <wp:inline xmlns:a="http://schemas.openxmlformats.org/drawingml/2006/main" xmlns:pic="http://schemas.openxmlformats.org/drawingml/2006/picture">
            <wp:extent cx="5220000" cy="1890421"/>
            <wp:docPr id="3" name="Picture 3"/>
            <wp:cNvGraphicFramePr>
              <a:graphicFrameLocks noChangeAspect="1"/>
            </wp:cNvGraphicFramePr>
            <a:graphic>
              <a:graphicData uri="http://schemas.openxmlformats.org/drawingml/2006/picture">
                <pic:pic>
                  <pic:nvPicPr>
                    <pic:cNvPr id="0" name="trichotomy.png"/>
                    <pic:cNvPicPr/>
                  </pic:nvPicPr>
                  <pic:blipFill>
                    <a:blip r:embed="rId12"/>
                    <a:stretch>
                      <a:fillRect/>
                    </a:stretch>
                  </pic:blipFill>
                  <pic:spPr>
                    <a:xfrm>
                      <a:off x="0" y="0"/>
                      <a:ext cx="5220000" cy="1890421"/>
                    </a:xfrm>
                    <a:prstGeom prst="rect"/>
                  </pic:spPr>
                </pic:pic>
              </a:graphicData>
            </a:graphic>
          </wp:inline>
        </w:drawing>
      </w:r>
    </w:p>
    <w:p>
      <w:pPr>
        <w:spacing w:line="360" w:lineRule="auto" w:before="0" w:after="0"/>
        <w:jc w:val="center"/>
      </w:pPr>
      <w:r>
        <w:rPr>
          <w:rFonts w:ascii="Calibri" w:hAnsi="Calibri" w:cs="Calibri"/>
          <w:b/>
          <w:i w:val="0"/>
          <w:sz w:val="22"/>
        </w:rPr>
        <w:t xml:space="preserve">Gambar 2. </w:t>
      </w:r>
      <w:r>
        <w:rPr>
          <w:rFonts w:ascii="Calibri" w:hAnsi="Calibri" w:cs="Calibri"/>
          <w:b w:val="0"/>
          <w:i w:val="0"/>
          <w:sz w:val="22"/>
        </w:rPr>
        <w:t>Trikotomi Arus Kas SFAS No. 95: Operasi, Investasi, dan Pendanaan</w:t>
      </w:r>
    </w:p>
    <w:p>
      <w:pPr>
        <w:spacing w:line="360" w:lineRule="auto" w:before="0" w:after="120"/>
        <w:jc w:val="center"/>
      </w:pPr>
      <w:r>
        <w:rPr>
          <w:rFonts w:ascii="Calibri" w:hAnsi="Calibri" w:cs="Calibri"/>
          <w:b w:val="0"/>
          <w:i/>
          <w:sz w:val="22"/>
        </w:rPr>
        <w:t>Sumber: diolah dari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Gimana kas, setara kas, dan transaksi nonkas diperlakukan?</w:t>
            </w:r>
          </w:p>
        </w:tc>
        <w:tc>
          <w:tcPr>
            <w:tcW w:type="dxa" w:w="5669"/>
          </w:tcPr>
          <w:p>
            <w:pPr>
              <w:spacing w:line="360" w:lineRule="auto"/>
              <w:jc w:val="both"/>
            </w:pPr>
            <w:r/>
            <w:r>
              <w:rPr>
                <w:rFonts w:ascii="Calibri" w:hAnsi="Calibri" w:cs="Calibri"/>
                <w:b w:val="0"/>
                <w:i w:val="0"/>
                <w:sz w:val="22"/>
              </w:rPr>
              <w:t>Di SCF, kas itu uang tunai di tangan atau simpanan yang bisa diambil kapan aja, ditambah setara kas (</w:t>
            </w:r>
            <w:r>
              <w:rPr>
                <w:rFonts w:ascii="Calibri" w:hAnsi="Calibri" w:cs="Calibri"/>
                <w:b w:val="0"/>
                <w:i/>
                <w:sz w:val="22"/>
              </w:rPr>
              <w:t>cash equivalents</w:t>
            </w:r>
            <w:r>
              <w:rPr>
                <w:rFonts w:ascii="Calibri" w:hAnsi="Calibri" w:cs="Calibri"/>
                <w:b w:val="0"/>
                <w:i w:val="0"/>
                <w:sz w:val="22"/>
              </w:rPr>
              <w:t>), yaitu investasi jangka pendek yang gampang banget dicairkan jadi sejumlah kas yang sudah ketahuan nilainya. Sama seperti APB Opinion No. 19, SFAS No. 95 minta setiap transaksi investasi dan pendanaan yang nggak pakai kas tetap dilaporkan sebagai pelengkap, entah lewat skedul atau ditulis dalam bentuk cerita. Ini penerapan pendekatan mencakup-semua tadi, biar nggak ada satu pun transaksi perusahaan yang kelewat dari laporan (Wolk et al., 2017).</w:t>
            </w:r>
          </w:p>
        </w:tc>
      </w:tr>
      <w:tr>
        <w:tc>
          <w:tcPr>
            <w:tcW w:type="dxa" w:w="2835"/>
          </w:tcPr>
          <w:p>
            <w:pPr>
              <w:spacing w:line="360" w:lineRule="auto"/>
              <w:jc w:val="left"/>
            </w:pPr>
            <w:r/>
            <w:r>
              <w:rPr>
                <w:rFonts w:ascii="Calibri" w:hAnsi="Calibri" w:cs="Calibri"/>
                <w:b/>
                <w:i w:val="0"/>
                <w:sz w:val="22"/>
              </w:rPr>
              <w:t>Apa beda metode langsung dan tidak langsung?</w:t>
            </w:r>
          </w:p>
        </w:tc>
        <w:tc>
          <w:tcPr>
            <w:tcW w:type="dxa" w:w="5669"/>
          </w:tcPr>
          <w:p>
            <w:pPr>
              <w:spacing w:line="360" w:lineRule="auto"/>
              <w:jc w:val="both"/>
            </w:pPr>
            <w:r/>
            <w:r>
              <w:rPr>
                <w:rFonts w:ascii="Calibri" w:hAnsi="Calibri" w:cs="Calibri"/>
                <w:b w:val="0"/>
                <w:i w:val="0"/>
                <w:sz w:val="22"/>
              </w:rPr>
              <w:t>SFAS No. 95 ngebolehin arus kas operasi disajikan pakai metode langsung (</w:t>
            </w:r>
            <w:r>
              <w:rPr>
                <w:rFonts w:ascii="Calibri" w:hAnsi="Calibri" w:cs="Calibri"/>
                <w:b w:val="0"/>
                <w:i/>
                <w:sz w:val="22"/>
              </w:rPr>
              <w:t>direct method</w:t>
            </w:r>
            <w:r>
              <w:rPr>
                <w:rFonts w:ascii="Calibri" w:hAnsi="Calibri" w:cs="Calibri"/>
                <w:b w:val="0"/>
                <w:i w:val="0"/>
                <w:sz w:val="22"/>
              </w:rPr>
              <w:t>) atau tidak langsung (</w:t>
            </w:r>
            <w:r>
              <w:rPr>
                <w:rFonts w:ascii="Calibri" w:hAnsi="Calibri" w:cs="Calibri"/>
                <w:b w:val="0"/>
                <w:i/>
                <w:sz w:val="22"/>
              </w:rPr>
              <w:t>indirect method</w:t>
            </w:r>
            <w:r>
              <w:rPr>
                <w:rFonts w:ascii="Calibri" w:hAnsi="Calibri" w:cs="Calibri"/>
                <w:b w:val="0"/>
                <w:i w:val="0"/>
                <w:sz w:val="22"/>
              </w:rPr>
              <w:t>). Metode langsung ngelaporin arus kas apa adanya yang sejajar sama pos laporan laba rugi seperti pendapatan dan harga pokok; infonya lebih kaya dan ini yang disukai FASB. Metode tidak langsung (atau metode rekonsiliasi) mulai dari laba akrual, lalu disesuaikan buat pos-pos yang nggak melibatkan kas. FASB ngaku metode langsung bisa lebih mahal, soalnya nggak semua perusahaan punya catatan yang rapi buat ngehasilin datanya, dan dalam praktik sering butuh "angka penyeimbang" biar laporannya pas. Kalau pakai metode langsung pun, perusahaan tetap wajib lampirin skedul yang nyocokin arus kas operasi sama laba bersih — jadi metode tidak langsung praktis selalu nongol. Bahkan sebagian anggota FASB ngerasa bolehnya metode tidak langsung itu malah bikin pengguna susah paham dan nurunin mutu laporan (Wolk et al., 2017; lihat Exhibit 13.2 dan 13.3).</w:t>
            </w:r>
          </w:p>
        </w:tc>
      </w:tr>
    </w:tbl>
    <w:p>
      <w:pPr>
        <w:spacing w:before="40" w:after="40"/>
        <w:jc w:val="center"/>
      </w:pPr>
      <w:r>
        <w:drawing>
          <wp:inline xmlns:a="http://schemas.openxmlformats.org/drawingml/2006/main" xmlns:pic="http://schemas.openxmlformats.org/drawingml/2006/picture">
            <wp:extent cx="5220000" cy="6260507"/>
            <wp:docPr id="4" name="Picture 4"/>
            <wp:cNvGraphicFramePr>
              <a:graphicFrameLocks noChangeAspect="1"/>
            </wp:cNvGraphicFramePr>
            <a:graphic>
              <a:graphicData uri="http://schemas.openxmlformats.org/drawingml/2006/picture">
                <pic:pic>
                  <pic:nvPicPr>
                    <pic:cNvPr id="0" name="exhibit-13-2.png"/>
                    <pic:cNvPicPr/>
                  </pic:nvPicPr>
                  <pic:blipFill>
                    <a:blip r:embed="rId13"/>
                    <a:stretch>
                      <a:fillRect/>
                    </a:stretch>
                  </pic:blipFill>
                  <pic:spPr>
                    <a:xfrm>
                      <a:off x="0" y="0"/>
                      <a:ext cx="5220000" cy="6260507"/>
                    </a:xfrm>
                    <a:prstGeom prst="rect"/>
                  </pic:spPr>
                </pic:pic>
              </a:graphicData>
            </a:graphic>
          </wp:inline>
        </w:drawing>
      </w:r>
    </w:p>
    <w:p>
      <w:pPr>
        <w:spacing w:line="360" w:lineRule="auto" w:before="0" w:after="0"/>
        <w:jc w:val="center"/>
      </w:pPr>
      <w:r>
        <w:rPr>
          <w:rFonts w:ascii="Calibri" w:hAnsi="Calibri" w:cs="Calibri"/>
          <w:b w:val="0"/>
          <w:i w:val="0"/>
          <w:sz w:val="22"/>
        </w:rPr>
        <w:t>Exhibit 13.2 — Penyajian SCF Metode Langsung (Company M, 2000)</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5491979"/>
            <wp:docPr id="5" name="Picture 5"/>
            <wp:cNvGraphicFramePr>
              <a:graphicFrameLocks noChangeAspect="1"/>
            </wp:cNvGraphicFramePr>
            <a:graphic>
              <a:graphicData uri="http://schemas.openxmlformats.org/drawingml/2006/picture">
                <pic:pic>
                  <pic:nvPicPr>
                    <pic:cNvPr id="0" name="exhibit-13-3.png"/>
                    <pic:cNvPicPr/>
                  </pic:nvPicPr>
                  <pic:blipFill>
                    <a:blip r:embed="rId14"/>
                    <a:stretch>
                      <a:fillRect/>
                    </a:stretch>
                  </pic:blipFill>
                  <pic:spPr>
                    <a:xfrm>
                      <a:off x="0" y="0"/>
                      <a:ext cx="5220000" cy="5491979"/>
                    </a:xfrm>
                    <a:prstGeom prst="rect"/>
                  </pic:spPr>
                </pic:pic>
              </a:graphicData>
            </a:graphic>
          </wp:inline>
        </w:drawing>
      </w:r>
    </w:p>
    <w:p>
      <w:pPr>
        <w:spacing w:line="360" w:lineRule="auto" w:before="0" w:after="0"/>
        <w:jc w:val="center"/>
      </w:pPr>
      <w:r>
        <w:rPr>
          <w:rFonts w:ascii="Calibri" w:hAnsi="Calibri" w:cs="Calibri"/>
          <w:b w:val="0"/>
          <w:i w:val="0"/>
          <w:sz w:val="22"/>
        </w:rPr>
        <w:t>Exhibit 13.3 — Metode Tidak Langsung / Rekonsiliasi Arus Kas Operasi (Company M)</w:t>
      </w:r>
    </w:p>
    <w:p>
      <w:pPr>
        <w:spacing w:line="360" w:lineRule="auto" w:before="0" w:after="120"/>
        <w:jc w:val="center"/>
      </w:pPr>
      <w:r>
        <w:rPr>
          <w:rFonts w:ascii="Calibri" w:hAnsi="Calibri" w:cs="Calibri"/>
          <w:b w:val="0"/>
          <w:i/>
          <w:sz w:val="22"/>
        </w:rPr>
        <w:t>Sumber: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Kenapa praktik lebih milih metode tidak langsung, dan apa temuan McEnroe?</w:t>
            </w:r>
          </w:p>
        </w:tc>
        <w:tc>
          <w:tcPr>
            <w:tcW w:type="dxa" w:w="5669"/>
          </w:tcPr>
          <w:p>
            <w:pPr>
              <w:spacing w:line="360" w:lineRule="auto"/>
              <w:jc w:val="both"/>
            </w:pPr>
            <w:r/>
            <w:r>
              <w:rPr>
                <w:rFonts w:ascii="Calibri" w:hAnsi="Calibri" w:cs="Calibri"/>
                <w:b w:val="0"/>
                <w:i w:val="0"/>
                <w:sz w:val="22"/>
              </w:rPr>
              <w:t>Kebanyakan perusahaan Amerika pakai metode tidak langsung, dan alasan utamanya kelihatannya soal biaya. Padahal dua metode ini ngehasilin angka arus kas operasi bersih yang sama persis — di Company M sama-sama $1.365 — yang beda cuma info yang ditampilkan: yang satu nunjukin arus kas buat penjualan dan harga pokok, yang lain nunjukin proses nyocokin laba akrual ke versi kasnya. Jadi ini soal biaya lawan manfaat info. Lucunya, riset (walau terbatas) malah nunjukin pengguna luar lebih suka metode langsung. Studi McEnroe ke 282 responden — ada analis keuangan, penasihat investasi, dosen akuntansi, sampai akuntan — nemu 56 persen milih metode langsung, 44 persen metode tidak langsung. Intinya: metode langsung gampang dibaca tapi susah dibuat, metode tidak langsung kebalikannya (Wolk et al., 2017).</w:t>
            </w:r>
          </w:p>
        </w:tc>
      </w:tr>
      <w:tr>
        <w:tc>
          <w:tcPr>
            <w:tcW w:type="dxa" w:w="2835"/>
          </w:tcPr>
          <w:p>
            <w:pPr>
              <w:spacing w:line="360" w:lineRule="auto"/>
              <w:jc w:val="left"/>
            </w:pPr>
            <w:r/>
            <w:r>
              <w:rPr>
                <w:rFonts w:ascii="Calibri" w:hAnsi="Calibri" w:cs="Calibri"/>
                <w:b/>
                <w:i w:val="0"/>
                <w:sz w:val="22"/>
              </w:rPr>
              <w:t>Apa masalah nonartikulasi yang ditemukan Bahnson, Miller, dan Budge?</w:t>
            </w:r>
          </w:p>
        </w:tc>
        <w:tc>
          <w:tcPr>
            <w:tcW w:type="dxa" w:w="5669"/>
          </w:tcPr>
          <w:p>
            <w:pPr>
              <w:spacing w:line="360" w:lineRule="auto"/>
              <w:jc w:val="both"/>
            </w:pPr>
            <w:r/>
            <w:r>
              <w:rPr>
                <w:rFonts w:ascii="Calibri" w:hAnsi="Calibri" w:cs="Calibri"/>
                <w:b w:val="0"/>
                <w:i w:val="0"/>
                <w:sz w:val="22"/>
              </w:rPr>
              <w:t>Ada satu masalah penting yang nempel di metode tidak langsung. Studi besar dari Bahnson, Miller, dan Budge nunjukin terjadinya nonartikulasi, yaitu pas arus kas yang muncul dari perubahan akun modal kerja perusahaan ternyata nggak sama dengan penyesuaian modal kerja yang ditulis di bagian operasi SCF. Akibatnya SCF kelihatan nggak nyambung sama neracanya sendiri, dan itu bikin pengguna bingung. Selisih kayak gini muncul di 75 persen kasus dalam sampel mereka, dan ukurannya nggak main-main. Di Exhibit 13.4, perubahan akun neraca 3M buat piutang usaha, persediaan, dan utang usaha diadu sama penyesuaian modal kerja di SCF; selisih di piutang usaha aja sampai sekitar 300 persen, bahkan ada kasus yang tandanya (plus/minus) malah kebalik (Wolk et al., 2017; lihat Exhibit 13.4).</w:t>
            </w:r>
          </w:p>
        </w:tc>
      </w:tr>
    </w:tbl>
    <w:p>
      <w:pPr>
        <w:spacing w:before="40" w:after="40"/>
        <w:jc w:val="center"/>
      </w:pPr>
      <w:r>
        <w:drawing>
          <wp:inline xmlns:a="http://schemas.openxmlformats.org/drawingml/2006/main" xmlns:pic="http://schemas.openxmlformats.org/drawingml/2006/picture">
            <wp:extent cx="5220000" cy="1404809"/>
            <wp:docPr id="6" name="Picture 6"/>
            <wp:cNvGraphicFramePr>
              <a:graphicFrameLocks noChangeAspect="1"/>
            </wp:cNvGraphicFramePr>
            <a:graphic>
              <a:graphicData uri="http://schemas.openxmlformats.org/drawingml/2006/picture">
                <pic:pic>
                  <pic:nvPicPr>
                    <pic:cNvPr id="0" name="exhibit-13-4.png"/>
                    <pic:cNvPicPr/>
                  </pic:nvPicPr>
                  <pic:blipFill>
                    <a:blip r:embed="rId15"/>
                    <a:stretch>
                      <a:fillRect/>
                    </a:stretch>
                  </pic:blipFill>
                  <pic:spPr>
                    <a:xfrm>
                      <a:off x="0" y="0"/>
                      <a:ext cx="5220000" cy="1404809"/>
                    </a:xfrm>
                    <a:prstGeom prst="rect"/>
                  </pic:spPr>
                </pic:pic>
              </a:graphicData>
            </a:graphic>
          </wp:inline>
        </w:drawing>
      </w:r>
    </w:p>
    <w:p>
      <w:pPr>
        <w:spacing w:line="360" w:lineRule="auto" w:before="0" w:after="0"/>
        <w:jc w:val="center"/>
      </w:pPr>
      <w:r>
        <w:rPr>
          <w:rFonts w:ascii="Calibri" w:hAnsi="Calibri" w:cs="Calibri"/>
          <w:b w:val="0"/>
          <w:i w:val="0"/>
          <w:sz w:val="22"/>
        </w:rPr>
        <w:t>Exhibit 13.4 — Perbandingan Perubahan Neraca dan Penyesuaian Modal Kerja 3M Company ($000.000)</w:t>
      </w:r>
    </w:p>
    <w:p>
      <w:pPr>
        <w:spacing w:line="360" w:lineRule="auto" w:before="0" w:after="120"/>
        <w:jc w:val="center"/>
      </w:pPr>
      <w:r>
        <w:rPr>
          <w:rFonts w:ascii="Calibri" w:hAnsi="Calibri" w:cs="Calibri"/>
          <w:b w:val="0"/>
          <w:i/>
          <w:sz w:val="22"/>
        </w:rPr>
        <w:t>Sumber: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Apa tiga penyebab nonartikulasi?</w:t>
            </w:r>
          </w:p>
        </w:tc>
        <w:tc>
          <w:tcPr>
            <w:tcW w:type="dxa" w:w="5669"/>
          </w:tcPr>
          <w:p>
            <w:pPr>
              <w:spacing w:line="360" w:lineRule="auto"/>
              <w:jc w:val="both"/>
            </w:pPr>
            <w:r/>
            <w:r>
              <w:rPr>
                <w:rFonts w:ascii="Calibri" w:hAnsi="Calibri" w:cs="Calibri"/>
                <w:b w:val="0"/>
                <w:i w:val="0"/>
                <w:sz w:val="22"/>
              </w:rPr>
              <w:t>Ada tiga hal yang bikin nonartikulasi kejadian. Pertama, akuisisi anak perusahaan di tengah tahun: saldo modal kerja awal perusahaan yang dibeli nggak masuk ke neraca konsolidasi awal, jadi biar nyambung saldo yang ketinggalan itu harus ditambahin ke saldo awal. Kedua, transaksi akun modal kerja yang nggak nyentuh kas — ini bahkan kejadian di perusahaan yang nggak konsolidasi — misalnya nilai persediaan dinaikin/diturunin pas akuisisi, penyusutan yang dialokasiin ke persediaan yang diproduksi, atau akun modal kerja yang dipindah-pindah antara kategori lancar dan taklancar. Ketiga, satu akun utang usaha dipakai bareng buat beli aset modal kerja sekaligus aset di luar modal kerja: beli persediaan secara kredit itu operasi, tapi beli peralatan secara kredit itu investasi, jadi perubahan utang usaha di neraca nggak bakal sama dengan penyesuaiannya di bagian operasi. Oh iya, pada 2008 FASB dan IASB ngeluarin discussion paper yang ngusulin format baru; gabungin aktivitas operasi dan investasi jadi satu kelompok "business" dianggap berguna karena ngurangin peluang mindahin klasifikasi antar keduanya (Wolk et al., 2017).</w:t>
            </w:r>
          </w:p>
        </w:tc>
      </w:tr>
    </w:tbl>
    <w:p>
      <w:pPr>
        <w:spacing w:before="40" w:after="40"/>
        <w:jc w:val="center"/>
      </w:pPr>
      <w:r>
        <w:drawing>
          <wp:inline xmlns:a="http://schemas.openxmlformats.org/drawingml/2006/main" xmlns:pic="http://schemas.openxmlformats.org/drawingml/2006/picture">
            <wp:extent cx="5220000" cy="2134346"/>
            <wp:docPr id="7" name="Picture 7"/>
            <wp:cNvGraphicFramePr>
              <a:graphicFrameLocks noChangeAspect="1"/>
            </wp:cNvGraphicFramePr>
            <a:graphic>
              <a:graphicData uri="http://schemas.openxmlformats.org/drawingml/2006/picture">
                <pic:pic>
                  <pic:nvPicPr>
                    <pic:cNvPr id="0" name="nonarticulation.png"/>
                    <pic:cNvPicPr/>
                  </pic:nvPicPr>
                  <pic:blipFill>
                    <a:blip r:embed="rId16"/>
                    <a:stretch>
                      <a:fillRect/>
                    </a:stretch>
                  </pic:blipFill>
                  <pic:spPr>
                    <a:xfrm>
                      <a:off x="0" y="0"/>
                      <a:ext cx="5220000" cy="2134346"/>
                    </a:xfrm>
                    <a:prstGeom prst="rect"/>
                  </pic:spPr>
                </pic:pic>
              </a:graphicData>
            </a:graphic>
          </wp:inline>
        </w:drawing>
      </w:r>
    </w:p>
    <w:p>
      <w:pPr>
        <w:spacing w:line="360" w:lineRule="auto" w:before="0" w:after="0"/>
        <w:jc w:val="center"/>
      </w:pPr>
      <w:r>
        <w:rPr>
          <w:rFonts w:ascii="Calibri" w:hAnsi="Calibri" w:cs="Calibri"/>
          <w:b/>
          <w:i w:val="0"/>
          <w:sz w:val="22"/>
        </w:rPr>
        <w:t xml:space="preserve">Gambar 3. </w:t>
      </w:r>
      <w:r>
        <w:rPr>
          <w:rFonts w:ascii="Calibri" w:hAnsi="Calibri" w:cs="Calibri"/>
          <w:b w:val="0"/>
          <w:i w:val="0"/>
          <w:sz w:val="22"/>
        </w:rPr>
        <w:t>Anatomi Masalah Nonartikulasi: Sumber Selisih antara Penyesuaian SCF dan Perubahan Neraca</w:t>
      </w:r>
    </w:p>
    <w:p>
      <w:pPr>
        <w:spacing w:line="360" w:lineRule="auto" w:before="0" w:after="120"/>
        <w:jc w:val="center"/>
      </w:pPr>
      <w:r>
        <w:rPr>
          <w:rFonts w:ascii="Calibri" w:hAnsi="Calibri" w:cs="Calibri"/>
          <w:b w:val="0"/>
          <w:i/>
          <w:sz w:val="22"/>
        </w:rPr>
        <w:t>Sumber: diolah dari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Apa keberatan Nurnberg soal klasifikasi SFAS No. 95?</w:t>
            </w:r>
          </w:p>
        </w:tc>
        <w:tc>
          <w:tcPr>
            <w:tcW w:type="dxa" w:w="5669"/>
          </w:tcPr>
          <w:p>
            <w:pPr>
              <w:spacing w:line="360" w:lineRule="auto"/>
              <w:jc w:val="both"/>
            </w:pPr>
            <w:r/>
            <w:r>
              <w:rPr>
                <w:rFonts w:ascii="Calibri" w:hAnsi="Calibri" w:cs="Calibri"/>
                <w:b w:val="0"/>
                <w:i w:val="0"/>
                <w:sz w:val="22"/>
              </w:rPr>
              <w:t>Selain tiga suara penolak tadi, Nurnberg ngajuin pertanyaan mendasar soal struktur SCF. Dia nyorot bahwa SCF naro penerimaan bunga dan dividen sebagai arus masuk operasi, dan pembayaran bunga sebagai arus keluar operasi — padahal menurut ilmu keuangan, yang pertama harusnya investasi dan yang kedua pendanaan. Pas nyusun SFAS No. 95, FASB ngikutin format laporan laba rugi yang berorientasi teori kepemilikan (</w:t>
            </w:r>
            <w:r>
              <w:rPr>
                <w:rFonts w:ascii="Calibri" w:hAnsi="Calibri" w:cs="Calibri"/>
                <w:b w:val="0"/>
                <w:i/>
                <w:sz w:val="22"/>
              </w:rPr>
              <w:t>proprietary theory</w:t>
            </w:r>
            <w:r>
              <w:rPr>
                <w:rFonts w:ascii="Calibri" w:hAnsi="Calibri" w:cs="Calibri"/>
                <w:b w:val="0"/>
                <w:i w:val="0"/>
                <w:sz w:val="22"/>
              </w:rPr>
              <w:t>), yang mandang pendapatan dan beban bunga serta pendapatan dividen sebagai pos operasi. Ini beda sama teori entitas (</w:t>
            </w:r>
            <w:r>
              <w:rPr>
                <w:rFonts w:ascii="Calibri" w:hAnsi="Calibri" w:cs="Calibri"/>
                <w:b w:val="0"/>
                <w:i/>
                <w:sz w:val="22"/>
              </w:rPr>
              <w:t>entity theory</w:t>
            </w:r>
            <w:r>
              <w:rPr>
                <w:rFonts w:ascii="Calibri" w:hAnsi="Calibri" w:cs="Calibri"/>
                <w:b w:val="0"/>
                <w:i w:val="0"/>
                <w:sz w:val="22"/>
              </w:rPr>
              <w:t>), yang naro pendapatan bunga dan dividen sebagai investasi, dan beban bunga sebagai pendanaan. Ada juga alasan praktis: industri perbankan dukung bunga dimasukin ke operasi — yang buat bank emang masuk akal — biar nggak kelihatan punya arus kas operasi negatif. Konsistensi sama laporan laba rugi plus kepentingan bank inilah yang mungkin ngebentuk keputusan FASB (Wolk et al., 2017).</w:t>
            </w:r>
          </w:p>
        </w:tc>
      </w:tr>
      <w:tr>
        <w:tc>
          <w:tcPr>
            <w:tcW w:type="dxa" w:w="2835"/>
          </w:tcPr>
          <w:p>
            <w:pPr>
              <w:spacing w:line="360" w:lineRule="auto"/>
              <w:jc w:val="left"/>
            </w:pPr>
            <w:r/>
            <w:r>
              <w:rPr>
                <w:rFonts w:ascii="Calibri" w:hAnsi="Calibri" w:cs="Calibri"/>
                <w:b/>
                <w:i w:val="0"/>
                <w:sz w:val="22"/>
              </w:rPr>
              <w:t>Gimana sikap IAS 7 soal bunga dan dividen?</w:t>
            </w:r>
          </w:p>
        </w:tc>
        <w:tc>
          <w:tcPr>
            <w:tcW w:type="dxa" w:w="5669"/>
          </w:tcPr>
          <w:p>
            <w:pPr>
              <w:spacing w:line="360" w:lineRule="auto"/>
              <w:jc w:val="both"/>
            </w:pPr>
            <w:r/>
            <w:r>
              <w:rPr>
                <w:rFonts w:ascii="Calibri" w:hAnsi="Calibri" w:cs="Calibri"/>
                <w:b w:val="0"/>
                <w:i w:val="0"/>
                <w:sz w:val="22"/>
              </w:rPr>
              <w:t>IAS 7 ambil posisi yang lebih santai. Bunga dan dividen, baik yang diterima maupun dibayar, boleh dimasukin ke operasi, investasi, atau pendanaan, asalkan diperlakukan konsisten dari tahun ke tahun. Sikap ini bentrok sama orientasi proprietary-nya SFAS No. 95, sekaligus sama pendekatan entity theory yang dianjurin bab ini dan Bab 12. Buat bank, mandang bunga dan dividen sebagai arus kas operasi tetap wajar; jadi kalau IAS 7 ngebolehin klasifikasi itu khusus buat bank, IASB justru bakal dapet keseragaman di industri perbankan (Wolk et al., 2017).</w:t>
            </w:r>
          </w:p>
        </w:tc>
      </w:tr>
      <w:tr>
        <w:tc>
          <w:tcPr>
            <w:tcW w:type="dxa" w:w="2835"/>
          </w:tcPr>
          <w:p>
            <w:pPr>
              <w:spacing w:line="360" w:lineRule="auto"/>
              <w:jc w:val="left"/>
            </w:pPr>
            <w:r/>
            <w:r>
              <w:rPr>
                <w:rFonts w:ascii="Calibri" w:hAnsi="Calibri" w:cs="Calibri"/>
                <w:b/>
                <w:i w:val="0"/>
                <w:sz w:val="22"/>
              </w:rPr>
              <w:t>Gimana premium dan diskonto obligasi diperlakukan menurut Vent, Cowling, dan Sevalstad?</w:t>
            </w:r>
          </w:p>
        </w:tc>
        <w:tc>
          <w:tcPr>
            <w:tcW w:type="dxa" w:w="5669"/>
          </w:tcPr>
          <w:p>
            <w:pPr>
              <w:spacing w:line="360" w:lineRule="auto"/>
              <w:jc w:val="both"/>
            </w:pPr>
            <w:r/>
            <w:r>
              <w:rPr>
                <w:rFonts w:ascii="Calibri" w:hAnsi="Calibri" w:cs="Calibri"/>
                <w:b w:val="0"/>
                <w:i w:val="0"/>
                <w:sz w:val="22"/>
              </w:rPr>
              <w:t>Misahin pendapatan bunga (operasi), beli saham perusahaan lain (investasi), dan pinjam atau lunasin pokok (pendanaan) bikin muncul pertanyaan lanjutan: premium atau diskonto obligasi masuk ke mana? Soalnya dia itu penyesuaian bunga, tapi sekaligus bagian dari pokok yang dipinjam. Vent, Cowling, dan Sevalstad nemu empat cara berbeda di laporan tahunan yang beneran terbit. Contohnya gini: perusahaan nerbitin obligasi kupon 8 persen, jangka empat tahun, nilai nominal $10.000, laku $11.000 pada 31 Desember 2000 — jadi ada premium $1.000. Dengan amortisasi garis lurus, beban bunga setahun jadi $550, yaitu kupon $800 dikurangi amortisasi premium $250. Cara pertama paling gampang diikutin dan cocok buat metode langsung, walau jumlah arus operasinya beda dari beban bunga akrual karena premium $1.000 masuk ke arus pendanaan tahun 2000. Cara kedua dan ketiga mindahin premium dari arus investasi ke operasi (cara kedua di tahun bayar 2004, cara ketiga di tahun terbit 2000). Cara keempat nyebar premium sepanjang umur obligasi. Wolk lebih milih cara pertama walau ada selisih antara nilai akrual dan kas, dan dia anggap cara keempat paling nggak masuk akal karena mecah arus kas tahunan $800 jadi dua bagian, jadinya malah salah ngegambarin arus kas yang sebenarnya. Ini contoh lain dari masalah alokasi (Wolk et al., 2017; lihat Exhibit 13.5).</w:t>
            </w:r>
          </w:p>
        </w:tc>
      </w:tr>
    </w:tbl>
    <w:p>
      <w:pPr>
        <w:spacing w:before="40" w:after="40"/>
        <w:jc w:val="center"/>
      </w:pPr>
      <w:r>
        <w:drawing>
          <wp:inline xmlns:a="http://schemas.openxmlformats.org/drawingml/2006/main" xmlns:pic="http://schemas.openxmlformats.org/drawingml/2006/picture">
            <wp:extent cx="5220000" cy="3465860"/>
            <wp:docPr id="8" name="Picture 8"/>
            <wp:cNvGraphicFramePr>
              <a:graphicFrameLocks noChangeAspect="1"/>
            </wp:cNvGraphicFramePr>
            <a:graphic>
              <a:graphicData uri="http://schemas.openxmlformats.org/drawingml/2006/picture">
                <pic:pic>
                  <pic:nvPicPr>
                    <pic:cNvPr id="0" name="exhibit-13-5.png"/>
                    <pic:cNvPicPr/>
                  </pic:nvPicPr>
                  <pic:blipFill>
                    <a:blip r:embed="rId17"/>
                    <a:stretch>
                      <a:fillRect/>
                    </a:stretch>
                  </pic:blipFill>
                  <pic:spPr>
                    <a:xfrm>
                      <a:off x="0" y="0"/>
                      <a:ext cx="5220000" cy="3465860"/>
                    </a:xfrm>
                    <a:prstGeom prst="rect"/>
                  </pic:spPr>
                </pic:pic>
              </a:graphicData>
            </a:graphic>
          </wp:inline>
        </w:drawing>
      </w:r>
    </w:p>
    <w:p>
      <w:pPr>
        <w:spacing w:line="360" w:lineRule="auto" w:before="0" w:after="0"/>
        <w:jc w:val="center"/>
      </w:pPr>
      <w:r>
        <w:rPr>
          <w:rFonts w:ascii="Calibri" w:hAnsi="Calibri" w:cs="Calibri"/>
          <w:b w:val="0"/>
          <w:i w:val="0"/>
          <w:sz w:val="22"/>
        </w:rPr>
        <w:t>Exhibit 13.5 — Alokasi Premium antara Arus Kas Operasi dan Pendanaan (Empat Metode)</w:t>
      </w:r>
    </w:p>
    <w:p>
      <w:pPr>
        <w:spacing w:line="360" w:lineRule="auto" w:before="0" w:after="120"/>
        <w:jc w:val="center"/>
      </w:pPr>
      <w:r>
        <w:rPr>
          <w:rFonts w:ascii="Calibri" w:hAnsi="Calibri" w:cs="Calibri"/>
          <w:b w:val="0"/>
          <w:i/>
          <w:sz w:val="22"/>
        </w:rPr>
        <w:t>Sumber: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Gimana bunga dikapitalisasi (SFAS No. 34) dan sewa bikin dilema serupa?</w:t>
            </w:r>
          </w:p>
        </w:tc>
        <w:tc>
          <w:tcPr>
            <w:tcW w:type="dxa" w:w="5669"/>
          </w:tcPr>
          <w:p>
            <w:pPr>
              <w:spacing w:line="360" w:lineRule="auto"/>
              <w:jc w:val="both"/>
            </w:pPr>
            <w:r/>
            <w:r>
              <w:rPr>
                <w:rFonts w:ascii="Calibri" w:hAnsi="Calibri" w:cs="Calibri"/>
                <w:b w:val="0"/>
                <w:i w:val="0"/>
                <w:sz w:val="22"/>
              </w:rPr>
              <w:t>Munter ngangkat masalah yang mirip. Pas pembayaran bunga dikapitalisasi sesuai SFAS No. 34, bunga itu keluar dari aktivitas operasi dan masuk ke investasi, jadi bagian dari biaya beli aset tetap. Nah, pertanyaannya: suatu kejadian itu digolongin berdasarkan sifat dasarnya (ini kan pembayaran bunga) atau berdasarkan tujuan akhirnya (buat dapetin aset)? Dilema yang sama muncul di sewa: pada sewa operasi semua pengeluaran kas masuk arus keluar operasi, sedangkan pada sewa pembiayaan porsi bunganya operasi tapi porsi pelunasan pokoknya pendanaan. Mana yang harusnya nentuin — sifat dasar atau tujuan akhir — sampai sekarang belum ada jawaban pastinya (Wolk et al., 2017).</w:t>
            </w:r>
          </w:p>
        </w:tc>
      </w:tr>
      <w:tr>
        <w:tc>
          <w:tcPr>
            <w:tcW w:type="dxa" w:w="2835"/>
          </w:tcPr>
          <w:p>
            <w:pPr>
              <w:spacing w:line="360" w:lineRule="auto"/>
              <w:jc w:val="left"/>
            </w:pPr>
            <w:r/>
            <w:r>
              <w:rPr>
                <w:rFonts w:ascii="Calibri" w:hAnsi="Calibri" w:cs="Calibri"/>
                <w:b/>
                <w:i w:val="0"/>
                <w:sz w:val="22"/>
              </w:rPr>
              <w:t>Gimana SFAS No. 104 ngelonggarin penyajian lindung nilai?</w:t>
            </w:r>
          </w:p>
        </w:tc>
        <w:tc>
          <w:tcPr>
            <w:tcW w:type="dxa" w:w="5669"/>
          </w:tcPr>
          <w:p>
            <w:pPr>
              <w:spacing w:line="360" w:lineRule="auto"/>
              <w:jc w:val="both"/>
            </w:pPr>
            <w:r/>
            <w:r>
              <w:rPr>
                <w:rFonts w:ascii="Calibri" w:hAnsi="Calibri" w:cs="Calibri"/>
                <w:b w:val="0"/>
                <w:i w:val="0"/>
                <w:sz w:val="22"/>
              </w:rPr>
              <w:t>Di SFAS No. 95, kegiatan lindung nilai (</w:t>
            </w:r>
            <w:r>
              <w:rPr>
                <w:rFonts w:ascii="Calibri" w:hAnsi="Calibri" w:cs="Calibri"/>
                <w:b w:val="0"/>
                <w:i/>
                <w:sz w:val="22"/>
              </w:rPr>
              <w:t>hedging</w:t>
            </w:r>
            <w:r>
              <w:rPr>
                <w:rFonts w:ascii="Calibri" w:hAnsi="Calibri" w:cs="Calibri"/>
                <w:b w:val="0"/>
                <w:i w:val="0"/>
                <w:sz w:val="22"/>
              </w:rPr>
              <w:t>) dianggap aktivitas investasi — kaku, cuma ngeliat sifat transaksinya. SFAS No. 104 yang ngerevisi aturan itu ngelonggarin dengan ngebolehin lindung nilai dikaitin ke akun neraca yang spesifik. Jadi kalau sebuah kontrak forward, futures, opsi, atau swap nyambung sama pos tertentu kayak persediaan — misalnya buat jagain dari naiknya harga persediaan — lindung nilai itu boleh ditaro bareng pos tersebut sebagai operasi, atau tetap dianggap investasi. Nurnberg dan Largay ngerasa kelonggaran ini umumnya nurunin keterbandingan, tapi bisa dimaklumi sebagai info yang lebih "halus" di situasi tertentu (Wolk et al., 2017).</w:t>
            </w:r>
          </w:p>
        </w:tc>
      </w:tr>
      <w:tr>
        <w:tc>
          <w:tcPr>
            <w:tcW w:type="dxa" w:w="2835"/>
          </w:tcPr>
          <w:p>
            <w:pPr>
              <w:spacing w:line="360" w:lineRule="auto"/>
              <w:jc w:val="left"/>
            </w:pPr>
            <w:r/>
            <w:r>
              <w:rPr>
                <w:rFonts w:ascii="Calibri" w:hAnsi="Calibri" w:cs="Calibri"/>
                <w:b/>
                <w:i w:val="0"/>
                <w:sz w:val="22"/>
              </w:rPr>
              <w:t>Seberapa berguna SCF buat analisis menurut model Ingram dan Lee?</w:t>
            </w:r>
          </w:p>
        </w:tc>
        <w:tc>
          <w:tcPr>
            <w:tcW w:type="dxa" w:w="5669"/>
          </w:tcPr>
          <w:p>
            <w:pPr>
              <w:spacing w:line="360" w:lineRule="auto"/>
              <w:jc w:val="both"/>
            </w:pPr>
            <w:r/>
            <w:r>
              <w:rPr>
                <w:rFonts w:ascii="Calibri" w:hAnsi="Calibri" w:cs="Calibri"/>
                <w:b w:val="0"/>
                <w:i w:val="0"/>
                <w:sz w:val="22"/>
              </w:rPr>
              <w:t>Walaupun punya masalah klasifikasi dan nonartikulasi, SCF tetap berguna banget, dan riset Ingram dan Lee ngebuktiinnya dengan makai laporan laba rugi dan SCF barengan. Logika mereka: dari waktu ke waktu, perusahaan yang lagi tumbuh biasanya labanya lebih tinggi tapi arus kas operasinya lebih rendah. Kenapa? Karena ekspansi nambah persediaan dan piutang usaha; walau sebagian ketutup kenaikan utang usaha, efek bersih pertumbuhan modal kerja bikin kenaikan laba lebih gede dari kenaikan arus kas operasi tiap tahun. Pas ekspansi juga ada arus keluar buat beli aset tetap dan arus masuk dari utang atau saham baru, sementara dividen ditahan. Buat perusahaan yang lagi menyusut, polanya kebalik. Analisis statistik mereka ke hampir 1.000 perusahaan dari 1974 sampai 1992 secara umum ngedukung logika tadi, sekaligus nemu bahwa perusahaan yang lagi ekspansi cenderung punya utang (leverage) lebih besar daripada yang menyusut (Wolk et al., 2017).</w:t>
            </w:r>
          </w:p>
        </w:tc>
      </w:tr>
      <w:tr>
        <w:tc>
          <w:tcPr>
            <w:tcW w:type="dxa" w:w="2835"/>
          </w:tcPr>
          <w:p>
            <w:pPr>
              <w:spacing w:line="360" w:lineRule="auto"/>
              <w:jc w:val="left"/>
            </w:pPr>
            <w:r/>
            <w:r>
              <w:rPr>
                <w:rFonts w:ascii="Calibri" w:hAnsi="Calibri" w:cs="Calibri"/>
                <w:b/>
                <w:i w:val="0"/>
                <w:sz w:val="22"/>
              </w:rPr>
              <w:t>Gimana klasifikasi dimanipulasi di Tyco dan industri otomotif?</w:t>
            </w:r>
          </w:p>
        </w:tc>
        <w:tc>
          <w:tcPr>
            <w:tcW w:type="dxa" w:w="5669"/>
          </w:tcPr>
          <w:p>
            <w:pPr>
              <w:spacing w:line="360" w:lineRule="auto"/>
              <w:jc w:val="both"/>
            </w:pPr>
            <w:r/>
            <w:r>
              <w:rPr>
                <w:rFonts w:ascii="Calibri" w:hAnsi="Calibri" w:cs="Calibri"/>
                <w:b w:val="0"/>
                <w:i w:val="0"/>
                <w:sz w:val="22"/>
              </w:rPr>
              <w:t>SCF emang lebih susah diakalin daripada laba, tapi bukan berarti kebal. Karena banyak orang nganggap arus kas dari operasi (CFO) sebagai bagian paling penting, ada godaan buat naikin angkanya: geser arus keluar dari operasi ke investasi, atau tarik arus masuk dari investasi ke operasi. Total kasnya nggak berubah, tapi kalau nggak diteliti, orang langsung mikir positif. Maremont kasih contoh Tyco International di bisnis alarm rumah: kas buat ngembangin penjualan sendiri sama kas buat beli kontrak layanan dari dealer lain semestinya diperlakukan sama, tapi Tyco nyatet kontrak dealer yang dibeli sebagai "akuisisi" dan ngakuinnya sebagai arus keluar operasi dengan ritme yang jauh lebih lambat. Mulford, di Wall Street Journal, kasih contoh industri otomotif. Ford, General Motors, dan Harley-Davidson minjemin dana ke dealer lewat piutang wesel biar dealer beli persediaan; perusahaan ngakuin pendapatan penjualan tapi naro pinjaman itu sebagai aktivitas investasi, jadi CFO-nya keangkat. Di GM, CFO yang dilaporin $7,6 miliar, padahal kalau piutang wesel dianggap operasi, angkanya cuma $3,5 miliar. Sebaliknya Navistar malah mindahin piutang wesel dealernya ke operasi; Mark Oberle, direktur hubungan investor, nyebut itu bagian bisnis inti perusahaan manufaktur yang punya anak usaha pembiayaan. Jadi walau aturannya nggak dilanggar, area abu-abu kayak gini bikin perusahaan di industri yang sama bisa nampilin gambaran yang beda jauh (Wolk et al., 2017).</w:t>
            </w:r>
          </w:p>
        </w:tc>
      </w:tr>
      <w:tr>
        <w:tc>
          <w:tcPr>
            <w:tcW w:type="dxa" w:w="2835"/>
          </w:tcPr>
          <w:p>
            <w:pPr>
              <w:spacing w:line="360" w:lineRule="auto"/>
              <w:jc w:val="left"/>
            </w:pPr>
            <w:r/>
            <w:r>
              <w:rPr>
                <w:rFonts w:ascii="Calibri" w:hAnsi="Calibri" w:cs="Calibri"/>
                <w:b/>
                <w:i w:val="0"/>
                <w:sz w:val="22"/>
              </w:rPr>
              <w:t>Kenapa SCF harus dibaca utuh, dan apa pelajaran dari WorldCom?</w:t>
            </w:r>
          </w:p>
        </w:tc>
        <w:tc>
          <w:tcPr>
            <w:tcW w:type="dxa" w:w="5669"/>
          </w:tcPr>
          <w:p>
            <w:pPr>
              <w:spacing w:line="360" w:lineRule="auto"/>
              <w:jc w:val="both"/>
            </w:pPr>
            <w:r/>
            <w:r>
              <w:rPr>
                <w:rFonts w:ascii="Calibri" w:hAnsi="Calibri" w:cs="Calibri"/>
                <w:b w:val="0"/>
                <w:i w:val="0"/>
                <w:sz w:val="22"/>
              </w:rPr>
              <w:t>Kebanyakan mantengin satu bagian SCF doang (yaitu CFO) itu bahaya, soalnya laporan ini ada tiga bagian dan semuanya penting. Pada 21 Juli 2002, WorldCom ngajuin reorganisasi sukarela berdasarkan Bab 11 Undang-Undang Kepailitan Amerika. Sebelum jatuh, perusahaan ini ngapitalisasi beban yang harusnya masuk aktivitas operasi; salah klasifikasi ini bikin CFO yang dilaporin ngegelembung dan laba bersihnya kelihatan meyakinkan. Banyak investor ketipu, tapi sebenarnya kalau SCF dibaca utuh, ada cukup tanda buat curiga. Exhibit 13.6 nampilin pos-pos terpilih SCF WorldCom: laba bersihnya positif selama tiga tahun sebelum bangkrut, tapi kalau CFI nunjukin investasi yang memang dibutuhkan, selisih CFO dikurangi CFI ngasih tahu berapa kas yang beneran tersisa buat investor — dan ternyata WorldCom terus kehabisan kas di tiga dari empat tahun terakhir, sampai bikin "lubang" kumulatif sebesar $12 miliar per 31 Desember 2001. Tinggal nunggu kapan lubang itu berhenti makin dalam. Investor yang cuekin satu atau lebih bagian SCF, ya nanggung sendiri akibatnya (Wolk et al., 2017; lihat Exhibit 13.6).</w:t>
            </w:r>
          </w:p>
        </w:tc>
      </w:tr>
    </w:tbl>
    <w:p>
      <w:pPr>
        <w:spacing w:before="40" w:after="40"/>
        <w:jc w:val="center"/>
      </w:pPr>
      <w:r>
        <w:drawing>
          <wp:inline xmlns:a="http://schemas.openxmlformats.org/drawingml/2006/main" xmlns:pic="http://schemas.openxmlformats.org/drawingml/2006/picture">
            <wp:extent cx="5220000" cy="1749149"/>
            <wp:docPr id="9" name="Picture 9"/>
            <wp:cNvGraphicFramePr>
              <a:graphicFrameLocks noChangeAspect="1"/>
            </wp:cNvGraphicFramePr>
            <a:graphic>
              <a:graphicData uri="http://schemas.openxmlformats.org/drawingml/2006/picture">
                <pic:pic>
                  <pic:nvPicPr>
                    <pic:cNvPr id="0" name="exhibit-13-6.png"/>
                    <pic:cNvPicPr/>
                  </pic:nvPicPr>
                  <pic:blipFill>
                    <a:blip r:embed="rId18"/>
                    <a:stretch>
                      <a:fillRect/>
                    </a:stretch>
                  </pic:blipFill>
                  <pic:spPr>
                    <a:xfrm>
                      <a:off x="0" y="0"/>
                      <a:ext cx="5220000" cy="1749149"/>
                    </a:xfrm>
                    <a:prstGeom prst="rect"/>
                  </pic:spPr>
                </pic:pic>
              </a:graphicData>
            </a:graphic>
          </wp:inline>
        </w:drawing>
      </w:r>
    </w:p>
    <w:p>
      <w:pPr>
        <w:spacing w:line="360" w:lineRule="auto" w:before="0" w:after="0"/>
        <w:jc w:val="center"/>
      </w:pPr>
      <w:r>
        <w:rPr>
          <w:rFonts w:ascii="Calibri" w:hAnsi="Calibri" w:cs="Calibri"/>
          <w:b w:val="0"/>
          <w:i w:val="0"/>
          <w:sz w:val="22"/>
        </w:rPr>
        <w:t>Exhibit 13.6 — Pos Terpilih Statement of Cash Flows WorldCom 1998–2001 ($000.000)</w:t>
      </w:r>
    </w:p>
    <w:p>
      <w:pPr>
        <w:spacing w:line="360" w:lineRule="auto" w:before="0" w:after="120"/>
        <w:jc w:val="center"/>
      </w:pPr>
      <w:r>
        <w:rPr>
          <w:rFonts w:ascii="Calibri" w:hAnsi="Calibri" w:cs="Calibri"/>
          <w:b w:val="0"/>
          <w:i/>
          <w:sz w:val="22"/>
        </w:rPr>
        <w:t>Sumber: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Apa yang dibutuhin pengguna menurut Buffett dan logika NPV?</w:t>
            </w:r>
          </w:p>
        </w:tc>
        <w:tc>
          <w:tcPr>
            <w:tcW w:type="dxa" w:w="5669"/>
          </w:tcPr>
          <w:p>
            <w:pPr>
              <w:spacing w:line="360" w:lineRule="auto"/>
              <w:jc w:val="both"/>
            </w:pPr>
            <w:r/>
            <w:r>
              <w:rPr>
                <w:rFonts w:ascii="Calibri" w:hAnsi="Calibri" w:cs="Calibri"/>
                <w:b w:val="0"/>
                <w:i w:val="0"/>
                <w:sz w:val="22"/>
              </w:rPr>
              <w:t>Di suratnya tahun 1988 ke pemegang saham Berkshire Hathaway, Warren Buffett ngerangkum apa yang sebenernya perlu dilaporin: data yang bantu pembaca yang ngerti keuangan jawab tiga hal — kira-kira perusahaan ini berharga berapa, seberapa mungkin dia bisa bayar kewajibannya nanti, dan seberapa bagus kerja manajernya. Singkatnya, laporan keuangan harus jadi bahan buat menilai perusahaan, ngambil keputusan kredit, dan ngukur kinerja manajemen. Buat nilai kinerja, kita butuh angka arus kas masa lalu yang akurat; buat keputusan kredit dan valuasi, kita butuh ramalan arus kas masa depan yang nggak bias (ini nyambung sama SFAC No. 1). Keputusan investasi pada dasarnya soal ngalokasiin modal pakai logika penganggaran modal: terima investasi kalau nilai sekarang dari arus kas bersih yang diharapkan itu positif — alias kalau NPV (</w:t>
            </w:r>
            <w:r>
              <w:rPr>
                <w:rFonts w:ascii="Calibri" w:hAnsi="Calibri" w:cs="Calibri"/>
                <w:b w:val="0"/>
                <w:i/>
                <w:sz w:val="22"/>
              </w:rPr>
              <w:t>net present value</w:t>
            </w:r>
            <w:r>
              <w:rPr>
                <w:rFonts w:ascii="Calibri" w:hAnsi="Calibri" w:cs="Calibri"/>
                <w:b w:val="0"/>
                <w:i w:val="0"/>
                <w:sz w:val="22"/>
              </w:rPr>
              <w:t>, nilai sekarang bersih) positif. Sama halnya, beli saham itu layak kalau nilai sekarang arus kas masa depan per saham — alias nilai intrinsiknya — lebih gede dari harga pasar. Buffett ngedefinisiin nilai intrinsik sebagai nilai terdiskonto dari kas yang bisa ditarik dari bisnis sepanjang sisa umurnya (Wolk et al., 2017).</w:t>
            </w:r>
          </w:p>
        </w:tc>
      </w:tr>
      <w:tr>
        <w:tc>
          <w:tcPr>
            <w:tcW w:type="dxa" w:w="2835"/>
          </w:tcPr>
          <w:p>
            <w:pPr>
              <w:spacing w:line="360" w:lineRule="auto"/>
              <w:jc w:val="left"/>
            </w:pPr>
            <w:r/>
            <w:r>
              <w:rPr>
                <w:rFonts w:ascii="Calibri" w:hAnsi="Calibri" w:cs="Calibri"/>
                <w:b/>
                <w:i w:val="0"/>
                <w:sz w:val="22"/>
              </w:rPr>
              <w:t>Apa definisi free cash flow dan persamaan 13.2?</w:t>
            </w:r>
          </w:p>
        </w:tc>
        <w:tc>
          <w:tcPr>
            <w:tcW w:type="dxa" w:w="5669"/>
          </w:tcPr>
          <w:p>
            <w:pPr>
              <w:spacing w:line="360" w:lineRule="auto"/>
              <w:jc w:val="both"/>
            </w:pPr>
            <w:r/>
            <w:r>
              <w:rPr>
                <w:rFonts w:ascii="Calibri" w:hAnsi="Calibri" w:cs="Calibri"/>
                <w:b w:val="0"/>
                <w:i w:val="0"/>
                <w:sz w:val="22"/>
              </w:rPr>
              <w:t>Arus kas yang jadi dasar nentuin nilai intrinsik perusahaan itu namanya free cash flow (FCF, arus kas bebas). Kata Mulford dan Comiskey, kata "bebas" itu maksudnya nggak ada klaim yang lebih utama atas kas itu: kas yang beneran bebas dipakai, dan makainya nggak ganggu kemampuan perusahaan buat ngehasilin kas berikutnya. Ngikutin teori entitas, Wolk fokus ke arus kas ke perusahaan. FCF nggak bisa langsung dibaca dari SCF, tapi dirumusin di persamaan 13.2: FCF = NOPLAT dikurangi investasi pada modal terinvestasi operasi. NOPLAT (</w:t>
            </w:r>
            <w:r>
              <w:rPr>
                <w:rFonts w:ascii="Calibri" w:hAnsi="Calibri" w:cs="Calibri"/>
                <w:b w:val="0"/>
                <w:i/>
                <w:sz w:val="22"/>
              </w:rPr>
              <w:t>net operating profit less adjusted taxes</w:t>
            </w:r>
            <w:r>
              <w:rPr>
                <w:rFonts w:ascii="Calibri" w:hAnsi="Calibri" w:cs="Calibri"/>
                <w:b w:val="0"/>
                <w:i w:val="0"/>
                <w:sz w:val="22"/>
              </w:rPr>
              <w:t>) itu laba operasi bersih setelah pajak yang disesuaikan; dalam kasus sederhana, ya laba operasi setelah pajak. Investasi pada modal terinvestasi operasi biasanya dipecah jadi investasi di modal kerja operasi bersih dan di aset taklancar. Yang perlu diinget: FCF nggak masukin beban bunga (karena itu beban pendanaan), dan sejalan sama asumsi perusahaan bakal terus jalan, kas operasi dianggap bagian dari modal kerja operasi bersih, sama kayak piutang dan persediaan (Wolk et al., 2017).</w:t>
            </w:r>
          </w:p>
        </w:tc>
      </w:tr>
      <w:tr>
        <w:tc>
          <w:tcPr>
            <w:tcW w:type="dxa" w:w="2835"/>
          </w:tcPr>
          <w:p>
            <w:pPr>
              <w:spacing w:line="360" w:lineRule="auto"/>
              <w:jc w:val="left"/>
            </w:pPr>
            <w:r/>
            <w:r>
              <w:rPr>
                <w:rFonts w:ascii="Calibri" w:hAnsi="Calibri" w:cs="Calibri"/>
                <w:b/>
                <w:i w:val="0"/>
                <w:sz w:val="22"/>
              </w:rPr>
              <w:t>Gimana contoh ABC Company nyambungin CFO ke FCF?</w:t>
            </w:r>
          </w:p>
        </w:tc>
        <w:tc>
          <w:tcPr>
            <w:tcW w:type="dxa" w:w="5669"/>
          </w:tcPr>
          <w:p>
            <w:pPr>
              <w:spacing w:line="360" w:lineRule="auto"/>
              <w:jc w:val="both"/>
            </w:pPr>
            <w:r/>
            <w:r>
              <w:rPr>
                <w:rFonts w:ascii="Calibri" w:hAnsi="Calibri" w:cs="Calibri"/>
                <w:b w:val="0"/>
                <w:i w:val="0"/>
                <w:sz w:val="22"/>
              </w:rPr>
              <w:t>Wolk pakai ABC Company buat nunjukin cara nyusun FCF. Exhibit 13.7 nampilin laporan laba rugi dan neraca ABC, dan dari situ disusun SCF di Exhibit 13.8 dengan CFO $527, $466, $434; CFI $(277), $(309), $(360); dan CFF $(306), $(78), $(58) buat 2005, 2006, 2007. Exhibit 13.9 terus nyusun statement of free cash flows: dari laba operasi dikurangi pajak basis kas ketemu NOPLAT $346, $333, $353, ditambah penyusutan jadi gross cash flow $561, $553, $581, dikurangi total investasi sampai FCF dari aset operasi jadi $332, $99, $80 (yang juga sama dengan FCF ke ekuitas). Exhibit 13.10 nutup dengan cara ngitung FCF langsung dari SCF: mulai dari CFO, tambahin beban bunga setelah pajak (buat ngebuang efek pendanaan), kurangin kenaikan kas operasi (karena dia bagian modal terinvestasi), lalu tambahin CFI (yang biasanya negatif, kayak $(277) di 2005 yang nurunin FCF), dan ketemu lagi FCF $332, $99, $80 (Wolk et al., 2017).</w:t>
            </w:r>
          </w:p>
        </w:tc>
      </w:tr>
    </w:tbl>
    <w:p>
      <w:pPr>
        <w:spacing w:before="40" w:after="40"/>
        <w:jc w:val="center"/>
      </w:pPr>
      <w:r>
        <w:drawing>
          <wp:inline xmlns:a="http://schemas.openxmlformats.org/drawingml/2006/main" xmlns:pic="http://schemas.openxmlformats.org/drawingml/2006/picture">
            <wp:extent cx="5220000" cy="4493891"/>
            <wp:docPr id="10" name="Picture 10"/>
            <wp:cNvGraphicFramePr>
              <a:graphicFrameLocks noChangeAspect="1"/>
            </wp:cNvGraphicFramePr>
            <a:graphic>
              <a:graphicData uri="http://schemas.openxmlformats.org/drawingml/2006/picture">
                <pic:pic>
                  <pic:nvPicPr>
                    <pic:cNvPr id="0" name="exhibit-13-7.png"/>
                    <pic:cNvPicPr/>
                  </pic:nvPicPr>
                  <pic:blipFill>
                    <a:blip r:embed="rId19"/>
                    <a:stretch>
                      <a:fillRect/>
                    </a:stretch>
                  </pic:blipFill>
                  <pic:spPr>
                    <a:xfrm>
                      <a:off x="0" y="0"/>
                      <a:ext cx="5220000" cy="4493891"/>
                    </a:xfrm>
                    <a:prstGeom prst="rect"/>
                  </pic:spPr>
                </pic:pic>
              </a:graphicData>
            </a:graphic>
          </wp:inline>
        </w:drawing>
      </w:r>
    </w:p>
    <w:p>
      <w:pPr>
        <w:spacing w:line="360" w:lineRule="auto" w:before="0" w:after="0"/>
        <w:jc w:val="center"/>
      </w:pPr>
      <w:r>
        <w:rPr>
          <w:rFonts w:ascii="Calibri" w:hAnsi="Calibri" w:cs="Calibri"/>
          <w:b w:val="0"/>
          <w:i w:val="0"/>
          <w:sz w:val="22"/>
        </w:rPr>
        <w:t>Exhibit 13.7 — Laporan Laba Rugi dan Neraca ABC Company</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4077189"/>
            <wp:docPr id="11" name="Picture 11"/>
            <wp:cNvGraphicFramePr>
              <a:graphicFrameLocks noChangeAspect="1"/>
            </wp:cNvGraphicFramePr>
            <a:graphic>
              <a:graphicData uri="http://schemas.openxmlformats.org/drawingml/2006/picture">
                <pic:pic>
                  <pic:nvPicPr>
                    <pic:cNvPr id="0" name="exhibit-13-8.png"/>
                    <pic:cNvPicPr/>
                  </pic:nvPicPr>
                  <pic:blipFill>
                    <a:blip r:embed="rId20"/>
                    <a:stretch>
                      <a:fillRect/>
                    </a:stretch>
                  </pic:blipFill>
                  <pic:spPr>
                    <a:xfrm>
                      <a:off x="0" y="0"/>
                      <a:ext cx="5220000" cy="4077189"/>
                    </a:xfrm>
                    <a:prstGeom prst="rect"/>
                  </pic:spPr>
                </pic:pic>
              </a:graphicData>
            </a:graphic>
          </wp:inline>
        </w:drawing>
      </w:r>
    </w:p>
    <w:p>
      <w:pPr>
        <w:spacing w:line="360" w:lineRule="auto" w:before="0" w:after="0"/>
        <w:jc w:val="center"/>
      </w:pPr>
      <w:r>
        <w:rPr>
          <w:rFonts w:ascii="Calibri" w:hAnsi="Calibri" w:cs="Calibri"/>
          <w:b w:val="0"/>
          <w:i w:val="0"/>
          <w:sz w:val="22"/>
        </w:rPr>
        <w:t>Exhibit 13.8 — Statement of Cash Flows ABC Company</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5908680"/>
            <wp:docPr id="12" name="Picture 12"/>
            <wp:cNvGraphicFramePr>
              <a:graphicFrameLocks noChangeAspect="1"/>
            </wp:cNvGraphicFramePr>
            <a:graphic>
              <a:graphicData uri="http://schemas.openxmlformats.org/drawingml/2006/picture">
                <pic:pic>
                  <pic:nvPicPr>
                    <pic:cNvPr id="0" name="exhibit-13-9.png"/>
                    <pic:cNvPicPr/>
                  </pic:nvPicPr>
                  <pic:blipFill>
                    <a:blip r:embed="rId21"/>
                    <a:stretch>
                      <a:fillRect/>
                    </a:stretch>
                  </pic:blipFill>
                  <pic:spPr>
                    <a:xfrm>
                      <a:off x="0" y="0"/>
                      <a:ext cx="5220000" cy="5908680"/>
                    </a:xfrm>
                    <a:prstGeom prst="rect"/>
                  </pic:spPr>
                </pic:pic>
              </a:graphicData>
            </a:graphic>
          </wp:inline>
        </w:drawing>
      </w:r>
    </w:p>
    <w:p>
      <w:pPr>
        <w:spacing w:line="360" w:lineRule="auto" w:before="0" w:after="0"/>
        <w:jc w:val="center"/>
      </w:pPr>
      <w:r>
        <w:rPr>
          <w:rFonts w:ascii="Calibri" w:hAnsi="Calibri" w:cs="Calibri"/>
          <w:b w:val="0"/>
          <w:i w:val="0"/>
          <w:sz w:val="22"/>
        </w:rPr>
        <w:t>Exhibit 13.9 — Statement of Free Cash Flows ABC Company</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1499627"/>
            <wp:docPr id="13" name="Picture 13"/>
            <wp:cNvGraphicFramePr>
              <a:graphicFrameLocks noChangeAspect="1"/>
            </wp:cNvGraphicFramePr>
            <a:graphic>
              <a:graphicData uri="http://schemas.openxmlformats.org/drawingml/2006/picture">
                <pic:pic>
                  <pic:nvPicPr>
                    <pic:cNvPr id="0" name="exhibit-13-10.png"/>
                    <pic:cNvPicPr/>
                  </pic:nvPicPr>
                  <pic:blipFill>
                    <a:blip r:embed="rId22"/>
                    <a:stretch>
                      <a:fillRect/>
                    </a:stretch>
                  </pic:blipFill>
                  <pic:spPr>
                    <a:xfrm>
                      <a:off x="0" y="0"/>
                      <a:ext cx="5220000" cy="1499627"/>
                    </a:xfrm>
                    <a:prstGeom prst="rect"/>
                  </pic:spPr>
                </pic:pic>
              </a:graphicData>
            </a:graphic>
          </wp:inline>
        </w:drawing>
      </w:r>
    </w:p>
    <w:p>
      <w:pPr>
        <w:spacing w:line="360" w:lineRule="auto" w:before="0" w:after="0"/>
        <w:jc w:val="center"/>
      </w:pPr>
      <w:r>
        <w:rPr>
          <w:rFonts w:ascii="Calibri" w:hAnsi="Calibri" w:cs="Calibri"/>
          <w:b w:val="0"/>
          <w:i w:val="0"/>
          <w:sz w:val="22"/>
        </w:rPr>
        <w:t>Exhibit 13.10 — Menghitung Free Cash Flow dari SCF (ABC Company)</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2134346"/>
            <wp:docPr id="14" name="Picture 14"/>
            <wp:cNvGraphicFramePr>
              <a:graphicFrameLocks noChangeAspect="1"/>
            </wp:cNvGraphicFramePr>
            <a:graphic>
              <a:graphicData uri="http://schemas.openxmlformats.org/drawingml/2006/picture">
                <pic:pic>
                  <pic:nvPicPr>
                    <pic:cNvPr id="0" name="fcf_waterfall.png"/>
                    <pic:cNvPicPr/>
                  </pic:nvPicPr>
                  <pic:blipFill>
                    <a:blip r:embed="rId23"/>
                    <a:stretch>
                      <a:fillRect/>
                    </a:stretch>
                  </pic:blipFill>
                  <pic:spPr>
                    <a:xfrm>
                      <a:off x="0" y="0"/>
                      <a:ext cx="5220000" cy="2134346"/>
                    </a:xfrm>
                    <a:prstGeom prst="rect"/>
                  </pic:spPr>
                </pic:pic>
              </a:graphicData>
            </a:graphic>
          </wp:inline>
        </w:drawing>
      </w:r>
    </w:p>
    <w:p>
      <w:pPr>
        <w:spacing w:line="360" w:lineRule="auto" w:before="0" w:after="0"/>
        <w:jc w:val="center"/>
      </w:pPr>
      <w:r>
        <w:rPr>
          <w:rFonts w:ascii="Calibri" w:hAnsi="Calibri" w:cs="Calibri"/>
          <w:b/>
          <w:i w:val="0"/>
          <w:sz w:val="22"/>
        </w:rPr>
        <w:t xml:space="preserve">Gambar 4. </w:t>
      </w:r>
      <w:r>
        <w:rPr>
          <w:rFonts w:ascii="Calibri" w:hAnsi="Calibri" w:cs="Calibri"/>
          <w:b w:val="0"/>
          <w:i w:val="0"/>
          <w:sz w:val="22"/>
        </w:rPr>
        <w:t>Air Terjun (Waterfall) FCF: dari Laba Operasi ke Free Cash Flow</w:t>
      </w:r>
    </w:p>
    <w:p>
      <w:pPr>
        <w:spacing w:line="360" w:lineRule="auto" w:before="0" w:after="120"/>
        <w:jc w:val="center"/>
      </w:pPr>
      <w:r>
        <w:rPr>
          <w:rFonts w:ascii="Calibri" w:hAnsi="Calibri" w:cs="Calibri"/>
          <w:b w:val="0"/>
          <w:i/>
          <w:sz w:val="22"/>
        </w:rPr>
        <w:t>Sumber: diolah dari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Apa empat ukuran kinerja kas dan peran diskonto WACC?</w:t>
            </w:r>
          </w:p>
        </w:tc>
        <w:tc>
          <w:tcPr>
            <w:tcW w:type="dxa" w:w="5669"/>
          </w:tcPr>
          <w:p>
            <w:pPr>
              <w:spacing w:line="360" w:lineRule="auto"/>
              <w:jc w:val="both"/>
            </w:pPr>
            <w:r/>
            <w:r>
              <w:rPr>
                <w:rFonts w:ascii="Calibri" w:hAnsi="Calibri" w:cs="Calibri"/>
                <w:b w:val="0"/>
                <w:i w:val="0"/>
                <w:sz w:val="22"/>
              </w:rPr>
              <w:t>Ukuran kinerja mana yang dipakai itu tergantung waktu, sumber daya, dan tujuan valuasi kita. Yang pengen cepet, cukup lihat laba bersih. Yang mau ngerti operasi dan nimbang kualitas laba, fokus ke CFO. Buat ngehindarin masalah beban operasi yang digolongin investasi, dan biar dapet gambaran kemampuan ngehasilin kas bersih, masuk akal ngurangin CFI, jadi pakai selisih CFO dikurangi CFI. Dan karena CFO masih "kecampuran" beban bunga yang sebenernya pendanaan, kita bisa ngitung FCF biar bener-bener fokus ke operasi sekaligus ngakuin kas operasi sebagai bagian modal terinvestasi. Buat ABC, keempat ukuran ini di 2005, 2006, 2007 adalah laba bersih $320, $312, $331; CFO $527, $466, $434; CFO dikurangi CFI $250, $157, $74; dan FCF $332, $99, $80. Investor bisa naksir nilai intrinsik dengan ngediskontoin FCF yang diramalkan pakai WACC (</w:t>
            </w:r>
            <w:r>
              <w:rPr>
                <w:rFonts w:ascii="Calibri" w:hAnsi="Calibri" w:cs="Calibri"/>
                <w:b w:val="0"/>
                <w:i/>
                <w:sz w:val="22"/>
              </w:rPr>
              <w:t>weighted average cost of capital</w:t>
            </w:r>
            <w:r>
              <w:rPr>
                <w:rFonts w:ascii="Calibri" w:hAnsi="Calibri" w:cs="Calibri"/>
                <w:b w:val="0"/>
                <w:i w:val="0"/>
                <w:sz w:val="22"/>
              </w:rPr>
              <w:t>, biaya modal rata-rata tertimbang). Dengan empat ukuran yang bisa ngasih gambaran beda-beda, ya emang dunia nyata nggak pernah sesederhana itu (Wolk et al., 2017).</w:t>
            </w:r>
          </w:p>
        </w:tc>
      </w:tr>
    </w:tbl>
    <w:p>
      <w:pPr>
        <w:spacing w:before="40" w:after="40"/>
        <w:jc w:val="center"/>
      </w:pPr>
      <w:r>
        <w:drawing>
          <wp:inline xmlns:a="http://schemas.openxmlformats.org/drawingml/2006/main" xmlns:pic="http://schemas.openxmlformats.org/drawingml/2006/picture">
            <wp:extent cx="5220000" cy="2317290"/>
            <wp:docPr id="15" name="Picture 15"/>
            <wp:cNvGraphicFramePr>
              <a:graphicFrameLocks noChangeAspect="1"/>
            </wp:cNvGraphicFramePr>
            <a:graphic>
              <a:graphicData uri="http://schemas.openxmlformats.org/drawingml/2006/picture">
                <pic:pic>
                  <pic:nvPicPr>
                    <pic:cNvPr id="0" name="four_measures.png"/>
                    <pic:cNvPicPr/>
                  </pic:nvPicPr>
                  <pic:blipFill>
                    <a:blip r:embed="rId24"/>
                    <a:stretch>
                      <a:fillRect/>
                    </a:stretch>
                  </pic:blipFill>
                  <pic:spPr>
                    <a:xfrm>
                      <a:off x="0" y="0"/>
                      <a:ext cx="5220000" cy="2317290"/>
                    </a:xfrm>
                    <a:prstGeom prst="rect"/>
                  </pic:spPr>
                </pic:pic>
              </a:graphicData>
            </a:graphic>
          </wp:inline>
        </w:drawing>
      </w:r>
    </w:p>
    <w:p>
      <w:pPr>
        <w:spacing w:line="360" w:lineRule="auto" w:before="0" w:after="0"/>
        <w:jc w:val="center"/>
      </w:pPr>
      <w:r>
        <w:rPr>
          <w:rFonts w:ascii="Calibri" w:hAnsi="Calibri" w:cs="Calibri"/>
          <w:b/>
          <w:i w:val="0"/>
          <w:sz w:val="22"/>
        </w:rPr>
        <w:t xml:space="preserve">Gambar 5. </w:t>
      </w:r>
      <w:r>
        <w:rPr>
          <w:rFonts w:ascii="Calibri" w:hAnsi="Calibri" w:cs="Calibri"/>
          <w:b w:val="0"/>
          <w:i w:val="0"/>
          <w:sz w:val="22"/>
        </w:rPr>
        <w:t>Empat Ukuran Kinerja: Laba Bersih, CFO, CFO−CFI, dan Free Cash Flow</w:t>
      </w:r>
    </w:p>
    <w:p>
      <w:pPr>
        <w:spacing w:line="360" w:lineRule="auto" w:before="0" w:after="120"/>
        <w:jc w:val="center"/>
      </w:pPr>
      <w:r>
        <w:rPr>
          <w:rFonts w:ascii="Calibri" w:hAnsi="Calibri" w:cs="Calibri"/>
          <w:b w:val="0"/>
          <w:i/>
          <w:sz w:val="22"/>
        </w:rPr>
        <w:t>Sumber: diolah dari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Apa kata riset soal kas versus akrual (Lawson dan Lee)?</w:t>
            </w:r>
          </w:p>
        </w:tc>
        <w:tc>
          <w:tcPr>
            <w:tcW w:type="dxa" w:w="5669"/>
          </w:tcPr>
          <w:p>
            <w:pPr>
              <w:spacing w:line="360" w:lineRule="auto"/>
              <w:jc w:val="both"/>
            </w:pPr>
            <w:r/>
            <w:r>
              <w:rPr>
                <w:rFonts w:ascii="Calibri" w:hAnsi="Calibri" w:cs="Calibri"/>
                <w:b w:val="0"/>
                <w:i w:val="0"/>
                <w:sz w:val="22"/>
              </w:rPr>
              <w:t>Lawson dan Lee, dua orang yang dari dulu dukung pelaporan arus kas, berpendapat bahwa laporan arus kas itu perlu buat ngegambarin kinerja, soalnya likuiditas itu bagian nggak terpisahin dari kinerja. Lee malah bilang arus kas, bukan laba, yang jadi hasil akhir aktivitas perusahaan — karena laba cuma abstraksi sedangkan kas itu sumber daya nyata. Model valuasi di literatur ekonomi keuangan sependapat bahwa arus kas perusahaanlah penentu akhir nilainya, bukan laba akrual. Tapi riset pasar modal yang terus berkembang nunjukin akrual ngasih info tambahan di luar arus kas literal soal harga saham. Jadi tafsiran yang masuk akal: kas dan akrual lebih berguna kalau dibaca barengan, jadi SCF itu pelengkap buat laporan akrual. Survei ke investor dan analis konsisten nunjukin analisis berbasis akrual masih dominan, walau survei yang dipesen Financial Accounting Foundation nemu bahwa data arus dana makin penting sementara data akrual makin turun (Wolk et al., 2017).</w:t>
            </w:r>
          </w:p>
        </w:tc>
      </w:tr>
      <w:tr>
        <w:tc>
          <w:tcPr>
            <w:tcW w:type="dxa" w:w="2835"/>
          </w:tcPr>
          <w:p>
            <w:pPr>
              <w:spacing w:line="360" w:lineRule="auto"/>
              <w:jc w:val="left"/>
            </w:pPr>
            <w:r/>
            <w:r>
              <w:rPr>
                <w:rFonts w:ascii="Calibri" w:hAnsi="Calibri" w:cs="Calibri"/>
                <w:b/>
                <w:i w:val="0"/>
                <w:sz w:val="22"/>
              </w:rPr>
              <w:t>Apa tiga rekomendasi Broome buat memperbaiki SCF?</w:t>
            </w:r>
          </w:p>
        </w:tc>
        <w:tc>
          <w:tcPr>
            <w:tcW w:type="dxa" w:w="5669"/>
          </w:tcPr>
          <w:p>
            <w:pPr>
              <w:spacing w:line="360" w:lineRule="auto"/>
              <w:jc w:val="both"/>
            </w:pPr>
            <w:r/>
            <w:r>
              <w:rPr>
                <w:rFonts w:ascii="Calibri" w:hAnsi="Calibri" w:cs="Calibri"/>
                <w:b w:val="0"/>
                <w:i w:val="0"/>
                <w:sz w:val="22"/>
              </w:rPr>
              <w:t>SCF itu alat penting buat investor, kreditor, dan manajer, tapi masih bisa diperbaiki. Berkaca dari rentetan skandal akuntansi kayak Adelphia, Dynegy, Qwest, Tyco, dan WorldCom, Broome berpendapat SCF bisa dan harus dibenahi, soalnya kebebasan SFAS No. 95 buat milih metode langsung atau tidak langsung malah bikin bingung; penyesuaian ribet di metode tidak langsung susah dipahami dan sering nggak bisa dicocokin sama perubahan akun neraca yang keliatan. Tiga usulannya: FASB sebaiknya mewajibkan metode langsung sekaligus rekonsiliasi laba bersih ke arus kas operasi; ngasih panduan klasifikasi yang lebih jelas buat ketiga bagian; dan nyusun rekonsiliasi pelengkap yang malah mulai dari arus kas operasi menuju laba bersih (kebalikan dari yang sekarang). Wolk setuju metode langsung sebaiknya diwajibkan; tapi kalau sistem pilihan tetap dipertahanin, perusahaan harusnya wajib nyajiin skedul transaksi nonkas yang ngaruh ke akun modal kerja, skedul rekonsiliasi buat akuisisi tengah tahun, dan secara umum ngejelasin asal tiap nonartikulasi di bagian operasi SCF (Wolk et al., 2017).</w:t>
            </w:r>
          </w:p>
        </w:tc>
      </w:tr>
    </w:tbl>
    <w:p>
      <w:pPr>
        <w:spacing w:line="360" w:lineRule="auto" w:before="80" w:after="40"/>
        <w:jc w:val="left"/>
      </w:pPr>
      <w:r>
        <w:rPr>
          <w:rFonts w:ascii="Calibri" w:hAnsi="Calibri" w:cs="Calibri"/>
          <w:b/>
          <w:i w:val="0"/>
          <w:sz w:val="26"/>
        </w:rPr>
        <w:t>Bagian B — Ringkasan</w:t>
      </w:r>
    </w:p>
    <w:p>
      <w:pPr>
        <w:spacing w:line="360" w:lineRule="auto" w:before="0" w:after="80"/>
        <w:jc w:val="both"/>
      </w:pPr>
      <w:r>
        <w:rPr>
          <w:rFonts w:ascii="Calibri" w:hAnsi="Calibri" w:cs="Calibri"/>
          <w:b w:val="0"/>
          <w:i w:val="0"/>
          <w:sz w:val="24"/>
        </w:rPr>
        <w:t>Inti Bab 13 ini sebenarnya cerita soal gimana laporan arus kas berkembang. Dulu ada Statement of Changes in Financial Position (SCFP), terus berubah jadi Statement of Cash Flows (SCF) yang kita pakai sekarang. SCFP yang diwajibkan APB Opinion No. 19 pada 1971 itu masih berupa laporan arus dana model "sumber dan penggunaan", dan ngebolehin "dana" diartikan macam-macam — kas, kas plus near cash, quick assets, atau modal kerja — dan kebanyakan perusahaan milih modal kerja karena paling murah dibuat. Masalahnya, modal kerja bersih itu ukuran likuiditas yang payah: ada pos tangguhan yang nggak ada urusannya sama kas, siklus operasinya bisa lebih dari setahun, dan persediaan dicatat pakai biaya. Makanya FASB lewat SFAS No. 95 pada 1987 ngeubah arti "dana" jadi kas dan ngegantiin SCFP. Jantung SFAS No. 95 itu pembagian tiga arah: aktivitas operasi, investasi, dan pendanaan, yang bikin klasifikasinya lebih konsisten, plus ada definisi kas dan setara kas serta kewajiban ngungkapin transaksi nonkas. Arus kas operasinya boleh disajikan pakai metode langsung (lebih informatif dan disukai FASB tapi mahal) atau metode tidak langsung (paling banyak dipakai karena murah, walau lebih susah dibaca).</w:t>
      </w:r>
    </w:p>
    <w:p>
      <w:pPr>
        <w:spacing w:line="360" w:lineRule="auto" w:before="0" w:after="80"/>
        <w:jc w:val="both"/>
      </w:pPr>
      <w:r>
        <w:rPr>
          <w:rFonts w:ascii="Calibri" w:hAnsi="Calibri" w:cs="Calibri"/>
          <w:b w:val="0"/>
          <w:i w:val="0"/>
          <w:sz w:val="24"/>
        </w:rPr>
        <w:t>Yang bagus, bab ini jujur soal dua kelemahan SCF. Pertama, nonartikulasi (temuan Bahnson, Miller &amp; Budge): penyesuaian modal kerja di bagian operasi sering nggak sama dengan perubahan akun neraca — kejadian di 75 persen sampel, dengan kasus 3M yang selisih piutangnya sampai 300 persen — gara-gara akuisisi tengah tahun, transaksi nonkas, dan akun yang dipakai bareng. Kedua, masalah klasifikasi: orientasi proprietary naro bunga dan dividen di operasi, padahal teori entitas dan ilmu keuangan ngegolongin keduanya investasi atau pendanaan; ditambah kelonggaran penerapan (IAS 7, premium obligasi versi Vent, Cowling &amp; Sevalstad, bunga dikapitalisasi SFAS No. 34, lindung nilai SFAS No. 104) yang ngebuka ruang manipulasi seperti di kasus Tyco, otomotif (CFO GM $7,6 miliar yang sebenernya $3,5 miliar), dan WorldCom. Tapi meski gitu, SCF tetap berguna banget buat analisis (model Ingram &amp; Lee, kebutuhan valuasi ala Buffett), dan dari sini lahir free cash flow (FCF = NOPLAT − investasi pada modal terinvestasi operasi) sebagai ukuran non-GAAP buat valuasi. Kesimpulan Wolk: pindah dari SCFP ke SCF bikin laporan lebih konsisten dan lebih bisa diandalkan buat meramal, karena lepas dari "kesewenang-wenangan" laba — asalkan SCF dibaca utuh, bukan cuma bagian arus kas operasinya doang (Wolk et al., 2017).</w:t>
      </w:r>
    </w:p>
    <w:p>
      <w:pPr>
        <w:spacing w:line="360" w:lineRule="auto" w:before="80" w:after="40"/>
        <w:jc w:val="left"/>
      </w:pPr>
      <w:r>
        <w:rPr>
          <w:rFonts w:ascii="Calibri" w:hAnsi="Calibri" w:cs="Calibri"/>
          <w:b/>
          <w:i w:val="0"/>
          <w:sz w:val="26"/>
        </w:rPr>
        <w:t>Bagian C — Refleksi dan Analisis Akademik</w:t>
      </w:r>
    </w:p>
    <w:p>
      <w:pPr>
        <w:spacing w:line="360" w:lineRule="auto" w:before="40" w:after="20"/>
        <w:jc w:val="left"/>
      </w:pPr>
      <w:r>
        <w:rPr>
          <w:rFonts w:ascii="Calibri" w:hAnsi="Calibri" w:cs="Calibri"/>
          <w:b/>
          <w:i/>
          <w:sz w:val="24"/>
        </w:rPr>
        <w:t>Apa pemahaman saya terhadap materi ini?</w:t>
      </w:r>
    </w:p>
    <w:p>
      <w:pPr>
        <w:spacing w:line="360" w:lineRule="auto" w:before="0" w:after="80"/>
        <w:jc w:val="both"/>
      </w:pPr>
      <w:r>
        <w:rPr>
          <w:rFonts w:ascii="Calibri" w:hAnsi="Calibri" w:cs="Calibri"/>
          <w:b w:val="0"/>
          <w:i w:val="0"/>
          <w:sz w:val="24"/>
        </w:rPr>
        <w:t>Buat saya, SCF itu bukan laporan keuangan keempat yang berdiri sendiri, tapi laporan turunan yang nyusun ulang data dari laporan laba rugi dan neraca ke dalam tiga sudut pandang: operasi, investasi, dan pendanaan. Yang bikin dia berharga bukan datanya yang baru — datanya ya itu-itu juga — tapi caranya misahin bagian kas dari bagian akrual, sehingga muncul info baru soal likuiditas dan kualitas laba. Yang menarik, kelebihan terbesar SCF, yaitu kejelasan kas, justru jadi sumber masalahnya. Begitu standar harus mutusin suatu arus kas masuk ke bagian yang mana, kejelasan itu langsung terganggu sama pilihan teori (proprietary atau entity) dan pilihan metode (langsung atau tidak langsung). Jadi SCF itu konsepnya gampang, tapi cara nyajiinnya penuh keputusan yang nggak netral.</w:t>
      </w:r>
    </w:p>
    <w:p>
      <w:pPr>
        <w:spacing w:line="360" w:lineRule="auto" w:before="40" w:after="20"/>
        <w:jc w:val="left"/>
      </w:pPr>
      <w:r>
        <w:rPr>
          <w:rFonts w:ascii="Calibri" w:hAnsi="Calibri" w:cs="Calibri"/>
          <w:b/>
          <w:i/>
          <w:sz w:val="24"/>
        </w:rPr>
        <w:t>Mengapa materi ini penting?</w:t>
      </w:r>
    </w:p>
    <w:p>
      <w:pPr>
        <w:spacing w:line="360" w:lineRule="auto" w:before="0" w:after="80"/>
        <w:jc w:val="both"/>
      </w:pPr>
      <w:r>
        <w:rPr>
          <w:rFonts w:ascii="Calibri" w:hAnsi="Calibri" w:cs="Calibri"/>
          <w:b w:val="0"/>
          <w:i w:val="0"/>
          <w:sz w:val="24"/>
        </w:rPr>
        <w:t>Materi ini penting karena nyentuh pertanyaan paling dasar soal bertahan hidupnya perusahaan: apakah dia ngehasilin kas yang cukup buat terus jalan? Laba bisa aja keliatan positif padahal kasnya menipis, dan kejadian kayak gini udah berkali-kali terbukti fatal. Belajar SCF itu ngelatih kita biar nggak cuma terpaku ke satu angka — entah laba bersih atau bahkan arus kas operasi — tapi baca interaksi ketiga bagiannya sekaligus. Ada pelajaran yang lebih dalam juga: materi ini nunjukin bahwa standar akuntansi itu hasil tawar-menawar politik dan ekonomi (contohnya tekanan industri perbankan soal klasifikasi bunga), bukan kebenaran yang netral. Justru ini pelajaran inti dari mata kuliah Pelaporan Keuangan Korporat.</w:t>
      </w:r>
    </w:p>
    <w:p>
      <w:pPr>
        <w:spacing w:line="360" w:lineRule="auto" w:before="40" w:after="20"/>
        <w:jc w:val="left"/>
      </w:pPr>
      <w:r>
        <w:rPr>
          <w:rFonts w:ascii="Calibri" w:hAnsi="Calibri" w:cs="Calibri"/>
          <w:b/>
          <w:i/>
          <w:sz w:val="24"/>
        </w:rPr>
        <w:t>Bagaimana penerapannya dalam dunia nyata?</w:t>
      </w:r>
    </w:p>
    <w:p>
      <w:pPr>
        <w:spacing w:line="360" w:lineRule="auto" w:before="0" w:after="80"/>
        <w:jc w:val="both"/>
      </w:pPr>
      <w:r>
        <w:rPr>
          <w:rFonts w:ascii="Calibri" w:hAnsi="Calibri" w:cs="Calibri"/>
          <w:b w:val="0"/>
          <w:i w:val="0"/>
          <w:sz w:val="24"/>
        </w:rPr>
        <w:t>Penerapan SCF paling kerasa di analisis solvabilitas dan deteksi manipulasi. Contoh paling jelas ya WorldCom: selisih CFO dikurangi CFI yang terus negatif (sampai bikin "lubang" $12 miliar) udah ngasih tanda bahaya jauh sebelum laba bersih dan CFO yang dipoles lewat kapitalisasi beban itu ambruk. Pola yang sama keliatan di industri otomotif, pas GM ngelaporin CFO $7,6 miliar yang sebenernya cuma $3,5 miliar kalau piutang dealer dianggap operasi. Di praktik valuasi, FCF yang didiskontoin pakai WACC jadi tulang punggung penilaian saham — persis logika nilai intrinsik yang dianjurin Buffett. Jadi baik analis kredit maupun investor harusnya nyusun ulang arus kasnya dulu, jangan langsung ditelan mentah-mentah.</w:t>
      </w:r>
    </w:p>
    <w:p>
      <w:pPr>
        <w:spacing w:line="360" w:lineRule="auto" w:before="40" w:after="20"/>
        <w:jc w:val="left"/>
      </w:pPr>
      <w:r>
        <w:rPr>
          <w:rFonts w:ascii="Calibri" w:hAnsi="Calibri" w:cs="Calibri"/>
          <w:b/>
          <w:i/>
          <w:sz w:val="24"/>
        </w:rPr>
        <w:t>Apa hubungan materi ini dengan mata kuliah lain?</w:t>
      </w:r>
    </w:p>
    <w:p>
      <w:pPr>
        <w:spacing w:line="360" w:lineRule="auto" w:before="0" w:after="80"/>
        <w:jc w:val="both"/>
      </w:pPr>
      <w:r>
        <w:rPr>
          <w:rFonts w:ascii="Calibri" w:hAnsi="Calibri" w:cs="Calibri"/>
          <w:b w:val="0"/>
          <w:i w:val="0"/>
          <w:sz w:val="24"/>
        </w:rPr>
        <w:t>Materi ini nyambung ke beberapa mata kuliah sekaligus. Di analisis laporan keuangan, SCF ngasih dasar rasio likuiditas dan kualitas laba yang lebih bisa dipercaya daripada rasio dari neraca. Di manajemen keuangan, konsep FCF, NOPLAT, NPV, dan WACC itu jembatan langsung ke teori penilaian dan penganggaran modal — bahkan definisi FCF di bab ini sama persis sama yang dipakai di corporate valuation. Di audit, masalah nonartikulasi dan ruang klasifikasi jadi area berisiko yang butuh pengujian lebih dalam, soalnya di situlah manajemen punya celah buat ngebingkai ulang kinerjanya.</w:t>
      </w:r>
    </w:p>
    <w:p>
      <w:pPr>
        <w:spacing w:line="360" w:lineRule="auto" w:before="40" w:after="20"/>
        <w:jc w:val="left"/>
      </w:pPr>
      <w:r>
        <w:rPr>
          <w:rFonts w:ascii="Calibri" w:hAnsi="Calibri" w:cs="Calibri"/>
          <w:b/>
          <w:i/>
          <w:sz w:val="24"/>
        </w:rPr>
        <w:t>Apa kelebihan dan keterbatasan teori yang dibahas?</w:t>
      </w:r>
    </w:p>
    <w:p>
      <w:pPr>
        <w:spacing w:line="360" w:lineRule="auto" w:before="0" w:after="80"/>
        <w:jc w:val="both"/>
      </w:pPr>
      <w:r>
        <w:rPr>
          <w:rFonts w:ascii="Calibri" w:hAnsi="Calibri" w:cs="Calibri"/>
          <w:b w:val="0"/>
          <w:i w:val="0"/>
          <w:sz w:val="24"/>
        </w:rPr>
        <w:t>Kelebihan SCF cukup nyata: dia ngurangin kesewenang-wenangan dalam ngukur laba, bikin perusahaan lebih bisa dibandingin, dan ngasih dasar yang relatif kuat buat nilai likuiditas dan daya ramal. Tapi keterbatasannya jangan ditutup-tutupi. Nonartikulasi bikin SCF metode tidak langsung keliatan nggak nyambung sama neraca di 75 persen kasus. Ruang klasifikasi yang dibiarin SFAS No. 95 — bunga yang proprietary, kelonggaran IAS 7, empat metode premium, lindung nilai SFAS No. 104 — bikin perusahaan sejenis bisa nampilin gambaran yang kebalik, jadi janji keterbandingan tadi ikut luntur. FCF sendiri, walau populer buat valuasi, statusnya non-GAAP: nggak terstandar, nggak bisa diambil langsung dari SCF, dan definisinya bisa beda-beda antarperusahaan. Jadi intinya, SCF unggul di hal yang lebih objektif (kas), tapi tetap kebawa masalah alokasi dan klasifikasi yang sebenernya pengen dia hindari.</w:t>
      </w:r>
    </w:p>
    <w:p>
      <w:pPr>
        <w:spacing w:line="360" w:lineRule="auto" w:before="80" w:after="40"/>
        <w:jc w:val="left"/>
      </w:pPr>
      <w:r>
        <w:rPr>
          <w:rFonts w:ascii="Calibri" w:hAnsi="Calibri" w:cs="Calibri"/>
          <w:b/>
          <w:i w:val="0"/>
          <w:sz w:val="26"/>
        </w:rPr>
        <w:t>Bagian D — Kesimpulan Akademik</w:t>
      </w:r>
    </w:p>
    <w:p>
      <w:pPr>
        <w:spacing w:line="360" w:lineRule="auto" w:before="0" w:after="80"/>
        <w:jc w:val="both"/>
      </w:pPr>
      <w:r>
        <w:rPr>
          <w:rFonts w:ascii="Calibri" w:hAnsi="Calibri" w:cs="Calibri"/>
          <w:b w:val="0"/>
          <w:i w:val="0"/>
          <w:sz w:val="24"/>
        </w:rPr>
        <w:t>Kalau ditarik dari semua pembahasan, SCF itu pada dasarnya versi khusus dari SCFP, bedanya "dana" diartikan sebagai kas, dan dia tetap berupa laporan turunan yang nyusun ulang data laba rugi dan neraca ke dalam tiga bagian: operasi, investasi, dan pendanaan. Pesan utamanya, yang nentuin nasib dan nilai perusahaan itu kas, bukan laba akrual, makanya SCF hadir buat ngeredam kesewenang-wenangan dalam ngukur laba sekaligus bikin laporan lebih bisa dibandingin dan lebih bisa diandalkan buat meramal. Manfaatnya jalan ke dua arah: buat pengguna luar, dia jadi dasar nilai likuiditas, fleksibilitas keuangan, dan kualitas laba; buat analis valuasi, dia jadi titik awal ngitung free cash flow yang didiskontoin pakai biaya modal. Di praktik, manfaat ini keliatan di analisis solvabilitas dan deteksi kecurangan — kasus WorldCom dan industri otomotif nunjukin bahwa baca SCF secara utuh, lintas tiga bagiannya, bisa nyingkap tekanan kas yang ngumpet di balik laba yang keliatan sehat. Tapi bab ini juga ngajarin kita buat rendah hati: nonartikulasi, ruang klasifikasi SFAS No. 95, dan sifat non-GAAP dari FCF bikin klaim objektivitas SCF ada batasnya. Sumbangan terbesarnya buat ilmu akuntansi adalah penegasan bahwa laporan berbasis kas dan berbasis akrual itu saling melengkapi, bukan saling gantiin, dan bahwa bagus-tidaknya sebuah standar diukur bukan dari selengkap apa, tapi dari seberapa jauh dia ngebatasin celah yang bisa nyesatin pengguna (Wolk et al., 2017).</w:t>
      </w:r>
    </w:p>
    <w:p>
      <w:pPr>
        <w:spacing w:line="360" w:lineRule="auto" w:before="80" w:after="40"/>
        <w:jc w:val="left"/>
      </w:pPr>
      <w:r>
        <w:rPr>
          <w:rFonts w:ascii="Calibri" w:hAnsi="Calibri" w:cs="Calibri"/>
          <w:b/>
          <w:i w:val="0"/>
          <w:sz w:val="26"/>
        </w:rPr>
        <w:t>Bagian E — Review Mandiri (Active Recall)</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Kenapa FASB lewat SFAS No. 95 (1987) akhirnya ngeartiin "dana" sebagai kas dan ngegantiin SCFP, dan apa tiga kelemahan modal kerja bersih sebagai ukuran likuiditas? </w:t>
      </w:r>
      <w:r>
        <w:rPr>
          <w:rFonts w:ascii="Calibri" w:hAnsi="Calibri" w:cs="Calibri"/>
          <w:b w:val="0"/>
          <w:i/>
          <w:sz w:val="24"/>
        </w:rPr>
        <w:t>Jawaban: karena kas jauh lebih gampang dibaca. Modal kerja bersih dianggap lemah soalnya ada beban dan kredit tangguhan yang nggak ada urusannya sama kas, siklus operasinya bisa lebih dari setahun, dan persediaan dicatat pakai biaya jadi nggak nunjukin potensi kasnya.</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Apa itu pembagian tiga arah dalam SCF, dan apa isi keberatan tiga anggota FASB? </w:t>
      </w:r>
      <w:r>
        <w:rPr>
          <w:rFonts w:ascii="Calibri" w:hAnsi="Calibri" w:cs="Calibri"/>
          <w:b w:val="0"/>
          <w:i/>
          <w:sz w:val="24"/>
        </w:rPr>
        <w:t>Jawaban: SCF ngebagi arus kas ke aktivitas operasi, investasi, dan pendanaan. Tiga anggota yang nolak berpendapat bunga dan dividen yang diterima itu sebenernya investasi, dan bunga yang dibayar itu pendanaan, bukan operasi.</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Apa beda metode langsung dan tidak langsung, dan kenapa kebanyakan perusahaan Amerika milih metode tidak langsung padahal FASB lebih suka yang langsung? </w:t>
      </w:r>
      <w:r>
        <w:rPr>
          <w:rFonts w:ascii="Calibri" w:hAnsi="Calibri" w:cs="Calibri"/>
          <w:b w:val="0"/>
          <w:i/>
          <w:sz w:val="24"/>
        </w:rPr>
        <w:t>Jawaban: metode langsung ngelaporin arus kas apa adanya dan lebih informatif tapi mahal dibuat, sedangkan metode tidak langsung nyocokin laba akrual ke kas dan lebih murah — itu alasan dia dominan. Studi McEnroe malah nemu 56 persen pengguna milih metode langsung, 44 persen tidak langsung.</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Apa itu masalah nonartikulasi, siapa yang nelitiinnya, dan apa tiga penyebab utamanya? </w:t>
      </w:r>
      <w:r>
        <w:rPr>
          <w:rFonts w:ascii="Calibri" w:hAnsi="Calibri" w:cs="Calibri"/>
          <w:b w:val="0"/>
          <w:i/>
          <w:sz w:val="24"/>
        </w:rPr>
        <w:t>Jawaban: keadaan pas penyesuaian modal kerja di bagian operasi nggak sama dengan perubahan akun neraca, yang ditemuin Bahnson, Miller &amp; Budge di 75 persen sampel. Penyebabnya: akuisisi tengah tahun, transaksi modal kerja yang nggak nyentuh kas, dan satu akun utang usaha yang dipakai bareng buat pembelian operasi maupun investasi.</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Tulis rumus free cash flow dan jelasin kenapa FCF nggak bisa diambil langsung dari SCF. </w:t>
      </w:r>
      <w:r>
        <w:rPr>
          <w:rFonts w:ascii="Calibri" w:hAnsi="Calibri" w:cs="Calibri"/>
          <w:b w:val="0"/>
          <w:i/>
          <w:sz w:val="24"/>
        </w:rPr>
        <w:t>Jawaban: FCF = NOPLAT − investasi pada modal terinvestasi operasi. Nggak bisa langsung soalnya CFO masih ngandung beban bunga pendanaan dan nggak nganggep kenaikan kas operasi sebagai investasi, jadi perlu disesuaikan — tambah bunga setelah pajak, kurangi kenaikan kas operasi, terus tambahin CFI.</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Pakai kasus WorldCom, jelasin kenapa SCF harus dibaca utuh dan jangan berhenti di arus kas operasi aja. </w:t>
      </w:r>
      <w:r>
        <w:rPr>
          <w:rFonts w:ascii="Calibri" w:hAnsi="Calibri" w:cs="Calibri"/>
          <w:b w:val="0"/>
          <w:i/>
          <w:sz w:val="24"/>
        </w:rPr>
        <w:t>Jawaban: WorldCom ngapitalisasi beban operasi jadi CFO-nya ngegelembung dan laba bersih keliatan meyakinkan. Tapi selisih CFO dikurangi CFI yang terus negatif nyingkap "lubang" kumulatif $12 miliar per 31 Desember 2001 — tanda yang cuma keliatan kalau ketiga bagian SCF dibaca barengan.</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Kenapa klasifikasi bunga dan dividen nunjukin ketegangan antara proprietary theory dan entity theory, dan gimana sikap IAS 7? </w:t>
      </w:r>
      <w:r>
        <w:rPr>
          <w:rFonts w:ascii="Calibri" w:hAnsi="Calibri" w:cs="Calibri"/>
          <w:b w:val="0"/>
          <w:i/>
          <w:sz w:val="24"/>
        </w:rPr>
        <w:t>Jawaban: SFAS No. 95 berorientasi proprietary jadi bunga dan dividen masuk operasi, sedangkan entity theory ngegolongin keduanya investasi atau pendanaan. IAS 7 lebih santai — boleh operasi, investasi, atau pendanaan, asalkan konsisten dari tahun ke tahun.</w:t>
      </w:r>
    </w:p>
    <w:p>
      <w:pPr>
        <w:spacing w:line="360" w:lineRule="auto" w:before="80" w:after="40"/>
        <w:jc w:val="left"/>
      </w:pPr>
      <w:r>
        <w:rPr>
          <w:rFonts w:ascii="Calibri" w:hAnsi="Calibri" w:cs="Calibri"/>
          <w:b/>
          <w:i w:val="0"/>
          <w:sz w:val="26"/>
        </w:rPr>
        <w:t>Bagian F — Referensi Akademik</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Wolk, H. I., Dodd, J. L., &amp; Rozycki, J. J. (2017). </w:t>
      </w:r>
      <w:r>
        <w:rPr>
          <w:rFonts w:ascii="Calibri" w:hAnsi="Calibri" w:cs="Calibri"/>
          <w:b w:val="0"/>
          <w:i/>
          <w:sz w:val="24"/>
        </w:rPr>
        <w:t>Accounting theory: Conceptual issues in a political and economic environment</w:t>
      </w:r>
      <w:r>
        <w:rPr>
          <w:rFonts w:ascii="Calibri" w:hAnsi="Calibri" w:cs="Calibri"/>
          <w:b w:val="0"/>
          <w:i w:val="0"/>
          <w:sz w:val="24"/>
        </w:rPr>
        <w:t xml:space="preserve"> (9th ed.). SAGE Publications. [Bab 13 — </w:t>
      </w:r>
      <w:r>
        <w:rPr>
          <w:rFonts w:ascii="Calibri" w:hAnsi="Calibri" w:cs="Calibri"/>
          <w:b w:val="0"/>
          <w:i/>
          <w:sz w:val="24"/>
        </w:rPr>
        <w:t>Statement of Cash Flows</w:t>
      </w:r>
      <w:r>
        <w:rPr>
          <w:rFonts w:ascii="Calibri" w:hAnsi="Calibri" w:cs="Calibri"/>
          <w:b w:val="0"/>
          <w:i w:val="0"/>
          <w:sz w:val="24"/>
        </w:rPr>
        <w:t>, hlm. 375–409].</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Silabus Pelaporan Keuangan Korporat (MNK202), Pascasarjana STIE YKPN Yogyakarta, Tahun Ajaran 2025/2026.</w:t>
      </w:r>
    </w:p>
    <w:sectPr w:rsidR="00FC693F" w:rsidRPr="0006063C" w:rsidSect="00034616">
      <w:footerReference w:type="default" r:id="rId9"/>
      <w:pgSz w:w="11906" w:h="16838"/>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s="Calibri"/>
        <w:b w:val="0"/>
        <w:i w:val="0"/>
        <w:sz w:val="22"/>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