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jc w:val="center"/>
      </w:pPr>
      <w:r>
        <w:rPr>
          <w:rFonts w:ascii="Times New Roman" w:hAnsi="Times New Roman"/>
          <w:b/>
          <w:sz w:val="24"/>
        </w:rPr>
        <w:t>MNK202 PELAPORAN KEUANGAN KORPORAT</w:t>
      </w:r>
    </w:p>
    <w:p>
      <w:pPr>
        <w:spacing w:before="0" w:after="80" w:line="360" w:lineRule="exact"/>
        <w:jc w:val="center"/>
      </w:pPr>
      <w:r>
        <w:rPr>
          <w:rFonts w:ascii="Times New Roman" w:hAnsi="Times New Roman"/>
          <w:b/>
          <w:sz w:val="28"/>
        </w:rPr>
        <w:t>TUGAS INDIVIDUAL 2</w:t>
      </w:r>
    </w:p>
    <w:p>
      <w:pPr>
        <w:spacing w:before="80" w:after="320" w:line="360" w:lineRule="exact"/>
        <w:jc w:val="center"/>
      </w:pPr>
      <w:r>
        <w:rPr>
          <w:rFonts w:ascii="Times New Roman" w:hAnsi="Times New Roman"/>
          <w:b/>
          <w:sz w:val="24"/>
        </w:rPr>
        <w:t>Regulasi Standar Akuntansi: Antara Kepentingan Publik dan Mekanisme Pasar — Sebuah Tinjauan Kritis</w:t>
      </w:r>
    </w:p>
    <w:p>
      <w:pPr>
        <w:spacing w:before="0" w:after="40" w:line="360" w:lineRule="exact"/>
        <w:jc w:val="center"/>
      </w:pPr>
      <w:r>
        <w:rPr>
          <w:rFonts w:ascii="Times New Roman" w:hAnsi="Times New Roman"/>
          <w:b w:val="0"/>
          <w:sz w:val="24"/>
        </w:rPr>
        <w:t>Disusun oleh:</w:t>
      </w:r>
    </w:p>
    <w:p>
      <w:pPr>
        <w:spacing w:before="0" w:after="40" w:line="360" w:lineRule="exact"/>
        <w:jc w:val="center"/>
      </w:pPr>
      <w:r>
        <w:rPr>
          <w:rFonts w:ascii="Times New Roman" w:hAnsi="Times New Roman"/>
          <w:b/>
          <w:sz w:val="24"/>
        </w:rPr>
        <w:t>Dzaki Muhammad Yusfian</w:t>
      </w:r>
    </w:p>
    <w:p>
      <w:pPr>
        <w:spacing w:before="0" w:after="40" w:line="360" w:lineRule="exact"/>
        <w:jc w:val="center"/>
      </w:pPr>
      <w:r>
        <w:rPr>
          <w:rFonts w:ascii="Times New Roman" w:hAnsi="Times New Roman"/>
          <w:b w:val="0"/>
          <w:sz w:val="24"/>
        </w:rPr>
        <w:t>NIM: 1125 01079</w:t>
      </w:r>
    </w:p>
    <w:p>
      <w:pPr>
        <w:spacing w:before="0" w:after="40" w:line="360" w:lineRule="exact"/>
        <w:jc w:val="center"/>
      </w:pPr>
      <w:r>
        <w:rPr>
          <w:rFonts w:ascii="Times New Roman" w:hAnsi="Times New Roman"/>
          <w:b w:val="0"/>
          <w:sz w:val="24"/>
        </w:rPr>
        <w:t>Program Studi Magister Akuntansi</w:t>
      </w:r>
    </w:p>
    <w:p>
      <w:pPr>
        <w:spacing w:before="0" w:after="40" w:line="360" w:lineRule="exact"/>
        <w:jc w:val="center"/>
      </w:pPr>
      <w:r>
        <w:rPr>
          <w:rFonts w:ascii="Times New Roman" w:hAnsi="Times New Roman"/>
          <w:b w:val="0"/>
          <w:sz w:val="24"/>
        </w:rPr>
        <w:t>STIE YKPN Yogyakarta</w:t>
      </w:r>
    </w:p>
    <w:p>
      <w:pPr>
        <w:spacing w:before="0" w:after="40" w:line="360" w:lineRule="exact"/>
        <w:jc w:val="center"/>
      </w:pPr>
      <w:r>
        <w:rPr>
          <w:rFonts w:ascii="Times New Roman" w:hAnsi="Times New Roman"/>
          <w:b w:val="0"/>
          <w:sz w:val="24"/>
        </w:rPr>
        <w:t>Dosen: Prof. Djoko Susanto</w:t>
      </w:r>
    </w:p>
    <w:p>
      <w:pPr>
        <w:spacing w:before="0" w:after="480" w:line="360" w:lineRule="exact"/>
        <w:jc w:val="center"/>
      </w:pPr>
      <w:r>
        <w:rPr>
          <w:rFonts w:ascii="Times New Roman" w:hAnsi="Times New Roman"/>
          <w:b w:val="0"/>
          <w:sz w:val="24"/>
        </w:rPr>
        <w:t>April 2026</w:t>
      </w:r>
    </w:p>
    <w:p>
      <w:r>
        <w:br w:type="page"/>
      </w:r>
    </w:p>
    <w:p>
      <w:pPr>
        <w:spacing w:before="240" w:after="120" w:line="360" w:lineRule="exact"/>
        <w:jc w:val="left"/>
      </w:pPr>
      <w:r>
        <w:rPr>
          <w:rFonts w:ascii="Times New Roman" w:hAnsi="Times New Roman"/>
          <w:b/>
          <w:sz w:val="26"/>
        </w:rPr>
        <w:t>I. Pendahuluan</w:t>
      </w:r>
    </w:p>
    <w:p>
      <w:pPr>
        <w:spacing w:before="0" w:after="120" w:line="360" w:lineRule="exact"/>
        <w:ind w:firstLine="709"/>
        <w:jc w:val="both"/>
      </w:pPr>
      <w:r>
        <w:rPr>
          <w:rFonts w:ascii="Times New Roman" w:hAnsi="Times New Roman"/>
          <w:b w:val="0"/>
          <w:sz w:val="24"/>
        </w:rPr>
        <w:t>Dalam khazanah akuntansi, angka-angka keuangan bukan sekadar representasi teknis atas transaksi ekonomi. Wolk, Dodd, dan Rozycki (2017) mengingatkan bahwa angka akuntansi memiliki “realitas sosial” (social reality): pilihan metode inventori memengaruhi beban pajak, angka laba memengaruhi bonus manajemen, dan rasio neraca memengaruhi kemampuan perusahaan mengakses kredit. Dengan konsekuensi nyata sebesar ini, pertanyaan apakah standar akuntansi sebaiknya diregulasi atau diserahkan kepada mekanisme pasar bebas menjadi perdebatan yang jauh melampaui ranah teknis.</w:t>
      </w:r>
    </w:p>
    <w:p>
      <w:pPr>
        <w:spacing w:before="0" w:after="120" w:line="360" w:lineRule="exact"/>
        <w:ind w:firstLine="709"/>
        <w:jc w:val="both"/>
      </w:pPr>
      <w:r>
        <w:rPr>
          <w:rFonts w:ascii="Times New Roman" w:hAnsi="Times New Roman"/>
          <w:b w:val="0"/>
          <w:sz w:val="24"/>
        </w:rPr>
        <w:t>Esai ini menelaah kedua kubu argumentasi secara berimbang. Kubu pro-regulasi bersandar pada teori kegagalan pasar, asimetri informasi, dan masalah keagenan. Kubu anti-regulasi — yang diwakili oleh Teori Akuntansi Positif dan hipotesis pasar efisien — berargumen bahwa pasar dapat mendisiplinkan dirinya sendiri. Setelah mensintesis kedua kubu dalam konteks pasar modal Indonesia, penulis berpendapat bahwa regulasi standar akuntansi lebih superior daripada laissez-faire, dengan catatan regulasi harus dirancang dengan proses yang transparan dan bebas dari regulatory capture.</w:t>
      </w:r>
    </w:p>
    <w:p>
      <w:pPr>
        <w:spacing w:before="240" w:after="120" w:line="360" w:lineRule="exact"/>
        <w:jc w:val="left"/>
      </w:pPr>
      <w:r>
        <w:rPr>
          <w:rFonts w:ascii="Times New Roman" w:hAnsi="Times New Roman"/>
          <w:b/>
          <w:sz w:val="26"/>
        </w:rPr>
        <w:t>II. Argumen Pro-Regulasi</w:t>
      </w:r>
    </w:p>
    <w:p>
      <w:pPr>
        <w:spacing w:before="240" w:after="120" w:line="360" w:lineRule="exact"/>
        <w:jc w:val="left"/>
      </w:pPr>
      <w:r>
        <w:rPr>
          <w:rFonts w:ascii="Times New Roman" w:hAnsi="Times New Roman"/>
          <w:b/>
          <w:sz w:val="24"/>
        </w:rPr>
        <w:t>A. Kegagalan Pasar dan Sifat Barang Publik Informasi</w:t>
      </w:r>
    </w:p>
    <w:p>
      <w:pPr>
        <w:spacing w:before="0" w:after="120" w:line="360" w:lineRule="exact"/>
        <w:ind w:firstLine="709"/>
        <w:jc w:val="both"/>
      </w:pPr>
      <w:r>
        <w:rPr>
          <w:rFonts w:ascii="Times New Roman" w:hAnsi="Times New Roman"/>
          <w:b w:val="0"/>
          <w:sz w:val="24"/>
        </w:rPr>
        <w:t>Informasi akuntansi memiliki karakteristik barang publik (public good): sekali diproduksi dan dipublikasikan, penggunaannya oleh satu pihak tidak mengurangi ketersediaannya bagi pihak lain (non-rival), dan sulit untuk mengecualikan pihak tertentu dari mengaksesnya (non-excludable). Dalam kondisi ini, perusahaan yang tidak diwajibkan mengungkap informasi akan cenderung underinvest dalam pengungkapan karena biaya produksi informasi ditanggung sendiri sementara manfaatnya dinikmati oleh semua pihak tanpa harus membayar (free rider problem). Stigler (1971) menunjukkan bahwa kegagalan pasar semacam ini adalah justifikasi fundamental bagi intervensi regulasi. Tanpa standar wajib, pasar akan menghasilkan pengungkapan yang secara sistematis lebih sedikit dari yang optimal secara sosial.</w:t>
      </w:r>
    </w:p>
    <w:p>
      <w:pPr>
        <w:spacing w:before="240" w:after="120" w:line="360" w:lineRule="exact"/>
        <w:jc w:val="left"/>
      </w:pPr>
      <w:r>
        <w:rPr>
          <w:rFonts w:ascii="Times New Roman" w:hAnsi="Times New Roman"/>
          <w:b/>
          <w:sz w:val="24"/>
        </w:rPr>
        <w:t>B. Asimetri Informasi dan Seleksi Berlawanan (Adverse Selection)</w:t>
      </w:r>
    </w:p>
    <w:p>
      <w:pPr>
        <w:spacing w:before="0" w:after="120" w:line="360" w:lineRule="exact"/>
        <w:ind w:firstLine="709"/>
        <w:jc w:val="both"/>
      </w:pPr>
      <w:r>
        <w:rPr>
          <w:rFonts w:ascii="Times New Roman" w:hAnsi="Times New Roman"/>
          <w:b w:val="0"/>
          <w:sz w:val="24"/>
        </w:rPr>
        <w:t>Akerlof (1970) dalam makalah seminalnya “The Market for ‘Lemons’” menunjukkan bagaimana asimetri informasi dapat menyebabkan kegagalan pasar yang sistemik. Dalam pasar di mana penjual (manajemen perusahaan) memiliki informasi yang jauh lebih lengkap daripada pembeli (investor), investor rasional akan mendiskon semua sekuritas — baik yang berkualitas tinggi maupun rendah — ke tingkat rata-rata pasar. Akibatnya, perusahaan berkualitas tinggi menerima harga yang tidak adil dan cenderung keluar dari pasar, meninggalkan hanya perusahaan berkualitas rendah. Regulasi mandatory disclosure melalui standar akuntansi yang seragam memotong asimetri informasi ini dengan menetapkan lantai minimum pengungkapan yang dapat dipercaya (Scott, 2015).</w:t>
      </w:r>
    </w:p>
    <w:p>
      <w:pPr>
        <w:spacing w:before="240" w:after="120" w:line="360" w:lineRule="exact"/>
        <w:jc w:val="left"/>
      </w:pPr>
      <w:r>
        <w:rPr>
          <w:rFonts w:ascii="Times New Roman" w:hAnsi="Times New Roman"/>
          <w:b/>
          <w:sz w:val="24"/>
        </w:rPr>
        <w:t>C. Konflik Keagenan dan Moral Hazard</w:t>
      </w:r>
    </w:p>
    <w:p>
      <w:pPr>
        <w:spacing w:before="0" w:after="120" w:line="360" w:lineRule="exact"/>
        <w:ind w:firstLine="709"/>
        <w:jc w:val="both"/>
      </w:pPr>
      <w:r>
        <w:rPr>
          <w:rFonts w:ascii="Times New Roman" w:hAnsi="Times New Roman"/>
          <w:b w:val="0"/>
          <w:sz w:val="24"/>
        </w:rPr>
        <w:t>Jensen dan Meckling (1976) memformalkan hubungan keagenan antara pemegang saham (principal) dan manajemen (agent). Manajer yang tidak diawasi memiliki insentif untuk berperilaku oportunistik — mengelola laba, menyembunyikan kerugian, atau mengambil risiko berlebihan — karena mereka menanggung sebagian kecil biaya keputusan buruk namun menikmati sebagian besar keuntungan dari keputusan baik. Regulasi standar akuntansi memaksa transparansi yang membatasi perilaku oportunistik ini. Bukti historis paling dramatis adalah skandal Enron (2001) dan WorldCom (2002), yang terjadi sebagian karena lemahnya regulasi atas special purpose entities (SPE) — sesuatu yang Wolk et al. (2017, hlm. 5) tunjukkan sebagai kegagalan FASB yang kemudian dipaksa dibenahi oleh tekanan publik pascaskandal.</w:t>
      </w:r>
    </w:p>
    <w:p>
      <w:pPr>
        <w:spacing w:before="240" w:after="120" w:line="360" w:lineRule="exact"/>
        <w:jc w:val="left"/>
      </w:pPr>
      <w:r>
        <w:rPr>
          <w:rFonts w:ascii="Times New Roman" w:hAnsi="Times New Roman"/>
          <w:b/>
          <w:sz w:val="26"/>
        </w:rPr>
        <w:t>III. Argumen Anti-Regulasi</w:t>
      </w:r>
    </w:p>
    <w:p>
      <w:pPr>
        <w:spacing w:before="240" w:after="120" w:line="360" w:lineRule="exact"/>
        <w:jc w:val="left"/>
      </w:pPr>
      <w:r>
        <w:rPr>
          <w:rFonts w:ascii="Times New Roman" w:hAnsi="Times New Roman"/>
          <w:b/>
          <w:sz w:val="24"/>
        </w:rPr>
        <w:t>A. Teori Akuntansi Positif dan Kontrak Privat</w:t>
      </w:r>
    </w:p>
    <w:p>
      <w:pPr>
        <w:spacing w:before="0" w:after="120" w:line="360" w:lineRule="exact"/>
        <w:ind w:firstLine="709"/>
        <w:jc w:val="both"/>
      </w:pPr>
      <w:r>
        <w:rPr>
          <w:rFonts w:ascii="Times New Roman" w:hAnsi="Times New Roman"/>
          <w:b w:val="0"/>
          <w:sz w:val="24"/>
        </w:rPr>
        <w:t>Watts dan Zimmerman (1978) meletakkan dasar Teori Akuntansi Positif (Positive Accounting Theory/PAT) dengan berargumen bahwa perusahaan dan pemegang kepentingannya dapat menyelesaikan masalah keagenan secara mandiri melalui kontrak privat. Debt covenants dalam perjanjian kredit, kompensasi manajemen berbasis kinerja, dan mekanisme bonding lainnya adalah contoh bagaimana pasar menciptakan insentif yang menyelaraskan kepentingan manajer dengan pemegang saham tanpa campur tangan regulator. Dari perspektif ini, regulasi akuntansi bukan hanya tidak perlu — ia dapat merusak keseimbangan kontraktual yang telah terbentuk secara organik dan menambahkan beban compliance cost yang tidak proporsional.</w:t>
      </w:r>
    </w:p>
    <w:p>
      <w:pPr>
        <w:spacing w:before="240" w:after="120" w:line="360" w:lineRule="exact"/>
        <w:jc w:val="left"/>
      </w:pPr>
      <w:r>
        <w:rPr>
          <w:rFonts w:ascii="Times New Roman" w:hAnsi="Times New Roman"/>
          <w:b/>
          <w:sz w:val="24"/>
        </w:rPr>
        <w:t>B. Pasar Efisien dan Disiplin Pasar</w:t>
      </w:r>
    </w:p>
    <w:p>
      <w:pPr>
        <w:spacing w:before="0" w:after="120" w:line="360" w:lineRule="exact"/>
        <w:ind w:firstLine="709"/>
        <w:jc w:val="both"/>
      </w:pPr>
      <w:r>
        <w:rPr>
          <w:rFonts w:ascii="Times New Roman" w:hAnsi="Times New Roman"/>
          <w:b w:val="0"/>
          <w:sz w:val="24"/>
        </w:rPr>
        <w:t>Fama (1970) berargumen bahwa pasar modal yang efisien secara cepat menginkorporasi semua informasi publik yang tersedia ke dalam harga sekuritas. Dalam kondisi ini, investor canggih akan mengidentifikasi dan mendiskon perusahaan dengan pengungkapan yang buruk atau tidak dapat dipercaya — menciptakan insentif berbasis pasar bagi perusahaan untuk secara sukarela mengungkap informasi berkualitas tinggi demi mendapatkan biaya modal (cost of capital) yang lebih rendah. Jika mekanisme ini berfungsi, regulasi pengungkapan menjadi redundan: pasar sudah “memaksa” pengungkapan optimal tanpa perlu intervensi. Scott (2015) mencatat bahwa implikasi efisiensi pasar bagi akuntansi adalah bahwa konten informasi lebih penting dari format atau lokasi pengungkapan.</w:t>
      </w:r>
    </w:p>
    <w:p>
      <w:pPr>
        <w:spacing w:before="240" w:after="120" w:line="360" w:lineRule="exact"/>
        <w:jc w:val="left"/>
      </w:pPr>
      <w:r>
        <w:rPr>
          <w:rFonts w:ascii="Times New Roman" w:hAnsi="Times New Roman"/>
          <w:b/>
          <w:sz w:val="24"/>
        </w:rPr>
        <w:t>C. Regulatory Capture dan Distorsi Politik</w:t>
      </w:r>
    </w:p>
    <w:p>
      <w:pPr>
        <w:spacing w:before="0" w:after="120" w:line="360" w:lineRule="exact"/>
        <w:ind w:firstLine="709"/>
        <w:jc w:val="both"/>
      </w:pPr>
      <w:r>
        <w:rPr>
          <w:rFonts w:ascii="Times New Roman" w:hAnsi="Times New Roman"/>
          <w:b w:val="0"/>
          <w:sz w:val="24"/>
        </w:rPr>
        <w:t>Argumen terkuat dari kubu anti-regulasi mungkin bukan bahwa regulasi tidak diperlukan, melainkan bahwa regulasi dalam praktiknya cenderung gagal memenuhi tujuannya. Stigler (1971) menunjukkan bahwa regulator secara sistematis cenderung “ditangkap” (captured) oleh industri yang mereka regulasi — menghasilkan aturan yang melayani kepentingan preparer daripada pengguna informasi keuangan. Ironinya, contoh yang disajikan Wolk et al. (2017, hlm. 5) — kegagalan FASB menyelesaikan masalah SPE karena tekanan politik dari Big Five — justru mengilustrasikan fenomena regulatory capture ini secara sempurna. Namun penulis melihat ironi ini sebagai argumen untuk regulasi yang lebih kuat dan independen, bukan untuk deregulasi.</w:t>
      </w:r>
    </w:p>
    <w:p>
      <w:pPr>
        <w:spacing w:before="240" w:after="120" w:line="360" w:lineRule="exact"/>
        <w:jc w:val="left"/>
      </w:pPr>
      <w:r>
        <w:rPr>
          <w:rFonts w:ascii="Times New Roman" w:hAnsi="Times New Roman"/>
          <w:b/>
          <w:sz w:val="26"/>
        </w:rPr>
        <w:t>IV. Sintesis: Regulasi dalam Konteks Indonesia</w:t>
      </w:r>
    </w:p>
    <w:p>
      <w:pPr>
        <w:spacing w:before="0" w:after="120" w:line="360" w:lineRule="exact"/>
        <w:ind w:firstLine="709"/>
        <w:jc w:val="both"/>
      </w:pPr>
      <w:r>
        <w:rPr>
          <w:rFonts w:ascii="Times New Roman" w:hAnsi="Times New Roman"/>
          <w:b w:val="0"/>
          <w:sz w:val="24"/>
        </w:rPr>
        <w:t>Perdebatan antara regulasi dan pasar bebas dalam akuntansi tidak dapat dilepaskan dari konteks institusional di mana standar tersebut diterapkan. Dalam konteks Indonesia, penulis berargumen bahwa asumsi-asumsi yang menopang argumen anti-regulasi tidak terpenuhi secara memadai.</w:t>
      </w:r>
    </w:p>
    <w:p>
      <w:pPr>
        <w:spacing w:before="0" w:after="120" w:line="360" w:lineRule="exact"/>
        <w:ind w:firstLine="709"/>
        <w:jc w:val="both"/>
      </w:pPr>
      <w:r>
        <w:rPr>
          <w:rFonts w:ascii="Times New Roman" w:hAnsi="Times New Roman"/>
          <w:b w:val="0"/>
          <w:sz w:val="24"/>
        </w:rPr>
        <w:t>Pertama, pasar modal Indonesia masih dalam tahap berkembang dengan tingkat efisiensi yang lebih rendah dibandingkan pasar maju seperti Amerika Serikat atau Inggris Raya. Mekanisme kontrak privat yang menjadi andalan Teori Akuntansi Positif (Watts &amp; Zimmerman, 1978) membutuhkan infrastruktur hukum dan pasar yang kuat — kondisi yang belum sepenuhnya tersedia di Indonesia.</w:t>
      </w:r>
    </w:p>
    <w:p>
      <w:pPr>
        <w:spacing w:before="0" w:after="120" w:line="360" w:lineRule="exact"/>
        <w:ind w:firstLine="709"/>
        <w:jc w:val="both"/>
      </w:pPr>
      <w:r>
        <w:rPr>
          <w:rFonts w:ascii="Times New Roman" w:hAnsi="Times New Roman"/>
          <w:b w:val="0"/>
          <w:sz w:val="24"/>
        </w:rPr>
        <w:t>Kedua, konvergensi PSAK dengan International Financial Reporting Standards (IFRS) yang dimulai secara bertahap sejak 2012 telah memberikan bukti empiris keberhasilan regulasi: meningkatnya komparabilitas laporan keuangan antarperusahaan, meningkatnya kepercayaan investor asing, dan berkurangnya biaya modal bagi emiten Indonesia yang membutuhkan pendanaan internasional (DSAK IAI, 2024).</w:t>
      </w:r>
    </w:p>
    <w:p>
      <w:pPr>
        <w:spacing w:before="0" w:after="120" w:line="360" w:lineRule="exact"/>
        <w:ind w:firstLine="709"/>
        <w:jc w:val="both"/>
      </w:pPr>
      <w:r>
        <w:rPr>
          <w:rFonts w:ascii="Times New Roman" w:hAnsi="Times New Roman"/>
          <w:b w:val="0"/>
          <w:sz w:val="24"/>
        </w:rPr>
        <w:t>Ketiga, regulasi mandatory disclosure oleh Otoritas Jasa Keuangan (OJK) memainkan peran krusial dalam melindungi jutaan investor ritel yang mendominasi basis investor BEI. Tanpa standar minimum yang dapat diandalkan, investor ritel — yang tidak memiliki sumber daya untuk melakukan analisis mendalam — akan sangat rentan terhadap manipulasi informasi.</w:t>
      </w:r>
    </w:p>
    <w:p>
      <w:pPr>
        <w:spacing w:before="0" w:after="120" w:line="360" w:lineRule="exact"/>
        <w:ind w:firstLine="709"/>
        <w:jc w:val="both"/>
      </w:pPr>
      <w:r>
        <w:rPr>
          <w:rFonts w:ascii="Times New Roman" w:hAnsi="Times New Roman"/>
          <w:b w:val="0"/>
          <w:sz w:val="24"/>
        </w:rPr>
        <w:t>Keempat, Indonesia telah memilih jalur regulasi principles-based berbasis IFRS — bukan rules-based yang kaku — sambil tetap mempertahankan panduan implementasi melalui OJK. Model hybrid ini mengakomodasi fleksibilitas yang dibutuhkan oleh keragaman industri Indonesia sekaligus mempertahankan akuntabilitas yang diperlukan untuk melindungi kepentingan publik.</w:t>
      </w:r>
    </w:p>
    <w:p>
      <w:pPr>
        <w:spacing w:before="240" w:after="120" w:line="360" w:lineRule="exact"/>
        <w:jc w:val="left"/>
      </w:pPr>
      <w:r>
        <w:rPr>
          <w:rFonts w:ascii="Times New Roman" w:hAnsi="Times New Roman"/>
          <w:b/>
          <w:sz w:val="26"/>
        </w:rPr>
        <w:t>V. Kesimpulan</w:t>
      </w:r>
    </w:p>
    <w:p>
      <w:pPr>
        <w:spacing w:before="0" w:after="120" w:line="360" w:lineRule="exact"/>
        <w:ind w:firstLine="709"/>
        <w:jc w:val="both"/>
      </w:pPr>
      <w:r>
        <w:rPr>
          <w:rFonts w:ascii="Times New Roman" w:hAnsi="Times New Roman"/>
          <w:b w:val="0"/>
          <w:sz w:val="24"/>
        </w:rPr>
        <w:t>Perdebatan regulasi versus pasar bebas dalam akuntansi adalah perdebatan tentang seberapa sempurna pasar bekerja dalam menghasilkan pengungkapan yang optimal. Argumen Watts &amp; Zimmerman (1978) dan Fama (1970) valid secara teoritis — namun mengandaikan kondisi pasar ideal: efisiensi tinggi, kontrak yang dapat ditegakkan, dan investor yang sepenuhnya rasional. Di dunia nyata, dan khususnya di konteks pasar modal Indonesia yang sedang berkembang, kondisi ideal ini jauh dari terpenuhi.</w:t>
      </w:r>
    </w:p>
    <w:p>
      <w:pPr>
        <w:spacing w:before="0" w:after="120" w:line="360" w:lineRule="exact"/>
        <w:ind w:firstLine="709"/>
        <w:jc w:val="both"/>
      </w:pPr>
      <w:r>
        <w:rPr>
          <w:rFonts w:ascii="Times New Roman" w:hAnsi="Times New Roman"/>
          <w:b w:val="0"/>
          <w:sz w:val="24"/>
        </w:rPr>
        <w:t>Kegagalan pasar, asimetri informasi, dan konflik keagenan adalah realitas struktural — bukan anomali sementara yang akan hilang dengan sendirinya. Oleh karena itu, penulis berpendapat bahwa standar akuntansi lebih baik diregulasi daripada tidak diregulasi. Namun regulasi yang baik adalah regulasi yang dirancang dengan proses yang transparan, inklusif, dan bebas dari regulatory capture — sesuatu yang terus menjadi tantangan bagi FASB, IASB, maupun DSAK IAI. Indonesia, dengan model regulasi principles-based yang diawasi OJK, telah memilih jalur yang secara konseptual tepat — meskipun implementasinya masih memerlukan penguatan yang berkelanjutan.</w:t>
      </w:r>
    </w:p>
    <w:p>
      <w:pPr>
        <w:spacing w:before="240" w:after="120" w:line="360" w:lineRule="exact"/>
        <w:jc w:val="left"/>
      </w:pPr>
      <w:r>
        <w:rPr>
          <w:rFonts w:ascii="Times New Roman" w:hAnsi="Times New Roman"/>
          <w:b/>
          <w:sz w:val="26"/>
        </w:rPr>
        <w:t>Daftar Pustaka</w:t>
      </w:r>
    </w:p>
    <w:p>
      <w:pPr>
        <w:spacing w:before="0" w:after="80" w:line="360" w:lineRule="exact"/>
        <w:ind w:left="709" w:hanging="709"/>
        <w:jc w:val="both"/>
      </w:pPr>
      <w:r>
        <w:rPr>
          <w:rFonts w:ascii="Times New Roman" w:hAnsi="Times New Roman"/>
          <w:sz w:val="24"/>
        </w:rPr>
        <w:t>Akerlof, G. A. (1970). The market for “lemons”: Quality uncertainty and the market mechanism. Quarterly Journal of Economics, 84(3), 488–500.</w:t>
      </w:r>
    </w:p>
    <w:p>
      <w:pPr>
        <w:spacing w:before="0" w:after="80" w:line="360" w:lineRule="exact"/>
        <w:ind w:left="709" w:hanging="709"/>
        <w:jc w:val="both"/>
      </w:pPr>
      <w:r>
        <w:rPr>
          <w:rFonts w:ascii="Times New Roman" w:hAnsi="Times New Roman"/>
          <w:sz w:val="24"/>
        </w:rPr>
        <w:t>DSAK IAI. (2024). Standar Akuntansi Keuangan. Jakarta: Ikatan Akuntan Indonesia.</w:t>
      </w:r>
    </w:p>
    <w:p>
      <w:pPr>
        <w:spacing w:before="0" w:after="80" w:line="360" w:lineRule="exact"/>
        <w:ind w:left="709" w:hanging="709"/>
        <w:jc w:val="both"/>
      </w:pPr>
      <w:r>
        <w:rPr>
          <w:rFonts w:ascii="Times New Roman" w:hAnsi="Times New Roman"/>
          <w:sz w:val="24"/>
        </w:rPr>
        <w:t>Fama, E. F. (1970). Efficient capital markets: A review of theory and empirical work. Journal of Finance, 25(2), 383–417.</w:t>
      </w:r>
    </w:p>
    <w:p>
      <w:pPr>
        <w:spacing w:before="0" w:after="80" w:line="360" w:lineRule="exact"/>
        <w:ind w:left="709" w:hanging="709"/>
        <w:jc w:val="both"/>
      </w:pPr>
      <w:r>
        <w:rPr>
          <w:rFonts w:ascii="Times New Roman" w:hAnsi="Times New Roman"/>
          <w:sz w:val="24"/>
        </w:rPr>
        <w:t>IASB. (2018). Conceptual Framework for Financial Reporting. London: IFRS Foundation.</w:t>
      </w:r>
    </w:p>
    <w:p>
      <w:pPr>
        <w:spacing w:before="0" w:after="80" w:line="360" w:lineRule="exact"/>
        <w:ind w:left="709" w:hanging="709"/>
        <w:jc w:val="both"/>
      </w:pPr>
      <w:r>
        <w:rPr>
          <w:rFonts w:ascii="Times New Roman" w:hAnsi="Times New Roman"/>
          <w:sz w:val="24"/>
        </w:rPr>
        <w:t>Jensen, M. C., &amp; Meckling, W. H. (1976). Theory of the firm: Managerial behavior, agency costs and ownership structure. Journal of Financial Economics, 3(4), 305–360.</w:t>
      </w:r>
    </w:p>
    <w:p>
      <w:pPr>
        <w:spacing w:before="0" w:after="80" w:line="360" w:lineRule="exact"/>
        <w:ind w:left="709" w:hanging="709"/>
        <w:jc w:val="both"/>
      </w:pPr>
      <w:r>
        <w:rPr>
          <w:rFonts w:ascii="Times New Roman" w:hAnsi="Times New Roman"/>
          <w:sz w:val="24"/>
        </w:rPr>
        <w:t>OJK. (2024). Peraturan OJK tentang Keterbukaan Informasi Emiten dan Perusahaan Publik. Jakarta: Otoritas Jasa Keuangan.</w:t>
      </w:r>
    </w:p>
    <w:p>
      <w:pPr>
        <w:spacing w:before="0" w:after="80" w:line="360" w:lineRule="exact"/>
        <w:ind w:left="709" w:hanging="709"/>
        <w:jc w:val="both"/>
      </w:pPr>
      <w:r>
        <w:rPr>
          <w:rFonts w:ascii="Times New Roman" w:hAnsi="Times New Roman"/>
          <w:sz w:val="24"/>
        </w:rPr>
        <w:t>Scott, W. R. (2015). Financial Accounting Theory (7th ed.). Toronto: Pearson.</w:t>
      </w:r>
    </w:p>
    <w:p>
      <w:pPr>
        <w:spacing w:before="0" w:after="80" w:line="360" w:lineRule="exact"/>
        <w:ind w:left="709" w:hanging="709"/>
        <w:jc w:val="both"/>
      </w:pPr>
      <w:r>
        <w:rPr>
          <w:rFonts w:ascii="Times New Roman" w:hAnsi="Times New Roman"/>
          <w:sz w:val="24"/>
        </w:rPr>
        <w:t>Stigler, G. J. (1971). The theory of economic regulation. Bell Journal of Economics and Management Science, 2(1), 3–21.</w:t>
      </w:r>
    </w:p>
    <w:p>
      <w:pPr>
        <w:spacing w:before="0" w:after="80" w:line="360" w:lineRule="exact"/>
        <w:ind w:left="709" w:hanging="709"/>
        <w:jc w:val="both"/>
      </w:pPr>
      <w:r>
        <w:rPr>
          <w:rFonts w:ascii="Times New Roman" w:hAnsi="Times New Roman"/>
          <w:sz w:val="24"/>
        </w:rPr>
        <w:t>Watts, R. L., &amp; Zimmerman, J. L. (1978). Towards a positive theory of the determination of accounting standards. The Accounting Review, 53(1), 112–134.</w:t>
      </w:r>
    </w:p>
    <w:p>
      <w:pPr>
        <w:spacing w:before="0" w:after="80" w:line="360" w:lineRule="exact"/>
        <w:ind w:left="709" w:hanging="709"/>
        <w:jc w:val="both"/>
      </w:pPr>
      <w:r>
        <w:rPr>
          <w:rFonts w:ascii="Times New Roman" w:hAnsi="Times New Roman"/>
          <w:sz w:val="24"/>
        </w:rPr>
        <w:t>Wolk, H. I., Dodd, J. L., &amp; Rozycki, J. J. (2017). Accounting Theory: Conceptual Issues in a Political and Economic Environment (9th ed.). Thousand Oaks: SAGE.</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