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230" w:before="0" w:after="40"/>
        <w:jc w:val="center"/>
      </w:pPr>
      <w:r>
        <w:rPr>
          <w:rFonts w:ascii="Times New Roman" w:hAnsi="Times New Roman" w:cs="Times New Roman"/>
          <w:b/>
          <w:i w:val="0"/>
          <w:sz w:val="28"/>
        </w:rPr>
        <w:t>RINGKASAN MATERI KULIAH (RMK) — PERTEMUAN 9</w:t>
      </w:r>
    </w:p>
    <w:p>
      <w:pPr>
        <w:spacing w:lineRule="exact" w:line="230" w:before="0" w:after="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Pelaporan Keuangan Korporat (MNK202) — Pascasarjana STIE YKPN Yogyakarta</w:t>
      </w:r>
    </w:p>
    <w:p>
      <w:pPr>
        <w:spacing w:lineRule="exact" w:line="230" w:before="0" w:after="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Dzaki Muhammad Yusfian — NIM 1225 01079</w:t>
      </w:r>
    </w:p>
    <w:p>
      <w:pPr>
        <w:spacing w:lineRule="exact" w:line="230" w:before="0" w:after="40"/>
        <w:jc w:val="center"/>
      </w:pPr>
      <w:r>
        <w:rPr>
          <w:rFonts w:ascii="Times New Roman" w:hAnsi="Times New Roman" w:cs="Times New Roman"/>
          <w:b w:val="0"/>
          <w:i/>
          <w:sz w:val="24"/>
        </w:rPr>
        <w:t>The Income Statement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Wolk, H. I., Dodd, J. L., &amp; Rozycki, J. J. (2017). </w:t>
      </w:r>
      <w:r>
        <w:rPr>
          <w:rFonts w:ascii="Times New Roman" w:hAnsi="Times New Roman" w:cs="Times New Roman"/>
          <w:b w:val="0"/>
          <w:i/>
          <w:sz w:val="24"/>
        </w:rPr>
        <w:t>Accounting Theory: Conceptual Issues in a Political and Economic Environment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(9th ed., Ch. 12). Sage.</w:t>
      </w:r>
    </w:p>
    <w:p>
      <w:pPr>
        <w:spacing w:lineRule="exact" w:line="230" w:before="0" w:after="200"/>
        <w:jc w:val="both"/>
        <w:pBdr>
          <w:bottom w:val="single" w:sz="8" w:color="000000"/>
        </w:pBdr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I. Orientasi: Laporan Laba Rugi dalam Teori Akuntansi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Sebelum aturan teknis, kita perlu tahu mengapa </w:t>
      </w:r>
      <w:r>
        <w:rPr>
          <w:rFonts w:ascii="Times New Roman" w:hAnsi="Times New Roman" w:cs="Times New Roman"/>
          <w:b/>
          <w:i w:val="0"/>
          <w:sz w:val="24"/>
        </w:rPr>
        <w:t>laporan laba rugi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income statement</w:t>
      </w:r>
      <w:r>
        <w:rPr>
          <w:rFonts w:ascii="Times New Roman" w:hAnsi="Times New Roman" w:cs="Times New Roman"/>
          <w:b w:val="0"/>
          <w:i w:val="0"/>
          <w:sz w:val="24"/>
        </w:rPr>
        <w:t>) penting dan kerangka berpikir yang membingkainya.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Mengapa Laporan Laba Rugi Fundamental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Dua peran utama</w:t>
      </w:r>
      <w:r>
        <w:rPr>
          <w:rFonts w:ascii="Times New Roman" w:hAnsi="Times New Roman" w:cs="Times New Roman"/>
          <w:b w:val="0"/>
          <w:i w:val="0"/>
          <w:sz w:val="24"/>
        </w:rPr>
        <w:t>: basis prediksi arus kas masa depan sekaligus alat menilai kinerja manajemen (</w:t>
      </w:r>
      <w:r>
        <w:rPr>
          <w:rFonts w:ascii="Times New Roman" w:hAnsi="Times New Roman" w:cs="Times New Roman"/>
          <w:b w:val="0"/>
          <w:i/>
          <w:sz w:val="24"/>
        </w:rPr>
        <w:t>stewardship</w:t>
      </w:r>
      <w:r>
        <w:rPr>
          <w:rFonts w:ascii="Times New Roman" w:hAnsi="Times New Roman" w:cs="Times New Roman"/>
          <w:b w:val="0"/>
          <w:i w:val="0"/>
          <w:sz w:val="24"/>
        </w:rPr>
        <w:t>) (Wolk et al., 2017, PDF hlm. 2).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Decision usefulness</w:t>
      </w:r>
      <w:r>
        <w:rPr>
          <w:rFonts w:ascii="Times New Roman" w:hAnsi="Times New Roman" w:cs="Times New Roman"/>
          <w:b w:val="0"/>
          <w:i w:val="0"/>
          <w:sz w:val="24"/>
        </w:rPr>
        <w:t>: angka laba bernilai sejauh membantu investor dan kreditor memproyeksikan kemampuan menghasilkan kas — benang merah kursus ini.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Tak ada substitusi</w:t>
      </w:r>
      <w:r>
        <w:rPr>
          <w:rFonts w:ascii="Times New Roman" w:hAnsi="Times New Roman" w:cs="Times New Roman"/>
          <w:b w:val="0"/>
          <w:i w:val="0"/>
          <w:sz w:val="24"/>
        </w:rPr>
        <w:t>: meski pengukurannya tak sempurna, tidak ada sinyal kinerja periodik yang lebih ringkas — ketidaksempurnaan menuntut kehati-hatian, bukan pengabaian.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Artikulasi dan Kerangka Konseptual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Artikulasi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articulation</w:t>
      </w:r>
      <w:r>
        <w:rPr>
          <w:rFonts w:ascii="Times New Roman" w:hAnsi="Times New Roman" w:cs="Times New Roman"/>
          <w:b w:val="0"/>
          <w:i w:val="0"/>
          <w:sz w:val="24"/>
        </w:rPr>
        <w:t>): laporan laba rugi terkait struktural dengan neraca — sudah dibahas pada Pertemuan VIII (Wolk Bab 11).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Ketegangan paradigma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definisi laba dibingkai </w:t>
      </w:r>
      <w:r>
        <w:rPr>
          <w:rFonts w:ascii="Times New Roman" w:hAnsi="Times New Roman" w:cs="Times New Roman"/>
          <w:b w:val="0"/>
          <w:i/>
          <w:sz w:val="24"/>
        </w:rPr>
        <w:t>revenue–expense approach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lawan </w:t>
      </w:r>
      <w:r>
        <w:rPr>
          <w:rFonts w:ascii="Times New Roman" w:hAnsi="Times New Roman" w:cs="Times New Roman"/>
          <w:b w:val="0"/>
          <w:i/>
          <w:sz w:val="24"/>
        </w:rPr>
        <w:t>asset–liability approach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warisan kerangka konseptual.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Bukan ranah Bab 12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Times New Roman" w:hAnsi="Times New Roman" w:cs="Times New Roman"/>
          <w:b w:val="0"/>
          <w:i/>
          <w:sz w:val="24"/>
        </w:rPr>
        <w:t>economic concept of income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dan </w:t>
      </w:r>
      <w:r>
        <w:rPr>
          <w:rFonts w:ascii="Times New Roman" w:hAnsi="Times New Roman" w:cs="Times New Roman"/>
          <w:b w:val="0"/>
          <w:i/>
          <w:sz w:val="24"/>
        </w:rPr>
        <w:t>capital maintenance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adalah materi bab neraca (Bab 11), di sini hanya latar.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Peta Jalan Bab Ini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 w:val="0"/>
          <w:i w:val="0"/>
          <w:sz w:val="24"/>
        </w:rPr>
        <w:t xml:space="preserve">Delapan </w:t>
      </w:r>
      <w:r>
        <w:rPr>
          <w:rFonts w:ascii="Times New Roman" w:hAnsi="Times New Roman" w:cs="Times New Roman"/>
          <w:b w:val="0"/>
          <w:i/>
          <w:sz w:val="24"/>
        </w:rPr>
        <w:t>learning objectives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menelusuri evolusi definisi </w:t>
      </w:r>
      <w:r>
        <w:rPr>
          <w:rFonts w:ascii="Times New Roman" w:hAnsi="Times New Roman" w:cs="Times New Roman"/>
          <w:b w:val="0"/>
          <w:i/>
          <w:sz w:val="24"/>
        </w:rPr>
        <w:t>revenues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 w:val="0"/>
          <w:i/>
          <w:sz w:val="24"/>
        </w:rPr>
        <w:t>expenses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 w:val="0"/>
          <w:i/>
          <w:sz w:val="24"/>
        </w:rPr>
        <w:t>gains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 w:val="0"/>
          <w:i/>
          <w:sz w:val="24"/>
        </w:rPr>
        <w:t>losses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peran </w:t>
      </w:r>
      <w:r>
        <w:rPr>
          <w:rFonts w:ascii="Times New Roman" w:hAnsi="Times New Roman" w:cs="Times New Roman"/>
          <w:b w:val="0"/>
          <w:i/>
          <w:sz w:val="24"/>
        </w:rPr>
        <w:t>future events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penyajian laporan; </w:t>
      </w:r>
      <w:r>
        <w:rPr>
          <w:rFonts w:ascii="Times New Roman" w:hAnsi="Times New Roman" w:cs="Times New Roman"/>
          <w:b w:val="0"/>
          <w:i/>
          <w:sz w:val="24"/>
        </w:rPr>
        <w:t>comprehensive income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 w:val="0"/>
          <w:i/>
          <w:sz w:val="24"/>
        </w:rPr>
        <w:t>earnings per share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 w:val="0"/>
          <w:i/>
          <w:sz w:val="24"/>
        </w:rPr>
        <w:t>earnings management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dan kaitannya dengan kompensasi manajemen; serta usulan baru pengukuran laba (Wolk et al., 2017, PDF hlm. 2).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 w:val="0"/>
          <w:i w:val="0"/>
          <w:sz w:val="24"/>
        </w:rPr>
        <w:t xml:space="preserve">Dengan orientasi ini, kita beralih ke Bagian II yang menggali definisi </w:t>
      </w:r>
      <w:r>
        <w:rPr>
          <w:rFonts w:ascii="Times New Roman" w:hAnsi="Times New Roman" w:cs="Times New Roman"/>
          <w:b w:val="0"/>
          <w:i/>
          <w:sz w:val="24"/>
        </w:rPr>
        <w:t>income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dan elemen-elemennya.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II. Definisi Income dan Elemen-elemennya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Sebelum kapan dan berapa laba diakui, kita perlu jelas dulu </w:t>
      </w:r>
      <w:r>
        <w:rPr>
          <w:rFonts w:ascii="Times New Roman" w:hAnsi="Times New Roman" w:cs="Times New Roman"/>
          <w:b w:val="0"/>
          <w:i/>
          <w:sz w:val="24"/>
        </w:rPr>
        <w:t>apa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yang diukur. Wolk mencatat empat definisi resmi </w:t>
      </w:r>
      <w:r>
        <w:rPr>
          <w:rFonts w:ascii="Times New Roman" w:hAnsi="Times New Roman" w:cs="Times New Roman"/>
          <w:b/>
          <w:i w:val="0"/>
          <w:sz w:val="24"/>
        </w:rPr>
        <w:t>accounting income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yang bermuara pada dua cara pandang (Wolk et al., 2017, PDF hlm. 2).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Dua Cara Pandang atas Laba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Revenue–expense approach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(ATB 2 &amp; APB Statement 4): laba = kelebihan </w:t>
      </w:r>
      <w:r>
        <w:rPr>
          <w:rFonts w:ascii="Times New Roman" w:hAnsi="Times New Roman" w:cs="Times New Roman"/>
          <w:b w:val="0"/>
          <w:i/>
          <w:sz w:val="24"/>
        </w:rPr>
        <w:t>revenues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atas beban dan kerugian satu periode; neraca hanya sisa.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Asset–liability approach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(SFAC No. 6 &amp; FASB Codification): laba berasal dari perubahan aset dan liabilitas; memperkenalkan </w:t>
      </w:r>
      <w:r>
        <w:rPr>
          <w:rFonts w:ascii="Times New Roman" w:hAnsi="Times New Roman" w:cs="Times New Roman"/>
          <w:b/>
          <w:i w:val="0"/>
          <w:sz w:val="24"/>
        </w:rPr>
        <w:t>comprehensive income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(perubahan aset neto dari sumber nonpemilik).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 w:val="0"/>
          <w:i w:val="0"/>
          <w:sz w:val="24"/>
        </w:rPr>
        <w:t xml:space="preserve">Arah FASB &amp; IASB ke pendekatan kedua — menggeser laba dari aliran transaksi ke valuasi neraca, mendekat ke </w:t>
      </w:r>
      <w:r>
        <w:rPr>
          <w:rFonts w:ascii="Times New Roman" w:hAnsi="Times New Roman" w:cs="Times New Roman"/>
          <w:b w:val="0"/>
          <w:i/>
          <w:sz w:val="24"/>
        </w:rPr>
        <w:t>fair value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(Wolk et al., 2017, PDF hlm. 2).</w:t>
      </w:r>
    </w:p>
    <w:p>
      <w:pPr>
        <w:spacing w:lineRule="exact" w:line="230" w:before="0" w:after="0"/>
        <w:jc w:val="center"/>
      </w:pPr>
      <w:r>
        <w:rPr>
          <w:rFonts w:ascii="Times New Roman" w:hAnsi="Times New Roman" w:cs="Times New Roman"/>
          <w:b/>
          <w:i w:val="0"/>
          <w:sz w:val="22"/>
        </w:rPr>
        <w:t xml:space="preserve">Tabel 1. </w:t>
      </w:r>
      <w:r>
        <w:rPr>
          <w:rFonts w:ascii="Times New Roman" w:hAnsi="Times New Roman" w:cs="Times New Roman"/>
          <w:b w:val="0"/>
          <w:i w:val="0"/>
          <w:sz w:val="22"/>
        </w:rPr>
        <w:t>Evolusi definisi elemen laba lintas badan penyusun standar</w:t>
      </w:r>
    </w:p>
    <w:p>
      <w:pPr>
        <w:spacing w:lineRule="exact" w:line="230" w:before="0" w:after="80"/>
        <w:jc w:val="center"/>
      </w:pPr>
      <w:r>
        <w:rPr>
          <w:rFonts w:ascii="Times New Roman" w:hAnsi="Times New Roman" w:cs="Times New Roman"/>
          <w:b w:val="0"/>
          <w:i/>
          <w:sz w:val="22"/>
        </w:rPr>
        <w:t>Sumber: diolah dari Wolk et al. (2017), PDF hlm. 2–7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Sumber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Inti definisi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Orientasi</w:t>
            </w:r>
          </w:p>
        </w:tc>
      </w:tr>
      <w:tr>
        <w:tc>
          <w:tcPr>
            <w:tcW w:type="dxa" w:w="1814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ATB 2 / ATB 4 (AICPA)</w:t>
            </w:r>
          </w:p>
        </w:tc>
        <w:tc>
          <w:tcPr>
            <w:tcW w:type="dxa" w:w="4535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Income: hasil pengurangan revenues oleh COGS, beban lain, dan losses. Revenue: hasil penjualan barang/jasa, diukur dari harga yang dibebankan ke pelanggan. Expense: semua expired costs yang dapat dikurangkan dari revenues.</w:t>
            </w:r>
          </w:p>
        </w:tc>
        <w:tc>
          <w:tcPr>
            <w:tcW w:type="dxa" w:w="2154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Revenue–expense</w:t>
            </w:r>
          </w:p>
        </w:tc>
      </w:tr>
      <w:tr>
        <w:tc>
          <w:tcPr>
            <w:tcW w:type="dxa" w:w="1814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APB Statement 4</w:t>
            </w:r>
          </w:p>
        </w:tc>
        <w:tc>
          <w:tcPr>
            <w:tcW w:type="dxa" w:w="4535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Net income: selisih revenues atas expenses satu periode. Revenue: kenaikan bruto aset / penurunan bruto liabilitas dari aktivitas berorientasi laba, diukur sesuai GAAP. Expense: penurunan bruto aset / kenaikan bruto liabilitas dari aktivitas berorientasi laba.</w:t>
            </w:r>
          </w:p>
        </w:tc>
        <w:tc>
          <w:tcPr>
            <w:tcW w:type="dxa" w:w="2154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Transisi: bentuk asset–liability, pengukuran masih revenue–expense</w:t>
            </w:r>
          </w:p>
        </w:tc>
      </w:tr>
      <w:tr>
        <w:tc>
          <w:tcPr>
            <w:tcW w:type="dxa" w:w="1814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SFAC No. 6</w:t>
            </w:r>
          </w:p>
        </w:tc>
        <w:tc>
          <w:tcPr>
            <w:tcW w:type="dxa" w:w="4535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Comprehensive income: perubahan ekuitas (aset bersih) dari transaksi dan peristiwa non-pemilik. Revenue: arus masuk / peningkatan aset atau penyelesaian liabilitas dari operasi utama berkelanjutan. Expense: arus keluar / pemakaian aset atau timbulnya liabilitas dari operasi utama.</w:t>
            </w:r>
          </w:p>
        </w:tc>
        <w:tc>
          <w:tcPr>
            <w:tcW w:type="dxa" w:w="2154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Asset–liability</w:t>
            </w:r>
          </w:p>
        </w:tc>
      </w:tr>
      <w:tr>
        <w:tc>
          <w:tcPr>
            <w:tcW w:type="dxa" w:w="1814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FASB Codification</w:t>
            </w:r>
          </w:p>
        </w:tc>
        <w:tc>
          <w:tcPr>
            <w:tcW w:type="dxa" w:w="4535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Tujuan pelaporan comprehensive income: mengukur seluruh perubahan ekuitas dari transaksi non-pemilik yang diakui pada periode itu.</w:t>
            </w:r>
          </w:p>
        </w:tc>
        <w:tc>
          <w:tcPr>
            <w:tcW w:type="dxa" w:w="2154"/>
          </w:tcPr>
          <w:p>
            <w:pPr>
              <w:spacing w:lineRule="exact" w:line="2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Asset–liability (penegasan)</w:t>
            </w:r>
          </w:p>
        </w:tc>
      </w:tr>
    </w:tbl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Revenues (Pendapatan) — tiga rumusan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ATB 2</w:t>
      </w:r>
      <w:r>
        <w:rPr>
          <w:rFonts w:ascii="Times New Roman" w:hAnsi="Times New Roman" w:cs="Times New Roman"/>
          <w:b w:val="0"/>
          <w:i w:val="0"/>
          <w:sz w:val="24"/>
        </w:rPr>
        <w:t>: hasil penjualan barang/jasa.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APB Statement 4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kenaikan kotor aset dari aktivitas laba — tampak bergeser ke aset, tapi karena bersandar </w:t>
      </w:r>
      <w:r>
        <w:rPr>
          <w:rFonts w:ascii="Times New Roman" w:hAnsi="Times New Roman" w:cs="Times New Roman"/>
          <w:b w:val="0"/>
          <w:i/>
          <w:sz w:val="24"/>
        </w:rPr>
        <w:t>GAAP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hakikatnya masih </w:t>
      </w:r>
      <w:r>
        <w:rPr>
          <w:rFonts w:ascii="Times New Roman" w:hAnsi="Times New Roman" w:cs="Times New Roman"/>
          <w:b w:val="0"/>
          <w:i/>
          <w:sz w:val="24"/>
        </w:rPr>
        <w:t>revenue–expense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SFAC No. 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kenaikan aset neto, sejalan </w:t>
      </w:r>
      <w:r>
        <w:rPr>
          <w:rFonts w:ascii="Times New Roman" w:hAnsi="Times New Roman" w:cs="Times New Roman"/>
          <w:b w:val="0"/>
          <w:i/>
          <w:sz w:val="24"/>
        </w:rPr>
        <w:t>comprehensive income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(Wolk et al., 2017, PDF hlm. 3).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Penting: </w:t>
      </w:r>
      <w:r>
        <w:rPr>
          <w:rFonts w:ascii="Times New Roman" w:hAnsi="Times New Roman" w:cs="Times New Roman"/>
          <w:b/>
          <w:i w:val="0"/>
          <w:sz w:val="24"/>
        </w:rPr>
        <w:t>definisi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harus dipisah dari </w:t>
      </w:r>
      <w:r>
        <w:rPr>
          <w:rFonts w:ascii="Times New Roman" w:hAnsi="Times New Roman" w:cs="Times New Roman"/>
          <w:b/>
          <w:i w:val="0"/>
          <w:sz w:val="24"/>
        </w:rPr>
        <w:t>pengakuan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recognition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dan </w:t>
      </w:r>
      <w:r>
        <w:rPr>
          <w:rFonts w:ascii="Times New Roman" w:hAnsi="Times New Roman" w:cs="Times New Roman"/>
          <w:b/>
          <w:i w:val="0"/>
          <w:sz w:val="24"/>
        </w:rPr>
        <w:t>pengukuran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measurement</w:t>
      </w:r>
      <w:r>
        <w:rPr>
          <w:rFonts w:ascii="Times New Roman" w:hAnsi="Times New Roman" w:cs="Times New Roman"/>
          <w:b w:val="0"/>
          <w:i w:val="0"/>
          <w:sz w:val="24"/>
        </w:rPr>
        <w:t>) — mencampurnya mengaburkan pertanyaan "apa yang diukur", dan kedisiplinan ini jadi prasyarat Bagian III.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Gains, Expenses, dan Losses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Gains</w:t>
      </w:r>
      <w:r>
        <w:rPr>
          <w:rFonts w:ascii="Times New Roman" w:hAnsi="Times New Roman" w:cs="Times New Roman"/>
          <w:b w:val="0"/>
          <w:i w:val="0"/>
          <w:sz w:val="24"/>
        </w:rPr>
        <w:t>: APB Statement 4 = pendapatan dari sumber selain penjualan produk/jasa; SFAC No. 6 = kenaikan ekuitas dari transaksi periferal/insidental (Wolk et al., 2017, PDF hlm. 3).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 w:val="0"/>
          <w:i w:val="0"/>
          <w:sz w:val="24"/>
        </w:rPr>
        <w:t xml:space="preserve">Pembedaan </w:t>
      </w:r>
      <w:r>
        <w:rPr>
          <w:rFonts w:ascii="Times New Roman" w:hAnsi="Times New Roman" w:cs="Times New Roman"/>
          <w:b w:val="0"/>
          <w:i/>
          <w:sz w:val="24"/>
        </w:rPr>
        <w:t>revenue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vs </w:t>
      </w:r>
      <w:r>
        <w:rPr>
          <w:rFonts w:ascii="Times New Roman" w:hAnsi="Times New Roman" w:cs="Times New Roman"/>
          <w:b w:val="0"/>
          <w:i/>
          <w:sz w:val="24"/>
        </w:rPr>
        <w:t>gain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memicu debat </w:t>
      </w:r>
      <w:r>
        <w:rPr>
          <w:rFonts w:ascii="Times New Roman" w:hAnsi="Times New Roman" w:cs="Times New Roman"/>
          <w:b w:val="0"/>
          <w:i/>
          <w:sz w:val="24"/>
        </w:rPr>
        <w:t>current operating concept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(hanya aktivitas utama berulang) lawan </w:t>
      </w:r>
      <w:r>
        <w:rPr>
          <w:rFonts w:ascii="Times New Roman" w:hAnsi="Times New Roman" w:cs="Times New Roman"/>
          <w:b w:val="0"/>
          <w:i/>
          <w:sz w:val="24"/>
        </w:rPr>
        <w:t>all-inclusive concept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(semua dimasukkan) — dibahas di Bagian VI.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Expenses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tiga rumusan — </w:t>
      </w:r>
      <w:r>
        <w:rPr>
          <w:rFonts w:ascii="Times New Roman" w:hAnsi="Times New Roman" w:cs="Times New Roman"/>
          <w:b w:val="0"/>
          <w:i/>
          <w:sz w:val="24"/>
        </w:rPr>
        <w:t>expired cost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(ATB 4), penurunan aset neto ukuran </w:t>
      </w:r>
      <w:r>
        <w:rPr>
          <w:rFonts w:ascii="Times New Roman" w:hAnsi="Times New Roman" w:cs="Times New Roman"/>
          <w:b w:val="0"/>
          <w:i/>
          <w:sz w:val="24"/>
        </w:rPr>
        <w:t>revenue–expense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(APB Statement 4), hingga arus keluar/penggunaan aset (SFAC No. 6) (Wolk et al., 2017, PDF hlm. 6).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Losses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(APB Statement 4 &amp; SFAC No. 6): penurunan aset neto di luar beban/transaksi modal; seperti </w:t>
      </w:r>
      <w:r>
        <w:rPr>
          <w:rFonts w:ascii="Times New Roman" w:hAnsi="Times New Roman" w:cs="Times New Roman"/>
          <w:b w:val="0"/>
          <w:i/>
          <w:sz w:val="24"/>
        </w:rPr>
        <w:t>gains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pembedaannya memudar di bawah </w:t>
      </w:r>
      <w:r>
        <w:rPr>
          <w:rFonts w:ascii="Times New Roman" w:hAnsi="Times New Roman" w:cs="Times New Roman"/>
          <w:b w:val="0"/>
          <w:i/>
          <w:sz w:val="24"/>
        </w:rPr>
        <w:t>all-inclusive concept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Dengan keempat elemen tertata, kita masuk persoalan tersulit: kapan pendapatan boleh diakui — pokok Bagian III.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III. Pengakuan Pendapatan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Idealnya pendapatan diakui saat aktivitas ekonomi utama rampung — tapi penyelesaian dan keterukurannya kerap jatuh di periode berbeda (Wolk et al., 2017, PDF hlm. 4).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Ideal vs Kendala Keterukuran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Cita-cita teoretis</w:t>
      </w:r>
      <w:r>
        <w:rPr>
          <w:rFonts w:ascii="Times New Roman" w:hAnsi="Times New Roman" w:cs="Times New Roman"/>
          <w:b w:val="0"/>
          <w:i w:val="0"/>
          <w:sz w:val="24"/>
        </w:rPr>
        <w:t>: pendapatan melekat pada periode saat barang/jasa diciptakan dan dilepas.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Kendala keterukuran objektif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objective measurement</w:t>
      </w:r>
      <w:r>
        <w:rPr>
          <w:rFonts w:ascii="Times New Roman" w:hAnsi="Times New Roman" w:cs="Times New Roman"/>
          <w:b w:val="0"/>
          <w:i w:val="0"/>
          <w:sz w:val="24"/>
        </w:rPr>
        <w:t>): selama belum terukur terverifikasi, pendapatan tidak diakui — intinya ketegangan relevansi vs reliabilitas.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Empat Titik Waktu Pengakuan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Selama produksi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during production</w:t>
      </w:r>
      <w:r>
        <w:rPr>
          <w:rFonts w:ascii="Times New Roman" w:hAnsi="Times New Roman" w:cs="Times New Roman"/>
          <w:b w:val="0"/>
          <w:i w:val="0"/>
          <w:sz w:val="24"/>
        </w:rPr>
        <w:t>): kontrak jangka panjang/konstruksi (ARB 45 &amp; SOP 81-1), syaratnya estimasi andal kemajuan dan biaya.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Produksi selesai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completion of production</w:t>
      </w:r>
      <w:r>
        <w:rPr>
          <w:rFonts w:ascii="Times New Roman" w:hAnsi="Times New Roman" w:cs="Times New Roman"/>
          <w:b w:val="0"/>
          <w:i w:val="0"/>
          <w:sz w:val="24"/>
        </w:rPr>
        <w:t>): pertanian/pertambangan (ARB 43) bila produk berpasar segera pada harga terkutip.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Penjualan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point of sale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): </w:t>
      </w:r>
      <w:r>
        <w:rPr>
          <w:rFonts w:ascii="Times New Roman" w:hAnsi="Times New Roman" w:cs="Times New Roman"/>
          <w:b/>
          <w:i w:val="0"/>
          <w:sz w:val="24"/>
        </w:rPr>
        <w:t>norma umum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sejak salah satu dari enam aturan AICPA 1934, saat hak hukum berpindah.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Kas terkumpul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cash collection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): lewat </w:t>
      </w:r>
      <w:r>
        <w:rPr>
          <w:rFonts w:ascii="Times New Roman" w:hAnsi="Times New Roman" w:cs="Times New Roman"/>
          <w:b/>
          <w:i w:val="0"/>
          <w:sz w:val="24"/>
        </w:rPr>
        <w:t>metode angsuran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installment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atau </w:t>
      </w:r>
      <w:r>
        <w:rPr>
          <w:rFonts w:ascii="Times New Roman" w:hAnsi="Times New Roman" w:cs="Times New Roman"/>
          <w:b w:val="0"/>
          <w:i/>
          <w:sz w:val="24"/>
        </w:rPr>
        <w:t>cost recovery</w:t>
      </w:r>
      <w:r>
        <w:rPr>
          <w:rFonts w:ascii="Times New Roman" w:hAnsi="Times New Roman" w:cs="Times New Roman"/>
          <w:b w:val="0"/>
          <w:i w:val="0"/>
          <w:sz w:val="24"/>
        </w:rPr>
        <w:t>; diizinkan SFAS No. 66 untuk real estat yang ketertagihannya tak terestimasi wajar (Wolk et al., 2017, PDF hlm. 4).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211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bar1_titik_pengaku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1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30" w:before="0" w:after="0"/>
        <w:jc w:val="center"/>
      </w:pPr>
      <w:r>
        <w:rPr>
          <w:rFonts w:ascii="Times New Roman" w:hAnsi="Times New Roman" w:cs="Times New Roman"/>
          <w:b/>
          <w:i w:val="0"/>
          <w:sz w:val="22"/>
        </w:rPr>
        <w:t xml:space="preserve">Gambar 1. </w:t>
      </w:r>
      <w:r>
        <w:rPr>
          <w:rFonts w:ascii="Times New Roman" w:hAnsi="Times New Roman" w:cs="Times New Roman"/>
          <w:b w:val="0"/>
          <w:i w:val="0"/>
          <w:sz w:val="22"/>
        </w:rPr>
        <w:t>Empat titik waktu alternatif pengakuan pendapatan</w:t>
      </w:r>
    </w:p>
    <w:p>
      <w:pPr>
        <w:spacing w:lineRule="exact" w:line="230" w:before="0" w:after="120"/>
        <w:jc w:val="center"/>
      </w:pPr>
      <w:r>
        <w:rPr>
          <w:rFonts w:ascii="Times New Roman" w:hAnsi="Times New Roman" w:cs="Times New Roman"/>
          <w:b w:val="0"/>
          <w:i/>
          <w:sz w:val="22"/>
        </w:rPr>
        <w:t>Sumber: diolah dari Wolk et al. (2017), PDF hlm. 4–5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Pengecualian dan Basis yang Dilarang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Program ekstraksi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lewat SFAS No. 32 FASB mengekstraksi standar dari </w:t>
      </w:r>
      <w:r>
        <w:rPr>
          <w:rFonts w:ascii="Times New Roman" w:hAnsi="Times New Roman" w:cs="Times New Roman"/>
          <w:b w:val="0"/>
          <w:i/>
          <w:sz w:val="24"/>
        </w:rPr>
        <w:t>Guides</w:t>
      </w:r>
      <w:r>
        <w:rPr>
          <w:rFonts w:ascii="Times New Roman" w:hAnsi="Times New Roman" w:cs="Times New Roman"/>
          <w:b w:val="0"/>
          <w:i w:val="0"/>
          <w:sz w:val="24"/>
        </w:rPr>
        <w:t>/SOP AICPA yang tak konsisten, lalu menerbitkannya sebagai SFAS — contoh real estat (No. 66).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Dilarang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basis </w:t>
      </w:r>
      <w:r>
        <w:rPr>
          <w:rFonts w:ascii="Times New Roman" w:hAnsi="Times New Roman" w:cs="Times New Roman"/>
          <w:b/>
          <w:i w:val="0"/>
          <w:sz w:val="24"/>
        </w:rPr>
        <w:t>akresi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accretion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pada kayu hutan dan </w:t>
      </w:r>
      <w:r>
        <w:rPr>
          <w:rFonts w:ascii="Times New Roman" w:hAnsi="Times New Roman" w:cs="Times New Roman"/>
          <w:b/>
          <w:i w:val="0"/>
          <w:sz w:val="24"/>
        </w:rPr>
        <w:t>penemuan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discovery</w:t>
      </w:r>
      <w:r>
        <w:rPr>
          <w:rFonts w:ascii="Times New Roman" w:hAnsi="Times New Roman" w:cs="Times New Roman"/>
          <w:b w:val="0"/>
          <w:i w:val="0"/>
          <w:sz w:val="24"/>
        </w:rPr>
        <w:t>) pada minyak/gas tidak diizinkan literatur otoritatif (Wolk et al., 2017, PDF hlm. 5).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Kriteria Sesungguhnya dan Celah Earnings Management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Penyelesaian proses perolehan laba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completion of the earnings process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): diakui saat peristiwa pemuncaknya terjadi, dengan </w:t>
      </w:r>
      <w:r>
        <w:rPr>
          <w:rFonts w:ascii="Times New Roman" w:hAnsi="Times New Roman" w:cs="Times New Roman"/>
          <w:b/>
          <w:i w:val="0"/>
          <w:sz w:val="24"/>
        </w:rPr>
        <w:t>tiga atribut terukur andal</w:t>
      </w:r>
      <w:r>
        <w:rPr>
          <w:rFonts w:ascii="Times New Roman" w:hAnsi="Times New Roman" w:cs="Times New Roman"/>
          <w:b w:val="0"/>
          <w:i w:val="0"/>
          <w:sz w:val="24"/>
        </w:rPr>
        <w:t>: (a) harga jual, (b) penerimaan kas, (c) biaya masa depan — bila tidak, ditunda.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"Achilles' heel"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sz w:val="24"/>
        </w:rPr>
        <w:t>earnings management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pada </w:t>
      </w:r>
      <w:r>
        <w:rPr>
          <w:rFonts w:ascii="Times New Roman" w:hAnsi="Times New Roman" w:cs="Times New Roman"/>
          <w:b w:val="0"/>
          <w:i/>
          <w:sz w:val="24"/>
        </w:rPr>
        <w:t>swap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kapasitas serat optik, </w:t>
      </w:r>
      <w:r>
        <w:rPr>
          <w:rFonts w:ascii="Times New Roman" w:hAnsi="Times New Roman" w:cs="Times New Roman"/>
          <w:b/>
          <w:i w:val="0"/>
          <w:sz w:val="24"/>
        </w:rPr>
        <w:t>Qwest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membukukan seluruh "pendapatan" seketika padahal sekadar pertukaran aset (Wolk et al., 2017, PDF hlm. 5).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Konvergensi dan Ketegangan FASB–SEC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Standar tunggal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konvergensi FASB–IASB melahirkan </w:t>
      </w:r>
      <w:r>
        <w:rPr>
          <w:rFonts w:ascii="Times New Roman" w:hAnsi="Times New Roman" w:cs="Times New Roman"/>
          <w:b/>
          <w:i w:val="0"/>
          <w:sz w:val="24"/>
        </w:rPr>
        <w:t>ASU 2014-09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dan </w:t>
      </w:r>
      <w:r>
        <w:rPr>
          <w:rFonts w:ascii="Times New Roman" w:hAnsi="Times New Roman" w:cs="Times New Roman"/>
          <w:b/>
          <w:i w:val="0"/>
          <w:sz w:val="24"/>
        </w:rPr>
        <w:t>IFRS 15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SAB 101</w:t>
      </w:r>
      <w:r>
        <w:rPr>
          <w:rFonts w:ascii="Times New Roman" w:hAnsi="Times New Roman" w:cs="Times New Roman"/>
          <w:b w:val="0"/>
          <w:i w:val="0"/>
          <w:sz w:val="24"/>
        </w:rPr>
        <w:t>: SEC menerbitkannya menanggapi pelanggaran pengakuan; FASB mengkritiknya terlalu mengekang — ketegangan institusional yang bisa memuncak bila FASB mengarahkan pengakuan ke valuasi neraca (Wolk et al., 2017, PDF hlm. 6).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Ketegangan reliabilitas vs </w:t>
      </w:r>
      <w:r>
        <w:rPr>
          <w:rFonts w:ascii="Times New Roman" w:hAnsi="Times New Roman" w:cs="Times New Roman"/>
          <w:b w:val="0"/>
          <w:i/>
          <w:sz w:val="24"/>
        </w:rPr>
        <w:t>decision usefulness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inilah latar pengakuan beban dan penandingan pada Bagian IV.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IV. Pengakuan Beban dan Matching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Jika pendapatan soal </w:t>
      </w:r>
      <w:r>
        <w:rPr>
          <w:rFonts w:ascii="Times New Roman" w:hAnsi="Times New Roman" w:cs="Times New Roman"/>
          <w:b w:val="0"/>
          <w:i/>
          <w:sz w:val="24"/>
        </w:rPr>
        <w:t>kapan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arus masuk diakui, beban menghadapi soal </w:t>
      </w:r>
      <w:r>
        <w:rPr>
          <w:rFonts w:ascii="Times New Roman" w:hAnsi="Times New Roman" w:cs="Times New Roman"/>
          <w:b w:val="0"/>
          <w:i/>
          <w:sz w:val="24"/>
        </w:rPr>
        <w:t>bagaimana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membebankan biaya ke periode tepat.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Tiga Kategori Beban dan Hierarki Matching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Tiga kategori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APB Statement 4: (1) biaya </w:t>
      </w:r>
      <w:r>
        <w:rPr>
          <w:rFonts w:ascii="Times New Roman" w:hAnsi="Times New Roman" w:cs="Times New Roman"/>
          <w:b/>
          <w:i w:val="0"/>
          <w:sz w:val="24"/>
        </w:rPr>
        <w:t>berhubungan langsung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dengan pendapatan periode; (2) biaya dikaitkan ke periode atas dasar selain hubungan langsung; (3) biaya yang praktis tak dapat dikaitkan ke periode mana pun.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Hierarki matching tiga tingkat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bila bisa, </w:t>
      </w:r>
      <w:r>
        <w:rPr>
          <w:rFonts w:ascii="Times New Roman" w:hAnsi="Times New Roman" w:cs="Times New Roman"/>
          <w:b/>
          <w:i w:val="0"/>
          <w:sz w:val="24"/>
        </w:rPr>
        <w:t>hubungan sebab-akibat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cause-and-effect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); bila tidak, </w:t>
      </w:r>
      <w:r>
        <w:rPr>
          <w:rFonts w:ascii="Times New Roman" w:hAnsi="Times New Roman" w:cs="Times New Roman"/>
          <w:b/>
          <w:i w:val="0"/>
          <w:sz w:val="24"/>
        </w:rPr>
        <w:t>alokasi sistematis dan rasional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systematic and rational allocation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); bila tak ada keduanya, </w:t>
      </w:r>
      <w:r>
        <w:rPr>
          <w:rFonts w:ascii="Times New Roman" w:hAnsi="Times New Roman" w:cs="Times New Roman"/>
          <w:b/>
          <w:i w:val="0"/>
          <w:sz w:val="24"/>
        </w:rPr>
        <w:t>beban periode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period expense</w:t>
      </w:r>
      <w:r>
        <w:rPr>
          <w:rFonts w:ascii="Times New Roman" w:hAnsi="Times New Roman" w:cs="Times New Roman"/>
          <w:b w:val="0"/>
          <w:i w:val="0"/>
          <w:sz w:val="24"/>
        </w:rPr>
        <w:t>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Letak persoalan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Kategori 2 = pengakuan beban sesungguhnya — standar alokasi tak menetapkan </w:t>
      </w:r>
      <w:r>
        <w:rPr>
          <w:rFonts w:ascii="Times New Roman" w:hAnsi="Times New Roman" w:cs="Times New Roman"/>
          <w:b w:val="0"/>
          <w:i/>
          <w:sz w:val="24"/>
        </w:rPr>
        <w:t>peristiwa pemicu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(Wolk et al., 2017, PDF hlm. 7).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Tesis Thomas: Alokasi Bersifat Arbitrer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Historical cost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wajib mengalokasikan biaya: penyusutan, amortisasi </w:t>
      </w:r>
      <w:r>
        <w:rPr>
          <w:rFonts w:ascii="Times New Roman" w:hAnsi="Times New Roman" w:cs="Times New Roman"/>
          <w:b w:val="0"/>
          <w:i/>
          <w:sz w:val="24"/>
        </w:rPr>
        <w:t>goodwill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&amp; premium/diskon obligasi, hingga metode persediaan (FIFO, LIFO).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Tesis Thomas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memilih satu metode atas lainnya </w:t>
      </w:r>
      <w:r>
        <w:rPr>
          <w:rFonts w:ascii="Times New Roman" w:hAnsi="Times New Roman" w:cs="Times New Roman"/>
          <w:b w:val="0"/>
          <w:i/>
          <w:sz w:val="24"/>
        </w:rPr>
        <w:t>meaningless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karena keunggulannya </w:t>
      </w:r>
      <w:r>
        <w:rPr>
          <w:rFonts w:ascii="Times New Roman" w:hAnsi="Times New Roman" w:cs="Times New Roman"/>
          <w:b/>
          <w:i w:val="0"/>
          <w:sz w:val="24"/>
        </w:rPr>
        <w:t>tidak dapat diverifikasi maupun dibantah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can be neither verified nor refuted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— semua alokasi pada akhirnya </w:t>
      </w:r>
      <w:r>
        <w:rPr>
          <w:rFonts w:ascii="Times New Roman" w:hAnsi="Times New Roman" w:cs="Times New Roman"/>
          <w:b/>
          <w:i w:val="0"/>
          <w:sz w:val="24"/>
        </w:rPr>
        <w:t>arbitrer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menggugat klaim reliabilitas pembenaran </w:t>
      </w:r>
      <w:r>
        <w:rPr>
          <w:rFonts w:ascii="Times New Roman" w:hAnsi="Times New Roman" w:cs="Times New Roman"/>
          <w:b w:val="0"/>
          <w:i/>
          <w:sz w:val="24"/>
        </w:rPr>
        <w:t>historical cost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(Wolk et al., 2017, PDF hlm. 8).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Alternatif dan Bantahan Empiris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Allocation-free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sebagian pihak mengadvokasi laporan </w:t>
      </w:r>
      <w:r>
        <w:rPr>
          <w:rFonts w:ascii="Times New Roman" w:hAnsi="Times New Roman" w:cs="Times New Roman"/>
          <w:b/>
          <w:i w:val="0"/>
          <w:sz w:val="24"/>
        </w:rPr>
        <w:t>bebas alokasi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sz w:val="24"/>
        </w:rPr>
        <w:t>laporan arus kas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cash flow statements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</w:t>
      </w:r>
      <w:r>
        <w:rPr>
          <w:rFonts w:ascii="Times New Roman" w:hAnsi="Times New Roman" w:cs="Times New Roman"/>
          <w:b/>
          <w:i w:val="0"/>
          <w:sz w:val="24"/>
        </w:rPr>
        <w:t>sistem harga keluar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exit-price systems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dan </w:t>
      </w:r>
      <w:r>
        <w:rPr>
          <w:rFonts w:ascii="Times New Roman" w:hAnsi="Times New Roman" w:cs="Times New Roman"/>
          <w:b/>
          <w:i w:val="0"/>
          <w:sz w:val="24"/>
        </w:rPr>
        <w:t>sistem biaya pengganti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replacement-cost systems</w:t>
      </w:r>
      <w:r>
        <w:rPr>
          <w:rFonts w:ascii="Times New Roman" w:hAnsi="Times New Roman" w:cs="Times New Roman"/>
          <w:b w:val="0"/>
          <w:i w:val="0"/>
          <w:sz w:val="24"/>
        </w:rPr>
        <w:t>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Bantahan information content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meski arbitrer, angka laba tetap punya </w:t>
      </w:r>
      <w:r>
        <w:rPr>
          <w:rFonts w:ascii="Times New Roman" w:hAnsi="Times New Roman" w:cs="Times New Roman"/>
          <w:b/>
          <w:i w:val="0"/>
          <w:sz w:val="24"/>
        </w:rPr>
        <w:t>kandungan informasi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information content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); riset </w:t>
      </w:r>
      <w:r>
        <w:rPr>
          <w:rFonts w:ascii="Times New Roman" w:hAnsi="Times New Roman" w:cs="Times New Roman"/>
          <w:b w:val="0"/>
          <w:i/>
          <w:sz w:val="24"/>
        </w:rPr>
        <w:t>capital market research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(Bab 8) menunjukkan kegunaannya soal empiris yang melampaui logika deduktif (Wolk et al., 2017, PDF hlm. 8).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Selanjutnya kita beralih ke peran </w:t>
      </w:r>
      <w:r>
        <w:rPr>
          <w:rFonts w:ascii="Times New Roman" w:hAnsi="Times New Roman" w:cs="Times New Roman"/>
          <w:b/>
          <w:i w:val="0"/>
          <w:sz w:val="24"/>
        </w:rPr>
        <w:t>peristiwa masa depan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future events</w:t>
      </w:r>
      <w:r>
        <w:rPr>
          <w:rFonts w:ascii="Times New Roman" w:hAnsi="Times New Roman" w:cs="Times New Roman"/>
          <w:b w:val="0"/>
          <w:i w:val="0"/>
          <w:sz w:val="24"/>
        </w:rPr>
        <w:t>) dalam pengakuan, pokok Bagian V.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V. Future Events dan Pengakuan Akuntansi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Pencatatan akuntansi selalu bergantung pada tafsiran atas </w:t>
      </w:r>
      <w:r>
        <w:rPr>
          <w:rFonts w:ascii="Times New Roman" w:hAnsi="Times New Roman" w:cs="Times New Roman"/>
          <w:b/>
          <w:i w:val="0"/>
          <w:sz w:val="24"/>
        </w:rPr>
        <w:t>peristiwa masa depan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future events</w:t>
      </w:r>
      <w:r>
        <w:rPr>
          <w:rFonts w:ascii="Times New Roman" w:hAnsi="Times New Roman" w:cs="Times New Roman"/>
          <w:b w:val="0"/>
          <w:i w:val="0"/>
          <w:sz w:val="24"/>
        </w:rPr>
        <w:t>) (Wolk et al., 2017, PDF hlm. 8).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Mengapa Masa Depan Selalu Ikut Dihitung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Akrual &amp; deferral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bergantung pada peristiwa masa depan dalam derajat berbeda (mis. depresiasi bergantung umur ekonomis dan nilai sisa).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SFAC No. 6</w:t>
      </w:r>
      <w:r>
        <w:rPr>
          <w:rFonts w:ascii="Times New Roman" w:hAnsi="Times New Roman" w:cs="Times New Roman"/>
          <w:b w:val="0"/>
          <w:i w:val="0"/>
          <w:sz w:val="24"/>
        </w:rPr>
        <w:t>: aset dan liabilitas menyeimbangkan transaksi masa lalu dengan manfaat/pengorbanan masa depan; definisi serupa dipakai IASB, Inggris, Australia, Kanada (Wolk et al., 2017, PDF hlm. 8–9).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One-Event vs Two-Event View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One-event view</w:t>
      </w:r>
      <w:r>
        <w:rPr>
          <w:rFonts w:ascii="Times New Roman" w:hAnsi="Times New Roman" w:cs="Times New Roman"/>
          <w:b w:val="0"/>
          <w:i w:val="0"/>
          <w:sz w:val="24"/>
        </w:rPr>
        <w:t>: liabilitas diakui saat peristiwa awal (mis. tawaran pensiun dini dibuat), bergantung estimasi probabilistik.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Two-event view</w:t>
      </w:r>
      <w:r>
        <w:rPr>
          <w:rFonts w:ascii="Times New Roman" w:hAnsi="Times New Roman" w:cs="Times New Roman"/>
          <w:b w:val="0"/>
          <w:i w:val="0"/>
          <w:sz w:val="24"/>
        </w:rPr>
        <w:t>: liabilitas diakui saat peristiwa kedua (mis. karyawan menerima). Keduanya konsisten dengan SFAC No. 6 (Wolk et al., 2017, PDF hlm. 9).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Sifat Probabilistik dan Tiga Pendekatan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SFAS No. 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loss contingencies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): gradasi </w:t>
      </w:r>
      <w:r>
        <w:rPr>
          <w:rFonts w:ascii="Times New Roman" w:hAnsi="Times New Roman" w:cs="Times New Roman"/>
          <w:b w:val="0"/>
          <w:i/>
          <w:sz w:val="24"/>
        </w:rPr>
        <w:t>probable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(&gt;50%), </w:t>
      </w:r>
      <w:r>
        <w:rPr>
          <w:rFonts w:ascii="Times New Roman" w:hAnsi="Times New Roman" w:cs="Times New Roman"/>
          <w:b w:val="0"/>
          <w:i/>
          <w:sz w:val="24"/>
        </w:rPr>
        <w:t>reasonably possible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 w:val="0"/>
          <w:i/>
          <w:sz w:val="24"/>
        </w:rPr>
        <w:t>remote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Tiga pendekatan</w:t>
      </w:r>
      <w:r>
        <w:rPr>
          <w:rFonts w:ascii="Times New Roman" w:hAnsi="Times New Roman" w:cs="Times New Roman"/>
          <w:b w:val="0"/>
          <w:i w:val="0"/>
          <w:sz w:val="24"/>
        </w:rPr>
        <w:t>: modal (peristiwa tunggal paling mungkin); probabilitas tertimbang (hasil × probabilitas); probabilitas kumulatif (akui jika kombinasi &gt;50%) (Wolk et al., 2017, PDF hlm. 9–10).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Yang Ditolak dan Yang Dianjurkan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Tolak *management intent</w:t>
      </w:r>
      <w:r>
        <w:rPr>
          <w:rFonts w:ascii="Times New Roman" w:hAnsi="Times New Roman" w:cs="Times New Roman"/>
          <w:b w:val="0"/>
          <w:i/>
          <w:sz w:val="24"/>
        </w:rPr>
        <w:t xml:space="preserve">: rawan berubah dan rawan </w:t>
      </w:r>
      <w:r>
        <w:rPr>
          <w:rFonts w:ascii="Times New Roman" w:hAnsi="Times New Roman" w:cs="Times New Roman"/>
          <w:b w:val="0"/>
          <w:i/>
          <w:sz w:val="24"/>
        </w:rPr>
        <w:t>teori keagenan</w:t>
      </w:r>
      <w:r>
        <w:rPr>
          <w:rFonts w:ascii="Times New Roman" w:hAnsi="Times New Roman" w:cs="Times New Roman"/>
          <w:b w:val="0"/>
          <w:i/>
          <w:sz w:val="24"/>
        </w:rPr>
        <w:t xml:space="preserve">, menurunkan </w:t>
      </w:r>
      <w:r>
        <w:rPr>
          <w:rFonts w:ascii="Times New Roman" w:hAnsi="Times New Roman" w:cs="Times New Roman"/>
          <w:b w:val="0"/>
          <w:i/>
          <w:sz w:val="24"/>
        </w:rPr>
        <w:t>keterbandingan</w:t>
      </w:r>
      <w:r>
        <w:rPr>
          <w:rFonts w:ascii="Times New Roman" w:hAnsi="Times New Roman" w:cs="Times New Roman"/>
          <w:b w:val="0"/>
          <w:i/>
          <w:sz w:val="24"/>
        </w:rPr>
        <w:t xml:space="preserve"> (</w:t>
      </w:r>
      <w:r>
        <w:rPr>
          <w:rFonts w:ascii="Times New Roman" w:hAnsi="Times New Roman" w:cs="Times New Roman"/>
          <w:b w:val="0"/>
          <w:i w:val="0"/>
          <w:sz w:val="24"/>
        </w:rPr>
        <w:t>comparability*).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Beaver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Times New Roman" w:hAnsi="Times New Roman" w:cs="Times New Roman"/>
          <w:b w:val="0"/>
          <w:i/>
          <w:sz w:val="24"/>
        </w:rPr>
        <w:t>market values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kaya informasi (sekuritas tipis menggerus </w:t>
      </w:r>
      <w:r>
        <w:rPr>
          <w:rFonts w:ascii="Times New Roman" w:hAnsi="Times New Roman" w:cs="Times New Roman"/>
          <w:b/>
          <w:i w:val="0"/>
          <w:sz w:val="24"/>
        </w:rPr>
        <w:t>representational faithfulness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); </w:t>
      </w:r>
      <w:r>
        <w:rPr>
          <w:rFonts w:ascii="Times New Roman" w:hAnsi="Times New Roman" w:cs="Times New Roman"/>
          <w:b w:val="0"/>
          <w:i/>
          <w:sz w:val="24"/>
        </w:rPr>
        <w:t>conservatism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unggul menyebarkan berita buruk.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Hanya hukum yang disahkan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jangan ramalkan perubahan ekonomi/hukum kecuali sudah jadi undang-undang — seperti </w:t>
      </w:r>
      <w:r>
        <w:rPr>
          <w:rFonts w:ascii="Times New Roman" w:hAnsi="Times New Roman" w:cs="Times New Roman"/>
          <w:b/>
          <w:i w:val="0"/>
          <w:sz w:val="24"/>
        </w:rPr>
        <w:t>SFAS No. 109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yang mengasumsikan tarif pajak masa depan sama dengan tarif kini hingga diberlakukan secara hukum (Wolk et al., 2017, PDF hlm. 10).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Berikutnya kita masuk ke perdebatan </w:t>
      </w:r>
      <w:r>
        <w:rPr>
          <w:rFonts w:ascii="Times New Roman" w:hAnsi="Times New Roman" w:cs="Times New Roman"/>
          <w:b w:val="0"/>
          <w:i/>
          <w:sz w:val="24"/>
        </w:rPr>
        <w:t>current operating versus all-inclusive income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pada Bagian VI.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VI. Current Operating versus All-Inclusive Income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Hingga 1968 ada kontroversi: di mana untung-rugi </w:t>
      </w:r>
      <w:r>
        <w:rPr>
          <w:rFonts w:ascii="Times New Roman" w:hAnsi="Times New Roman" w:cs="Times New Roman"/>
          <w:b/>
          <w:i w:val="0"/>
          <w:sz w:val="24"/>
        </w:rPr>
        <w:t>tidak lazim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unusual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dan </w:t>
      </w:r>
      <w:r>
        <w:rPr>
          <w:rFonts w:ascii="Times New Roman" w:hAnsi="Times New Roman" w:cs="Times New Roman"/>
          <w:b/>
          <w:i w:val="0"/>
          <w:sz w:val="24"/>
        </w:rPr>
        <w:t>jarang terjadi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infrequent</w:t>
      </w:r>
      <w:r>
        <w:rPr>
          <w:rFonts w:ascii="Times New Roman" w:hAnsi="Times New Roman" w:cs="Times New Roman"/>
          <w:b w:val="0"/>
          <w:i w:val="0"/>
          <w:sz w:val="24"/>
        </w:rPr>
        <w:t>) disajikan — di laporan laba rugi atau laba ditahan? (Wolk et al., 2017, PDF hlm. 11).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Dua Aliran yang Bersaing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Current operating</w:t>
      </w:r>
      <w:r>
        <w:rPr>
          <w:rFonts w:ascii="Times New Roman" w:hAnsi="Times New Roman" w:cs="Times New Roman"/>
          <w:b w:val="0"/>
          <w:i w:val="0"/>
          <w:sz w:val="24"/>
        </w:rPr>
        <w:t>: laporan laba rugi hanya memuat pos operasi normal; pos nonoperasi masuk laba ditahan.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All-inclusive</w:t>
      </w:r>
      <w:r>
        <w:rPr>
          <w:rFonts w:ascii="Times New Roman" w:hAnsi="Times New Roman" w:cs="Times New Roman"/>
          <w:b w:val="0"/>
          <w:i w:val="0"/>
          <w:sz w:val="24"/>
        </w:rPr>
        <w:t>: seluruh komponen laba komprehensif masuk laporan laba rugi (Wolk et al., 2017, PDF hlm. 11).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Argumen Tiap Pihak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Pro current operating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lebih berguna menilai </w:t>
      </w:r>
      <w:r>
        <w:rPr>
          <w:rFonts w:ascii="Times New Roman" w:hAnsi="Times New Roman" w:cs="Times New Roman"/>
          <w:b/>
          <w:i w:val="0"/>
          <w:sz w:val="24"/>
        </w:rPr>
        <w:t>kinerja manajemen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dan memprediksi tahun depan bila pos ekstraneus dikeluarkan; karena banyak pengguna hanya menatap </w:t>
      </w:r>
      <w:r>
        <w:rPr>
          <w:rFonts w:ascii="Times New Roman" w:hAnsi="Times New Roman" w:cs="Times New Roman"/>
          <w:b/>
          <w:i w:val="0"/>
          <w:sz w:val="24"/>
        </w:rPr>
        <w:t>laba bersih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bottom-line net income</w:t>
      </w:r>
      <w:r>
        <w:rPr>
          <w:rFonts w:ascii="Times New Roman" w:hAnsi="Times New Roman" w:cs="Times New Roman"/>
          <w:b w:val="0"/>
          <w:i w:val="0"/>
          <w:sz w:val="24"/>
        </w:rPr>
        <w:t>), pos nonoperasi material bisa menyesatkan.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All-inclusive (empat argumen)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(1) anti-manipulasi — </w:t>
      </w:r>
      <w:r>
        <w:rPr>
          <w:rFonts w:ascii="Times New Roman" w:hAnsi="Times New Roman" w:cs="Times New Roman"/>
          <w:b w:val="0"/>
          <w:i/>
          <w:sz w:val="24"/>
        </w:rPr>
        <w:t>current operating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mengundang </w:t>
      </w:r>
      <w:r>
        <w:rPr>
          <w:rFonts w:ascii="Times New Roman" w:hAnsi="Times New Roman" w:cs="Times New Roman"/>
          <w:b/>
          <w:i w:val="0"/>
          <w:sz w:val="24"/>
        </w:rPr>
        <w:t>manipulasi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karena manajemen menentukan keluarbiasaan pos; (2) transparansi — pengguna tersesat oleh untung-rugi besar "tersembunyi" di laba ditahan; (3) identitas penjumlahan — total laba selintas tahun harus sama dengan laba bersih, hanya all-inclusive yang menjaminnya; (4) </w:t>
      </w:r>
      <w:r>
        <w:rPr>
          <w:rFonts w:ascii="Times New Roman" w:hAnsi="Times New Roman" w:cs="Times New Roman"/>
          <w:b/>
          <w:i w:val="0"/>
          <w:sz w:val="24"/>
        </w:rPr>
        <w:t>klasifikasi yang tepat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dalam satu laporan sudah memisahkan pos berulang dari tidak lazim — tampak ketegangan antara kegunaan-keputusan dan </w:t>
      </w:r>
      <w:r>
        <w:rPr>
          <w:rFonts w:ascii="Times New Roman" w:hAnsi="Times New Roman" w:cs="Times New Roman"/>
          <w:b w:val="0"/>
          <w:i/>
          <w:sz w:val="24"/>
        </w:rPr>
        <w:t>earnings management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(Wolk et al., 2017, PDF hlm. 11).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Jejak Historis Standar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AAA 1936</w:t>
      </w:r>
      <w:r>
        <w:rPr>
          <w:rFonts w:ascii="Times New Roman" w:hAnsi="Times New Roman" w:cs="Times New Roman"/>
          <w:b w:val="0"/>
          <w:i w:val="0"/>
          <w:sz w:val="24"/>
        </w:rPr>
        <w:t>: menyokong all-inclusive.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AICPA / ARB 43</w:t>
      </w:r>
      <w:r>
        <w:rPr>
          <w:rFonts w:ascii="Times New Roman" w:hAnsi="Times New Roman" w:cs="Times New Roman"/>
          <w:b w:val="0"/>
          <w:i w:val="0"/>
          <w:sz w:val="24"/>
        </w:rPr>
        <w:t>: memihak current operating; pos luar biasa diarahkan langsung ke akun surplus.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APB Opinion No. 9 (Des 1966)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titik balik ke </w:t>
      </w:r>
      <w:r>
        <w:rPr>
          <w:rFonts w:ascii="Times New Roman" w:hAnsi="Times New Roman" w:cs="Times New Roman"/>
          <w:b/>
          <w:i w:val="0"/>
          <w:sz w:val="24"/>
        </w:rPr>
        <w:t>modified all-inclusive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pos nonoperasi jarang (kecuali penyesuaian periode lalu) masuk laba bersih, dilaporkan terpisah.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ASU Juni 2011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pilihan menyajikan laba komprehensif dalam </w:t>
      </w:r>
      <w:r>
        <w:rPr>
          <w:rFonts w:ascii="Times New Roman" w:hAnsi="Times New Roman" w:cs="Times New Roman"/>
          <w:b/>
          <w:i w:val="0"/>
          <w:sz w:val="24"/>
        </w:rPr>
        <w:t>satu atau dua laporan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one or two statement</w:t>
      </w:r>
      <w:r>
        <w:rPr>
          <w:rFonts w:ascii="Times New Roman" w:hAnsi="Times New Roman" w:cs="Times New Roman"/>
          <w:b w:val="0"/>
          <w:i w:val="0"/>
          <w:sz w:val="24"/>
        </w:rPr>
        <w:t>) (Wolk et al., 2017, PDF hlm. 11).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Bukti Empiris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Gonedes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pos laba nonoperasi tak punya </w:t>
      </w:r>
      <w:r>
        <w:rPr>
          <w:rFonts w:ascii="Times New Roman" w:hAnsi="Times New Roman" w:cs="Times New Roman"/>
          <w:b/>
          <w:i w:val="0"/>
          <w:sz w:val="24"/>
        </w:rPr>
        <w:t>kandungan informasi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information content</w:t>
      </w:r>
      <w:r>
        <w:rPr>
          <w:rFonts w:ascii="Times New Roman" w:hAnsi="Times New Roman" w:cs="Times New Roman"/>
          <w:b w:val="0"/>
          <w:i w:val="0"/>
          <w:sz w:val="24"/>
        </w:rPr>
        <w:t>) tambahan — mendukung current operating.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Studi tandingan</w:t>
      </w:r>
      <w:r>
        <w:rPr>
          <w:rFonts w:ascii="Times New Roman" w:hAnsi="Times New Roman" w:cs="Times New Roman"/>
          <w:b w:val="0"/>
          <w:i w:val="0"/>
          <w:sz w:val="24"/>
        </w:rPr>
        <w:t>: sebagian pos nonoperasi berasosiasi signifikan dengan harga sekuritas, arah berlawanan — "berita buruk" justru positif.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Teori *big bath</w:t>
      </w:r>
      <w:r>
        <w:rPr>
          <w:rFonts w:ascii="Times New Roman" w:hAnsi="Times New Roman" w:cs="Times New Roman"/>
          <w:b w:val="0"/>
          <w:i/>
          <w:sz w:val="24"/>
        </w:rPr>
        <w:t xml:space="preserve">: pasar merespons positif saat masalah besar diakui terbuka; </w:t>
      </w:r>
      <w:r>
        <w:rPr>
          <w:rFonts w:ascii="Times New Roman" w:hAnsi="Times New Roman" w:cs="Times New Roman"/>
          <w:b w:val="0"/>
          <w:i/>
          <w:sz w:val="24"/>
        </w:rPr>
        <w:t>Citicorp 1987</w:t>
      </w:r>
      <w:r>
        <w:rPr>
          <w:rFonts w:ascii="Times New Roman" w:hAnsi="Times New Roman" w:cs="Times New Roman"/>
          <w:b w:val="0"/>
          <w:i w:val="0"/>
          <w:sz w:val="24"/>
        </w:rPr>
        <w:t>* mengakui kerugian $3 miliar atas pinjaman luar negeri, sahamnya naik ~5% sehari kemudian (Wolk et al., 2017, PDF hlm. 12).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Logika all-inclusive yang ditarik ke kesimpulan terjauh membawa kita pada laba komprehensif, pokok Bagian VII.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312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bar4_evolusi_lab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1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30" w:before="0" w:after="0"/>
        <w:jc w:val="center"/>
      </w:pPr>
      <w:r>
        <w:rPr>
          <w:rFonts w:ascii="Times New Roman" w:hAnsi="Times New Roman" w:cs="Times New Roman"/>
          <w:b/>
          <w:i w:val="0"/>
          <w:sz w:val="22"/>
        </w:rPr>
        <w:t xml:space="preserve">Gambar 4. </w:t>
      </w:r>
      <w:r>
        <w:rPr>
          <w:rFonts w:ascii="Times New Roman" w:hAnsi="Times New Roman" w:cs="Times New Roman"/>
          <w:b w:val="0"/>
          <w:i w:val="0"/>
          <w:sz w:val="22"/>
        </w:rPr>
        <w:t>Evolusi pelaporan laba: dari current operating menuju all-inclusive dan comprehensive income</w:t>
      </w:r>
    </w:p>
    <w:p>
      <w:pPr>
        <w:spacing w:lineRule="exact" w:line="230" w:before="0" w:after="120"/>
        <w:jc w:val="center"/>
      </w:pPr>
      <w:r>
        <w:rPr>
          <w:rFonts w:ascii="Times New Roman" w:hAnsi="Times New Roman" w:cs="Times New Roman"/>
          <w:b w:val="0"/>
          <w:i/>
          <w:sz w:val="22"/>
        </w:rPr>
        <w:t>Sumber: diolah dari Wolk et al. (2017), PDF hlm. 11–13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VII. Comprehensive Income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/>
          <w:i w:val="0"/>
          <w:sz w:val="24"/>
        </w:rPr>
        <w:t>Laba komprehensif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comprehensive income</w:t>
      </w:r>
      <w:r>
        <w:rPr>
          <w:rFonts w:ascii="Times New Roman" w:hAnsi="Times New Roman" w:cs="Times New Roman"/>
          <w:b w:val="0"/>
          <w:i w:val="0"/>
          <w:sz w:val="24"/>
        </w:rPr>
        <w:t>) adalah dorongan all-inclusive sampai kesimpulan logisnya: ukuran perubahan kekayaan pemilik yang paling menyeluruh (Wolk et al., 2017, PDF hlm. 12).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Konsep dan Dasarnya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SFAC No. 5</w:t>
      </w:r>
      <w:r>
        <w:rPr>
          <w:rFonts w:ascii="Times New Roman" w:hAnsi="Times New Roman" w:cs="Times New Roman"/>
          <w:b w:val="0"/>
          <w:i w:val="0"/>
          <w:sz w:val="24"/>
        </w:rPr>
        <w:t>: laba komprehensif mencakup seluruh perubahan ekuitas kecuali investasi oleh dan distribusi kepada pemilik.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Teori proprietary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proprietary theory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): akarnya, sebab semua perubahan ekuitas memengaruhi kepentingan pemilik; cocok untuk </w:t>
      </w:r>
      <w:r>
        <w:rPr>
          <w:rFonts w:ascii="Times New Roman" w:hAnsi="Times New Roman" w:cs="Times New Roman"/>
          <w:b/>
          <w:i w:val="0"/>
          <w:sz w:val="24"/>
        </w:rPr>
        <w:t>prediksi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dan </w:t>
      </w:r>
      <w:r>
        <w:rPr>
          <w:rFonts w:ascii="Times New Roman" w:hAnsi="Times New Roman" w:cs="Times New Roman"/>
          <w:b/>
          <w:i w:val="0"/>
          <w:sz w:val="24"/>
        </w:rPr>
        <w:t>penilaian ekuitas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equity valuation</w:t>
      </w:r>
      <w:r>
        <w:rPr>
          <w:rFonts w:ascii="Times New Roman" w:hAnsi="Times New Roman" w:cs="Times New Roman"/>
          <w:b w:val="0"/>
          <w:i w:val="0"/>
          <w:sz w:val="24"/>
        </w:rPr>
        <w:t>) (Wolk et al., 2017, PDF hlm. 12).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Elemen OCI dan Pos yang Tetap di Tempat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Elemen OCI (SFAS No. 130)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penyesuaian translasi mata uang asing (mata uang fungsional bukan dolar AS); untung-rugi belum direalisasi atas sekuritas </w:t>
      </w:r>
      <w:r>
        <w:rPr>
          <w:rFonts w:ascii="Times New Roman" w:hAnsi="Times New Roman" w:cs="Times New Roman"/>
          <w:b/>
          <w:i w:val="0"/>
          <w:sz w:val="24"/>
        </w:rPr>
        <w:t>tersedia untuk dijual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available-for-sale</w:t>
      </w:r>
      <w:r>
        <w:rPr>
          <w:rFonts w:ascii="Times New Roman" w:hAnsi="Times New Roman" w:cs="Times New Roman"/>
          <w:b w:val="0"/>
          <w:i w:val="0"/>
          <w:sz w:val="24"/>
        </w:rPr>
        <w:t>); penyesuaian liabilitas pensiun minimum.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Tidak dipindahkan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Times New Roman" w:hAnsi="Times New Roman" w:cs="Times New Roman"/>
          <w:b/>
          <w:i w:val="0"/>
          <w:sz w:val="24"/>
        </w:rPr>
        <w:t>operasi yang dihentikan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discontinued operations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</w:t>
      </w:r>
      <w:r>
        <w:rPr>
          <w:rFonts w:ascii="Times New Roman" w:hAnsi="Times New Roman" w:cs="Times New Roman"/>
          <w:b/>
          <w:i w:val="0"/>
          <w:sz w:val="24"/>
        </w:rPr>
        <w:t>pos luar biasa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extraordinary items</w:t>
      </w:r>
      <w:r>
        <w:rPr>
          <w:rFonts w:ascii="Times New Roman" w:hAnsi="Times New Roman" w:cs="Times New Roman"/>
          <w:b w:val="0"/>
          <w:i w:val="0"/>
          <w:sz w:val="24"/>
        </w:rPr>
        <w:t>), dan efek kumulatif perubahan prinsip tetap di posisi semula.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*Prior period adjustments</w:t>
      </w:r>
      <w:r>
        <w:rPr>
          <w:rFonts w:ascii="Times New Roman" w:hAnsi="Times New Roman" w:cs="Times New Roman"/>
          <w:b w:val="0"/>
          <w:i w:val="0"/>
          <w:sz w:val="24"/>
        </w:rPr>
        <w:t>*: tetap dibebankan langsung ke laba ditahan, sebab penyajian ulang retroaktif laba tahun lalu pada dasarnya sudah menyajikan ulang laba komprehensif periode terdampak (Wolk et al., 2017, PDF hlm. 12).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EPS dan Penilaian Wolk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Tanpa EPS untuk CI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Times New Roman" w:hAnsi="Times New Roman" w:cs="Times New Roman"/>
          <w:b/>
          <w:i w:val="0"/>
          <w:sz w:val="24"/>
        </w:rPr>
        <w:t>laba per saham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earnings per share</w:t>
      </w:r>
      <w:r>
        <w:rPr>
          <w:rFonts w:ascii="Times New Roman" w:hAnsi="Times New Roman" w:cs="Times New Roman"/>
          <w:b w:val="0"/>
          <w:i w:val="0"/>
          <w:sz w:val="24"/>
        </w:rPr>
        <w:t>, EPS) tak dihitung untuk laba komprehensif, sebab bila disajikan di laporan perubahan ekuitas bisa tidak konsisten antarperusahaan.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Penilaian Wolk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tepat tetapi berhati-hati dan </w:t>
      </w:r>
      <w:r>
        <w:rPr>
          <w:rFonts w:ascii="Times New Roman" w:hAnsi="Times New Roman" w:cs="Times New Roman"/>
          <w:b/>
          <w:i w:val="0"/>
          <w:sz w:val="24"/>
        </w:rPr>
        <w:t>evolusioner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evolutionary</w:t>
      </w:r>
      <w:r>
        <w:rPr>
          <w:rFonts w:ascii="Times New Roman" w:hAnsi="Times New Roman" w:cs="Times New Roman"/>
          <w:b w:val="0"/>
          <w:i w:val="0"/>
          <w:sz w:val="24"/>
        </w:rPr>
        <w:t>) — ketegangan antara menyempurnakan ukuran laba dan keengganan mengusik konvensi mapan.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Tiga Format Pelaporan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SFAS No. 130 mengizinkan tiga format: (1) </w:t>
      </w:r>
      <w:r>
        <w:rPr>
          <w:rFonts w:ascii="Times New Roman" w:hAnsi="Times New Roman" w:cs="Times New Roman"/>
          <w:b/>
          <w:i w:val="0"/>
          <w:sz w:val="24"/>
        </w:rPr>
        <w:t>laporan kinerja keuangan gabungan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combined statement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— elemen dan total laba komprehensif di bawah laba bersih; (2) laporan laba komprehensif terpisah dimulai dari laba bersih; (3) di dalam laporan perubahan ekuitas. </w:t>
      </w:r>
      <w:r>
        <w:rPr>
          <w:rFonts w:ascii="Times New Roman" w:hAnsi="Times New Roman" w:cs="Times New Roman"/>
          <w:b/>
          <w:i w:val="0"/>
          <w:sz w:val="24"/>
        </w:rPr>
        <w:t>Preferensi Dewan</w:t>
      </w:r>
      <w:r>
        <w:rPr>
          <w:rFonts w:ascii="Times New Roman" w:hAnsi="Times New Roman" w:cs="Times New Roman"/>
          <w:b w:val="0"/>
          <w:i w:val="0"/>
          <w:sz w:val="24"/>
        </w:rPr>
        <w:t>: format (1).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Dissent dua anggota FASB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kebanyakan perusahaan akan memilih format (3), menggerus </w:t>
      </w:r>
      <w:r>
        <w:rPr>
          <w:rFonts w:ascii="Times New Roman" w:hAnsi="Times New Roman" w:cs="Times New Roman"/>
          <w:b/>
          <w:i w:val="0"/>
          <w:sz w:val="24"/>
        </w:rPr>
        <w:t>kepentingan dan visibilitas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laba komprehensif.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Tanggapan Wolk</w:t>
      </w:r>
      <w:r>
        <w:rPr>
          <w:rFonts w:ascii="Times New Roman" w:hAnsi="Times New Roman" w:cs="Times New Roman"/>
          <w:b w:val="0"/>
          <w:i w:val="0"/>
          <w:sz w:val="24"/>
        </w:rPr>
        <w:t>: kritik valid (fleksibilitas berlebihan), tetapi secara neto SFAS No. 130 tetap menguntungkan penyajian laba (Wolk et al., 2017, PDF hlm. 13).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Setelah meninjau puncak logika all-inclusive ini, kita menelaah seksi nonoperasi laporan laba rugi pada Bagian VIII.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VIII. Seksi Nonoperasi: Extraordinary Items, Accounting Changes, dan Prior Period Adjustments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Sejak APB Opinion No. 9, </w:t>
      </w:r>
      <w:r>
        <w:rPr>
          <w:rFonts w:ascii="Times New Roman" w:hAnsi="Times New Roman" w:cs="Times New Roman"/>
          <w:b/>
          <w:i w:val="0"/>
          <w:sz w:val="24"/>
        </w:rPr>
        <w:t>seksi nonoperasi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memisahkan komponen berulang dari yang tidak berulang demi pengguna yang memproyeksikan masa depan (Wolk et al., 2017, PDF hlm. 13).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Tiga Subdivisi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Isi seksi nonoperasi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Times New Roman" w:hAnsi="Times New Roman" w:cs="Times New Roman"/>
          <w:b/>
          <w:i w:val="0"/>
          <w:sz w:val="24"/>
        </w:rPr>
        <w:t>pos luar biasa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extraordinary items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</w:t>
      </w:r>
      <w:r>
        <w:rPr>
          <w:rFonts w:ascii="Times New Roman" w:hAnsi="Times New Roman" w:cs="Times New Roman"/>
          <w:b/>
          <w:i w:val="0"/>
          <w:sz w:val="24"/>
        </w:rPr>
        <w:t>perubahan akuntansi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accounting changes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dan </w:t>
      </w:r>
      <w:r>
        <w:rPr>
          <w:rFonts w:ascii="Times New Roman" w:hAnsi="Times New Roman" w:cs="Times New Roman"/>
          <w:b/>
          <w:i w:val="0"/>
          <w:sz w:val="24"/>
        </w:rPr>
        <w:t>operasi yang dihentikan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discontinued operations</w:t>
      </w:r>
      <w:r>
        <w:rPr>
          <w:rFonts w:ascii="Times New Roman" w:hAnsi="Times New Roman" w:cs="Times New Roman"/>
          <w:b w:val="0"/>
          <w:i w:val="0"/>
          <w:sz w:val="24"/>
        </w:rPr>
        <w:t>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Ditambah *prior period adjustments</w:t>
      </w:r>
      <w:r>
        <w:rPr>
          <w:rFonts w:ascii="Times New Roman" w:hAnsi="Times New Roman" w:cs="Times New Roman"/>
          <w:b w:val="0"/>
          <w:i/>
          <w:sz w:val="24"/>
        </w:rPr>
        <w:t xml:space="preserve">: ada di laporan laba ditahan, kelanjutan dilema </w:t>
      </w:r>
      <w:r>
        <w:rPr>
          <w:rFonts w:ascii="Times New Roman" w:hAnsi="Times New Roman" w:cs="Times New Roman"/>
          <w:b w:val="0"/>
          <w:i w:val="0"/>
          <w:sz w:val="24"/>
        </w:rPr>
        <w:t>current operating versus all-inclusive* (Wolk et al., 2017, PDF hlm. 13).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Extraordinary Items: dari Finite ke Rigid Uniformity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Pergeseran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dari </w:t>
      </w:r>
      <w:r>
        <w:rPr>
          <w:rFonts w:ascii="Times New Roman" w:hAnsi="Times New Roman" w:cs="Times New Roman"/>
          <w:b/>
          <w:i w:val="0"/>
          <w:sz w:val="24"/>
        </w:rPr>
        <w:t>keseragaman terhingga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finite uniformity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ke </w:t>
      </w:r>
      <w:r>
        <w:rPr>
          <w:rFonts w:ascii="Times New Roman" w:hAnsi="Times New Roman" w:cs="Times New Roman"/>
          <w:b/>
          <w:i w:val="0"/>
          <w:sz w:val="24"/>
        </w:rPr>
        <w:t>keseragaman kaku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rigid uniformity</w:t>
      </w:r>
      <w:r>
        <w:rPr>
          <w:rFonts w:ascii="Times New Roman" w:hAnsi="Times New Roman" w:cs="Times New Roman"/>
          <w:b w:val="0"/>
          <w:i w:val="0"/>
          <w:sz w:val="24"/>
        </w:rPr>
        <w:t>) akibat penyalahgunaan.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ARB 32 / ARB 43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Bab 8 ARB 43 terlalu samar; </w:t>
      </w:r>
      <w:r>
        <w:rPr>
          <w:rFonts w:ascii="Times New Roman" w:hAnsi="Times New Roman" w:cs="Times New Roman"/>
          <w:b/>
          <w:i w:val="0"/>
          <w:sz w:val="24"/>
        </w:rPr>
        <w:t>APB Opinion No. 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menertibkan lewat seksi khusus dengan definisi yang masih ambigu (Wolk et al., 2017, PDF hlm. 13–14).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APB Opinion No. 30 (1973)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keseragaman kaku — pos harus </w:t>
      </w:r>
      <w:r>
        <w:rPr>
          <w:rFonts w:ascii="Times New Roman" w:hAnsi="Times New Roman" w:cs="Times New Roman"/>
          <w:b/>
          <w:i w:val="0"/>
          <w:sz w:val="24"/>
        </w:rPr>
        <w:t>sekaligus tidak lazim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unusual in nature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</w:t>
      </w:r>
      <w:r>
        <w:rPr>
          <w:rFonts w:ascii="Times New Roman" w:hAnsi="Times New Roman" w:cs="Times New Roman"/>
          <w:b/>
          <w:i w:val="0"/>
          <w:sz w:val="24"/>
        </w:rPr>
        <w:t>dan jarang terjadi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infrequent in occurrence</w:t>
      </w:r>
      <w:r>
        <w:rPr>
          <w:rFonts w:ascii="Times New Roman" w:hAnsi="Times New Roman" w:cs="Times New Roman"/>
          <w:b w:val="0"/>
          <w:i w:val="0"/>
          <w:sz w:val="24"/>
        </w:rPr>
        <w:t>); mis. embun beku kebun jeruk Florida tak luar biasa karena lazim tiap 3–4 tahun.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Penyajian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pos luar biasa disajikan </w:t>
      </w:r>
      <w:r>
        <w:rPr>
          <w:rFonts w:ascii="Times New Roman" w:hAnsi="Times New Roman" w:cs="Times New Roman"/>
          <w:b/>
          <w:i w:val="0"/>
          <w:sz w:val="24"/>
        </w:rPr>
        <w:t>di atas laba bersih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dan </w:t>
      </w:r>
      <w:r>
        <w:rPr>
          <w:rFonts w:ascii="Times New Roman" w:hAnsi="Times New Roman" w:cs="Times New Roman"/>
          <w:b/>
          <w:i w:val="0"/>
          <w:sz w:val="24"/>
        </w:rPr>
        <w:t>neto setelah pajak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pos tidak lazim </w:t>
      </w:r>
      <w:r>
        <w:rPr>
          <w:rFonts w:ascii="Times New Roman" w:hAnsi="Times New Roman" w:cs="Times New Roman"/>
          <w:b w:val="0"/>
          <w:i/>
          <w:sz w:val="24"/>
        </w:rPr>
        <w:t>atau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jarang saja disajikan bersama pos berulang, jika material dipisahkan di atas kaption </w:t>
      </w:r>
      <w:r>
        <w:rPr>
          <w:rFonts w:ascii="Times New Roman" w:hAnsi="Times New Roman" w:cs="Times New Roman"/>
          <w:b w:val="0"/>
          <w:i/>
          <w:sz w:val="24"/>
        </w:rPr>
        <w:t>income before extraordinary items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(Wolk et al., 2017, PDF hlm. 14).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Accounting Changes: Tiga Jenis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Tiga kategori</w:t>
      </w:r>
      <w:r>
        <w:rPr>
          <w:rFonts w:ascii="Times New Roman" w:hAnsi="Times New Roman" w:cs="Times New Roman"/>
          <w:b w:val="0"/>
          <w:i w:val="0"/>
          <w:sz w:val="24"/>
        </w:rPr>
        <w:t>: perubahan prinsip akuntansi, perubahan estimasi (mis. umur aset direvisi), dan perubahan entitas pelaporan.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APB Opinion No. 20</w:t>
      </w:r>
      <w:r>
        <w:rPr>
          <w:rFonts w:ascii="Times New Roman" w:hAnsi="Times New Roman" w:cs="Times New Roman"/>
          <w:b w:val="0"/>
          <w:i w:val="0"/>
          <w:sz w:val="24"/>
        </w:rPr>
        <w:t>: efek kumulatif perubahan prinsip dimasukkan tepat di bawah pos luar biasa pada periode berjalan; untuk perubahan entitas mewajibkan penyajian ulang seluruh periode lalu.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SFAS No. 154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mensyaratkan </w:t>
      </w:r>
      <w:r>
        <w:rPr>
          <w:rFonts w:ascii="Times New Roman" w:hAnsi="Times New Roman" w:cs="Times New Roman"/>
          <w:b/>
          <w:i w:val="0"/>
          <w:sz w:val="24"/>
        </w:rPr>
        <w:t>penyajian ulang retrospektif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retrospective restatement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kecuali tidak praktis; perubahan estimasi prospektif, dan perubahan prinsip lewat metode penyusutan kini diperlakukan </w:t>
      </w:r>
      <w:r>
        <w:rPr>
          <w:rFonts w:ascii="Times New Roman" w:hAnsi="Times New Roman" w:cs="Times New Roman"/>
          <w:b/>
          <w:i w:val="0"/>
          <w:sz w:val="24"/>
        </w:rPr>
        <w:t>prospektif sebagai perubahan estimasi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secara umum FASB memihak penyajian ulang retroaktif (Wolk et al., 2017, PDF hlm. 15).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Prior Period Adjustments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Perlakuan dasar</w:t>
      </w:r>
      <w:r>
        <w:rPr>
          <w:rFonts w:ascii="Times New Roman" w:hAnsi="Times New Roman" w:cs="Times New Roman"/>
          <w:b w:val="0"/>
          <w:i w:val="0"/>
          <w:sz w:val="24"/>
        </w:rPr>
        <w:t>: dibebankan/dikreditkan ke saldo awal laba ditahan neto pajak, dikecualikan dari laba bersih berjalan.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APB Opinion No. 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mula-mula menetapkan kriteria restriktif (SEC lewat </w:t>
      </w:r>
      <w:r>
        <w:rPr>
          <w:rFonts w:ascii="Times New Roman" w:hAnsi="Times New Roman" w:cs="Times New Roman"/>
          <w:b w:val="0"/>
          <w:i/>
          <w:sz w:val="24"/>
        </w:rPr>
        <w:t>SAB No. 8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mengeluarkan beban/kredit litigasi); </w:t>
      </w:r>
      <w:r>
        <w:rPr>
          <w:rFonts w:ascii="Times New Roman" w:hAnsi="Times New Roman" w:cs="Times New Roman"/>
          <w:b/>
          <w:i w:val="0"/>
          <w:sz w:val="24"/>
        </w:rPr>
        <w:t>SFAS No. 16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membatasi prior period adjustments hanya pada </w:t>
      </w:r>
      <w:r>
        <w:rPr>
          <w:rFonts w:ascii="Times New Roman" w:hAnsi="Times New Roman" w:cs="Times New Roman"/>
          <w:b/>
          <w:i w:val="0"/>
          <w:sz w:val="24"/>
        </w:rPr>
        <w:t>koreksi kesalahan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periode lalu serta realisasi manfaat pajak atas </w:t>
      </w:r>
      <w:r>
        <w:rPr>
          <w:rFonts w:ascii="Times New Roman" w:hAnsi="Times New Roman" w:cs="Times New Roman"/>
          <w:b/>
          <w:i w:val="0"/>
          <w:sz w:val="24"/>
        </w:rPr>
        <w:t>kerugian operasi terbawa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loss carryforward</w:t>
      </w:r>
      <w:r>
        <w:rPr>
          <w:rFonts w:ascii="Times New Roman" w:hAnsi="Times New Roman" w:cs="Times New Roman"/>
          <w:b w:val="0"/>
          <w:i w:val="0"/>
          <w:sz w:val="24"/>
        </w:rPr>
        <w:t>) prapenggabungan anak perusahaan yang dibeli (Wolk et al., 2017, PDF hlm. 16).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Arsitektur ini menjernihkan distinksi komponen berulang dan </w:t>
      </w:r>
      <w:r>
        <w:rPr>
          <w:rFonts w:ascii="Times New Roman" w:hAnsi="Times New Roman" w:cs="Times New Roman"/>
          <w:b/>
          <w:i w:val="0"/>
          <w:sz w:val="24"/>
        </w:rPr>
        <w:t>transitori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bagi pengguna yang memforecast kinerja — kebutuhan akan ukuran ringkas dan terbandingkan inilah yang melatari </w:t>
      </w:r>
      <w:r>
        <w:rPr>
          <w:rFonts w:ascii="Times New Roman" w:hAnsi="Times New Roman" w:cs="Times New Roman"/>
          <w:b w:val="0"/>
          <w:i/>
          <w:sz w:val="24"/>
        </w:rPr>
        <w:t>earnings per share</w:t>
      </w:r>
      <w:r>
        <w:rPr>
          <w:rFonts w:ascii="Times New Roman" w:hAnsi="Times New Roman" w:cs="Times New Roman"/>
          <w:b w:val="0"/>
          <w:i w:val="0"/>
          <w:sz w:val="24"/>
        </w:rPr>
        <w:t>, Bagian IX.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IX. Earnings per Share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Konsep Indikator Ringkas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Summary indicator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istilah memorandum FASB 1979 </w:t>
      </w:r>
      <w:r>
        <w:rPr>
          <w:rFonts w:ascii="Times New Roman" w:hAnsi="Times New Roman" w:cs="Times New Roman"/>
          <w:b w:val="0"/>
          <w:i/>
          <w:sz w:val="24"/>
        </w:rPr>
        <w:t>Reporting Earnings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untuk satu angka yang mengomunikasikan kinerja luas (Wolk et al., 2017, PDF hlm. 17).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EPS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 w:val="0"/>
          <w:i/>
          <w:sz w:val="24"/>
        </w:rPr>
        <w:t>summary indicator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paling lazim; karena pengguna sangat bersandar padanya, insentif merekayasa besar.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Dari APB 15 yang Kaku ke Suspensi SFAS 21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APB Opinion No. 15 (1969)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aturan kaku agar EPS mencerminkan substansi struktur modal, tetapi begitu kompleks hingga butuh interpretasi </w:t>
      </w:r>
      <w:r>
        <w:rPr>
          <w:rFonts w:ascii="Times New Roman" w:hAnsi="Times New Roman" w:cs="Times New Roman"/>
          <w:b/>
          <w:i w:val="0"/>
          <w:sz w:val="24"/>
        </w:rPr>
        <w:t>116 halaman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SFAS No. 21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menangguhkan APB Opinion No. 15 bagi entitas nonpublik.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Tiga Rasional SFAS 128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SFAS No. 128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buah kerja sama FASB–IASB dengan tiga rasional: </w:t>
      </w:r>
      <w:r>
        <w:rPr>
          <w:rFonts w:ascii="Times New Roman" w:hAnsi="Times New Roman" w:cs="Times New Roman"/>
          <w:b/>
          <w:i w:val="0"/>
          <w:sz w:val="24"/>
        </w:rPr>
        <w:t>komparabilitas internasional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penyederhanaan komputasi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dan </w:t>
      </w:r>
      <w:r>
        <w:rPr>
          <w:rFonts w:ascii="Times New Roman" w:hAnsi="Times New Roman" w:cs="Times New Roman"/>
          <w:b/>
          <w:i w:val="0"/>
          <w:sz w:val="24"/>
        </w:rPr>
        <w:t>revisi pengungkapan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(Wolk et al., 2017, PDF hlm. 17).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Eliminasi PEPS dan Aturan 3%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Penghapusan PEPS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primary EPS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— kategori terdilusi sebagian yang artifisial; menghapusnya adalah kasus klasik </w:t>
      </w:r>
      <w:r>
        <w:rPr>
          <w:rFonts w:ascii="Times New Roman" w:hAnsi="Times New Roman" w:cs="Times New Roman"/>
          <w:b/>
          <w:i w:val="0"/>
          <w:sz w:val="24"/>
        </w:rPr>
        <w:t>"less is more"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Eliminasi aturan 3%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pembebasan menyajikan dilusi penuh bila selisih ≤3% turut dihapus.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Basic vs Diluted EPS dan Rekonsiliasi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Basic EPS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tanpa dilusi; </w:t>
      </w:r>
      <w:r>
        <w:rPr>
          <w:rFonts w:ascii="Times New Roman" w:hAnsi="Times New Roman" w:cs="Times New Roman"/>
          <w:b/>
          <w:i w:val="0"/>
          <w:sz w:val="24"/>
        </w:rPr>
        <w:t>diluted EPS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dilusi maksimum; keduanya wajib di muka laporan laba rugi (bukan laba komprehensif) (Wolk et al., 2017, PDF hlm. 18).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Rekonsiliasi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pembilang dan penyebut basic–diluted wajib direkonsiliasi.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Pelajaran ini diperdalam pada Bagian X.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X. Topik Khusus dalam Pengukuran Laba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Empat topik berikut mempertarungkan </w:t>
      </w:r>
      <w:r>
        <w:rPr>
          <w:rFonts w:ascii="Times New Roman" w:hAnsi="Times New Roman" w:cs="Times New Roman"/>
          <w:b w:val="0"/>
          <w:i/>
          <w:sz w:val="24"/>
        </w:rPr>
        <w:t>decision usefulness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 w:val="0"/>
          <w:i/>
          <w:sz w:val="24"/>
        </w:rPr>
        <w:t>representational faithfulness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dan </w:t>
      </w:r>
      <w:r>
        <w:rPr>
          <w:rFonts w:ascii="Times New Roman" w:hAnsi="Times New Roman" w:cs="Times New Roman"/>
          <w:b w:val="0"/>
          <w:i/>
          <w:sz w:val="24"/>
        </w:rPr>
        <w:t>economic consequences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(Wolk et al., 2017, PDF hlm. 18).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Development Stage Enterprises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Definisi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 w:val="0"/>
          <w:i/>
          <w:sz w:val="24"/>
        </w:rPr>
        <w:t>development stage enterprise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merintis usaha baru, belum berpendapatan berarti (Wolk et al., 2017, PDF hlm. 18–19).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SFAS No. 7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perlakuan ditentukan </w:t>
      </w:r>
      <w:r>
        <w:rPr>
          <w:rFonts w:ascii="Times New Roman" w:hAnsi="Times New Roman" w:cs="Times New Roman"/>
          <w:b/>
          <w:i w:val="0"/>
          <w:sz w:val="24"/>
        </w:rPr>
        <w:t>sifat biaya, bukan sifat entitas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rigid uniformity</w:t>
      </w:r>
      <w:r>
        <w:rPr>
          <w:rFonts w:ascii="Times New Roman" w:hAnsi="Times New Roman" w:cs="Times New Roman"/>
          <w:b w:val="0"/>
          <w:i w:val="0"/>
          <w:sz w:val="24"/>
        </w:rPr>
        <w:t>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Troubled Debt Restructuring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Definisi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 w:val="0"/>
          <w:i/>
          <w:sz w:val="24"/>
        </w:rPr>
        <w:t>troubled debt restructuring</w:t>
      </w:r>
      <w:r>
        <w:rPr>
          <w:rFonts w:ascii="Times New Roman" w:hAnsi="Times New Roman" w:cs="Times New Roman"/>
          <w:b w:val="0"/>
          <w:i w:val="0"/>
          <w:sz w:val="24"/>
        </w:rPr>
        <w:t>: kreditor memberi konsesi karena debitor kesulitan (Wolk et al., 2017, PDF hlm. 19–20).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SFAS No. 15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"kemenangan konsekuensi ekonomi atas kesetiaan representasional": selama arus kas </w:t>
      </w:r>
      <w:r>
        <w:rPr>
          <w:rFonts w:ascii="Times New Roman" w:hAnsi="Times New Roman" w:cs="Times New Roman"/>
          <w:b/>
          <w:i w:val="0"/>
          <w:sz w:val="24"/>
        </w:rPr>
        <w:t>tanpa didiskontokan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menutup nilai tercatat, untung-rugi nihil.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SFAS No. 114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kreditor mendiskontokan arus kas pada </w:t>
      </w:r>
      <w:r>
        <w:rPr>
          <w:rFonts w:ascii="Times New Roman" w:hAnsi="Times New Roman" w:cs="Times New Roman"/>
          <w:b/>
          <w:i w:val="0"/>
          <w:sz w:val="24"/>
        </w:rPr>
        <w:t>suku bunga efektif awal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original effective rate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sebagai </w:t>
      </w:r>
      <w:r>
        <w:rPr>
          <w:rFonts w:ascii="Times New Roman" w:hAnsi="Times New Roman" w:cs="Times New Roman"/>
          <w:b w:val="0"/>
          <w:i/>
          <w:sz w:val="24"/>
        </w:rPr>
        <w:t>bad debt expense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sz w:val="24"/>
        </w:rPr>
        <w:t>dua dissent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memilih suku bunga pasar terkini.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Asimetri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hanya kreditor terikat SFAS No. 114, debitor tetap SFAS No. 15.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Early Extinguishment of Debt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APB Opinion No. 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 w:val="0"/>
          <w:i/>
          <w:sz w:val="24"/>
        </w:rPr>
        <w:t>early extinguishment of debt</w:t>
      </w:r>
      <w:r>
        <w:rPr>
          <w:rFonts w:ascii="Times New Roman" w:hAnsi="Times New Roman" w:cs="Times New Roman"/>
          <w:b w:val="0"/>
          <w:i w:val="0"/>
          <w:sz w:val="24"/>
        </w:rPr>
        <w:t>: pengakuan kini, semula luar biasa (Wolk et al., 2017, PDF hlm. 20).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APB Opinion No. 30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flip sembilan bulan menjadi </w:t>
      </w:r>
      <w:r>
        <w:rPr>
          <w:rFonts w:ascii="Times New Roman" w:hAnsi="Times New Roman" w:cs="Times New Roman"/>
          <w:b/>
          <w:i w:val="0"/>
          <w:sz w:val="24"/>
        </w:rPr>
        <w:t>bukan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pos luar biasa.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SFAS No. 4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bila material, dilaporkan layaknya pos luar biasa, </w:t>
      </w:r>
      <w:r>
        <w:rPr>
          <w:rFonts w:ascii="Times New Roman" w:hAnsi="Times New Roman" w:cs="Times New Roman"/>
          <w:b/>
          <w:i w:val="0"/>
          <w:sz w:val="24"/>
        </w:rPr>
        <w:t>neto setelah pajak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Stock Options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Tujuan vs penyalahgunaan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 w:val="0"/>
          <w:i/>
          <w:sz w:val="24"/>
        </w:rPr>
        <w:t>stock options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menyelaraskan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kepentingan manajemen dan pemegang saham (teori keagenan), namun mendorong manipulasi—</w:t>
      </w:r>
      <w:r>
        <w:rPr>
          <w:rFonts w:ascii="Times New Roman" w:hAnsi="Times New Roman" w:cs="Times New Roman"/>
          <w:b/>
          <w:i w:val="0"/>
          <w:sz w:val="24"/>
        </w:rPr>
        <w:t>WorldCom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mengapitalisasi ~US$7 miliar beban (Wolk et al., 2017, PDF hlm. 20–21).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APB Opinion No. 25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membebankan selisih nilai pasar–harga pelaksanaan pada </w:t>
      </w:r>
      <w:r>
        <w:rPr>
          <w:rFonts w:ascii="Times New Roman" w:hAnsi="Times New Roman" w:cs="Times New Roman"/>
          <w:b/>
          <w:i w:val="0"/>
          <w:sz w:val="24"/>
        </w:rPr>
        <w:t>tanggal pengukuran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Exposure draft Juni 1993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usul pengukuran </w:t>
      </w:r>
      <w:r>
        <w:rPr>
          <w:rFonts w:ascii="Times New Roman" w:hAnsi="Times New Roman" w:cs="Times New Roman"/>
          <w:b/>
          <w:i w:val="0"/>
          <w:sz w:val="24"/>
        </w:rPr>
        <w:t>Black-Scholes</w:t>
      </w:r>
      <w:r>
        <w:rPr>
          <w:rFonts w:ascii="Times New Roman" w:hAnsi="Times New Roman" w:cs="Times New Roman"/>
          <w:b w:val="0"/>
          <w:i w:val="0"/>
          <w:sz w:val="24"/>
        </w:rPr>
        <w:t>, ditarik Desember 1994 akibat kritik dan tekanan eksekutif (Wolk et al., 2017, PDF hlm. 22–23).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SFAS No. 123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mundur ke catatan kaki; </w:t>
      </w:r>
      <w:r>
        <w:rPr>
          <w:rFonts w:ascii="Times New Roman" w:hAnsi="Times New Roman" w:cs="Times New Roman"/>
          <w:b/>
          <w:i w:val="0"/>
          <w:sz w:val="24"/>
        </w:rPr>
        <w:t>SFAS No. 123R (2004)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wajib mengakui beban berbasis </w:t>
      </w:r>
      <w:r>
        <w:rPr>
          <w:rFonts w:ascii="Times New Roman" w:hAnsi="Times New Roman" w:cs="Times New Roman"/>
          <w:b/>
          <w:i w:val="0"/>
          <w:sz w:val="24"/>
        </w:rPr>
        <w:t>nilai wajar tanggal pemberian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dekat </w:t>
      </w:r>
      <w:r>
        <w:rPr>
          <w:rFonts w:ascii="Times New Roman" w:hAnsi="Times New Roman" w:cs="Times New Roman"/>
          <w:b/>
          <w:i w:val="0"/>
          <w:sz w:val="24"/>
        </w:rPr>
        <w:t>IFRS 2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Backdating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penetapan tanggal ke harga terendah; Efendi et al. menemukan pergantian paksa CEO/CFO meningkat.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Teori entitas vs proprietari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di </w:t>
      </w:r>
      <w:r>
        <w:rPr>
          <w:rFonts w:ascii="Times New Roman" w:hAnsi="Times New Roman" w:cs="Times New Roman"/>
          <w:b w:val="0"/>
          <w:i/>
          <w:sz w:val="24"/>
        </w:rPr>
        <w:t>entity theory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penerima opsi adalah pemilik (biaya peluang); di </w:t>
      </w:r>
      <w:r>
        <w:rPr>
          <w:rFonts w:ascii="Times New Roman" w:hAnsi="Times New Roman" w:cs="Times New Roman"/>
          <w:b w:val="0"/>
          <w:i/>
          <w:sz w:val="24"/>
        </w:rPr>
        <w:t>proprietary theory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opsi biaya riil karena saham terdilusi. Wolk usul reformat: </w:t>
      </w:r>
      <w:r>
        <w:rPr>
          <w:rFonts w:ascii="Times New Roman" w:hAnsi="Times New Roman" w:cs="Times New Roman"/>
          <w:b/>
          <w:i w:val="0"/>
          <w:sz w:val="24"/>
        </w:rPr>
        <w:t>laba entitas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dikurangi bunga dan opsi menjadi </w:t>
      </w:r>
      <w:r>
        <w:rPr>
          <w:rFonts w:ascii="Times New Roman" w:hAnsi="Times New Roman" w:cs="Times New Roman"/>
          <w:b/>
          <w:i w:val="0"/>
          <w:sz w:val="24"/>
        </w:rPr>
        <w:t>laba proprietari</w:t>
      </w:r>
      <w:r>
        <w:rPr>
          <w:rFonts w:ascii="Times New Roman" w:hAnsi="Times New Roman" w:cs="Times New Roman"/>
          <w:b w:val="0"/>
          <w:i w:val="0"/>
          <w:sz w:val="24"/>
        </w:rPr>
        <w:t>, berartikulasi dengan arus kas (Wolk et al., 2017, PDF hlm. 23–24).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Diskresi ini menjadikan pengukuran laba alat </w:t>
      </w:r>
      <w:r>
        <w:rPr>
          <w:rFonts w:ascii="Times New Roman" w:hAnsi="Times New Roman" w:cs="Times New Roman"/>
          <w:b/>
          <w:i w:val="0"/>
          <w:sz w:val="24"/>
        </w:rPr>
        <w:t>manajemen laba</w:t>
      </w:r>
      <w:r>
        <w:rPr>
          <w:rFonts w:ascii="Times New Roman" w:hAnsi="Times New Roman" w:cs="Times New Roman"/>
          <w:b w:val="0"/>
          <w:i w:val="0"/>
          <w:sz w:val="24"/>
        </w:rPr>
        <w:t>—Bagian XI.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XI. Earnings Management dan Income Smoothing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Definisi dan Motif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Definisi Schipper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"intervensi yang disengaja dalam proses pelaporan keuangan eksternal dengan maksud memperoleh keuntungan privat" (Wolk et al., 2017, PDF hlm. 24).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Akar teori keagenan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agency theory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— tiga motif: </w:t>
      </w:r>
      <w:r>
        <w:rPr>
          <w:rFonts w:ascii="Times New Roman" w:hAnsi="Times New Roman" w:cs="Times New Roman"/>
          <w:b/>
          <w:i w:val="0"/>
          <w:sz w:val="24"/>
        </w:rPr>
        <w:t>maksimalkan kompensasi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hindari pelanggaran kovenan utang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Times New Roman" w:hAnsi="Times New Roman" w:cs="Times New Roman"/>
          <w:b w:val="0"/>
          <w:i/>
          <w:sz w:val="24"/>
        </w:rPr>
        <w:t>debt covenants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dan </w:t>
      </w:r>
      <w:r>
        <w:rPr>
          <w:rFonts w:ascii="Times New Roman" w:hAnsi="Times New Roman" w:cs="Times New Roman"/>
          <w:b/>
          <w:i w:val="0"/>
          <w:sz w:val="24"/>
        </w:rPr>
        <w:t>minimalkan laba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demi meredam intervensi pemerintah.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Asimetri meet/beat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laba kuartalan lebih sering tepat melampaui ekspektasi analis ketimbang meleset; laba terkelola hakikatnya </w:t>
      </w:r>
      <w:r>
        <w:rPr>
          <w:rFonts w:ascii="Times New Roman" w:hAnsi="Times New Roman" w:cs="Times New Roman"/>
          <w:b/>
          <w:i w:val="0"/>
          <w:sz w:val="24"/>
        </w:rPr>
        <w:t>informasi asimetris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orang dalam.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6149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bar6_taksonomi_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30" w:before="0" w:after="0"/>
        <w:jc w:val="center"/>
      </w:pPr>
      <w:r>
        <w:rPr>
          <w:rFonts w:ascii="Times New Roman" w:hAnsi="Times New Roman" w:cs="Times New Roman"/>
          <w:b/>
          <w:i w:val="0"/>
          <w:sz w:val="22"/>
        </w:rPr>
        <w:t xml:space="preserve">Gambar 6. </w:t>
      </w:r>
      <w:r>
        <w:rPr>
          <w:rFonts w:ascii="Times New Roman" w:hAnsi="Times New Roman" w:cs="Times New Roman"/>
          <w:b w:val="0"/>
          <w:i w:val="0"/>
          <w:sz w:val="22"/>
        </w:rPr>
        <w:t>Taksonomi earnings management dan tiga mekanisme income smoothing</w:t>
      </w:r>
    </w:p>
    <w:p>
      <w:pPr>
        <w:spacing w:lineRule="exact" w:line="230" w:before="0" w:after="120"/>
        <w:jc w:val="center"/>
      </w:pPr>
      <w:r>
        <w:rPr>
          <w:rFonts w:ascii="Times New Roman" w:hAnsi="Times New Roman" w:cs="Times New Roman"/>
          <w:b w:val="0"/>
          <w:i/>
          <w:sz w:val="22"/>
        </w:rPr>
        <w:t>Sumber: diolah dari Wolk et al. (2017), PDF hlm. 24–28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Bentuk dan Bukti Empiris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Classification shifting (McVay)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biaya inti digeser ke bawah agar marjin kotor membaik; kasus </w:t>
      </w:r>
      <w:r>
        <w:rPr>
          <w:rFonts w:ascii="Times New Roman" w:hAnsi="Times New Roman" w:cs="Times New Roman"/>
          <w:b/>
          <w:i w:val="0"/>
          <w:sz w:val="24"/>
        </w:rPr>
        <w:t>Borden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mengubah US$192 juta beban pemasaran menjadi </w:t>
      </w:r>
      <w:r>
        <w:rPr>
          <w:rFonts w:ascii="Times New Roman" w:hAnsi="Times New Roman" w:cs="Times New Roman"/>
          <w:b w:val="0"/>
          <w:i/>
          <w:sz w:val="24"/>
        </w:rPr>
        <w:t>restructuring charge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(Wolk et al., 2017, PDF hlm. 24).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Inflasi akuisisi (Erickson &amp; Wang)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pengakuisisi menaikkan laba sebelum tukar saham; </w:t>
      </w:r>
      <w:r>
        <w:rPr>
          <w:rFonts w:ascii="Times New Roman" w:hAnsi="Times New Roman" w:cs="Times New Roman"/>
          <w:b/>
          <w:i w:val="0"/>
          <w:sz w:val="24"/>
        </w:rPr>
        <w:t>deflasi buyout (Wu vs DeAngelo)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Wu menemukan laba turun menjelang </w:t>
      </w:r>
      <w:r>
        <w:rPr>
          <w:rFonts w:ascii="Times New Roman" w:hAnsi="Times New Roman" w:cs="Times New Roman"/>
          <w:b w:val="0"/>
          <w:i/>
          <w:sz w:val="24"/>
        </w:rPr>
        <w:t>management buyout</w:t>
      </w:r>
      <w:r>
        <w:rPr>
          <w:rFonts w:ascii="Times New Roman" w:hAnsi="Times New Roman" w:cs="Times New Roman"/>
          <w:b w:val="0"/>
          <w:i w:val="0"/>
          <w:sz w:val="24"/>
        </w:rPr>
        <w:t>, berbeda dari DeAngelo.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Kasznik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pemberi prakiraan sukarela menaikkan laba via penurunan </w:t>
      </w:r>
      <w:r>
        <w:rPr>
          <w:rFonts w:ascii="Times New Roman" w:hAnsi="Times New Roman" w:cs="Times New Roman"/>
          <w:b/>
          <w:i w:val="0"/>
          <w:sz w:val="24"/>
        </w:rPr>
        <w:t>akrual diskresioner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bila prakiraannya kelewat tinggi.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Studi auditor (Nelson et al.)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standar tak presisi mengundang manipulasi cadangan; standar presisi mengundang penstrukturan transaksi (Wolk et al., 2017, PDF hlm. 25).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Kompensasi dan Akrual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Ceiling dan floor (Healy)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bonus laba berbatas atas dan bawah; di luar batas, laba </w:t>
      </w:r>
      <w:r>
        <w:rPr>
          <w:rFonts w:ascii="Times New Roman" w:hAnsi="Times New Roman" w:cs="Times New Roman"/>
          <w:b/>
          <w:i w:val="0"/>
          <w:sz w:val="24"/>
        </w:rPr>
        <w:t>ditangguhkan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lewat akrual akhir tahun (Wolk et al., 2017, PDF hlm. 26).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Discretionary accruals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beban piutang tak tertagih, produksi penyerap overhead, estimasi garansi; sulit dibedakan dari </w:t>
      </w:r>
      <w:r>
        <w:rPr>
          <w:rFonts w:ascii="Times New Roman" w:hAnsi="Times New Roman" w:cs="Times New Roman"/>
          <w:b/>
          <w:i w:val="0"/>
          <w:sz w:val="24"/>
        </w:rPr>
        <w:t>akrual nondiskresioner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cs="Times New Roman"/>
          <w:b/>
          <w:i w:val="0"/>
          <w:sz w:val="24"/>
        </w:rPr>
        <w:t>Real-cost accruals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biaya riil iklan dan litbang.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Income Smoothing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Motif valuasi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 w:val="0"/>
          <w:i/>
          <w:sz w:val="24"/>
        </w:rPr>
        <w:t>income smoothing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berhipotesis laba stabil menghasilkan </w:t>
      </w:r>
      <w:r>
        <w:rPr>
          <w:rFonts w:ascii="Times New Roman" w:hAnsi="Times New Roman" w:cs="Times New Roman"/>
          <w:b/>
          <w:i w:val="0"/>
          <w:sz w:val="24"/>
        </w:rPr>
        <w:t>valuasi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lebih tinggi (pasar naif); </w:t>
      </w:r>
      <w:r>
        <w:rPr>
          <w:rFonts w:ascii="Times New Roman" w:hAnsi="Times New Roman" w:cs="Times New Roman"/>
          <w:b/>
          <w:i w:val="0"/>
          <w:sz w:val="24"/>
        </w:rPr>
        <w:t>Ronen &amp; Sadan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menafsirkannya sebagai upaya memfasilitasi prediksi arus kas (Wolk et al., 2017, PDF hlm. 26).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Tiga mekanisme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pengaturan waktu transaksi, pemilihan metode alokasi, perataan klasifikatori (nyaris hilang pasca APB Opinion No. 30).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Chaney &amp; Jeter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perata cenderung lebih besar dengan akrual diskresioner absolut lebih besar; </w:t>
      </w:r>
      <w:r>
        <w:rPr>
          <w:rFonts w:ascii="Times New Roman" w:hAnsi="Times New Roman" w:cs="Times New Roman"/>
          <w:b/>
          <w:i w:val="0"/>
          <w:sz w:val="24"/>
        </w:rPr>
        <w:t>DeFond &amp; Park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"</w:t>
      </w:r>
      <w:r>
        <w:rPr>
          <w:rFonts w:ascii="Times New Roman" w:hAnsi="Times New Roman" w:cs="Times New Roman"/>
          <w:b/>
          <w:i w:val="0"/>
          <w:sz w:val="24"/>
        </w:rPr>
        <w:t>meminjam</w:t>
      </w:r>
      <w:r>
        <w:rPr>
          <w:rFonts w:ascii="Times New Roman" w:hAnsi="Times New Roman" w:cs="Times New Roman"/>
          <w:b w:val="0"/>
          <w:i w:val="0"/>
          <w:sz w:val="24"/>
        </w:rPr>
        <w:t>" laba saat kini buruk, "</w:t>
      </w:r>
      <w:r>
        <w:rPr>
          <w:rFonts w:ascii="Times New Roman" w:hAnsi="Times New Roman" w:cs="Times New Roman"/>
          <w:b/>
          <w:i w:val="0"/>
          <w:sz w:val="24"/>
        </w:rPr>
        <w:t>menyimpan</w:t>
      </w:r>
      <w:r>
        <w:rPr>
          <w:rFonts w:ascii="Times New Roman" w:hAnsi="Times New Roman" w:cs="Times New Roman"/>
          <w:b w:val="0"/>
          <w:i w:val="0"/>
          <w:sz w:val="24"/>
        </w:rPr>
        <w:t>" saat prospek suram.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Tiga masalah riset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motivasi tak tegas memprediksi rupa laba teratakan; laba tak teratakan tak terhitung; inflasi memunculkan drift naik yang melebihkan perataan.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Bukti random-walk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studi </w:t>
      </w:r>
      <w:r>
        <w:rPr>
          <w:rFonts w:ascii="Times New Roman" w:hAnsi="Times New Roman" w:cs="Times New Roman"/>
          <w:b w:val="0"/>
          <w:i/>
          <w:sz w:val="24"/>
        </w:rPr>
        <w:t>time-series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memodelkan laba sebagai </w:t>
      </w:r>
      <w:r>
        <w:rPr>
          <w:rFonts w:ascii="Times New Roman" w:hAnsi="Times New Roman" w:cs="Times New Roman"/>
          <w:b/>
          <w:i w:val="0"/>
          <w:sz w:val="24"/>
        </w:rPr>
        <w:t>random walk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berdrift kecil, </w:t>
      </w:r>
      <w:r>
        <w:rPr>
          <w:rFonts w:ascii="Times New Roman" w:hAnsi="Times New Roman" w:cs="Times New Roman"/>
          <w:b/>
          <w:i w:val="0"/>
          <w:sz w:val="24"/>
        </w:rPr>
        <w:t>tidak mendukung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hipotesis perataan (Wolk et al., 2017, PDF hlm. 27).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Bahasan ini menyiapkan Bagian XII.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XII. Perkembangan dalam Income Statement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Gagasan baru menghidupkan ketegangan lama: laba ingin memprediksi, tetapi pengukuran harus andal (Wolk et al., 2017, PDF hlm. 28).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Cash Earnings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Usulan Howell: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ganti laporan laba rugi dengan laporan operasi </w:t>
      </w:r>
      <w:r>
        <w:rPr>
          <w:rFonts w:ascii="Times New Roman" w:hAnsi="Times New Roman" w:cs="Times New Roman"/>
          <w:b w:val="0"/>
          <w:i/>
          <w:sz w:val="24"/>
        </w:rPr>
        <w:t>cash earnings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(pendapatan tunai − arus kas keluar operasi − akrual nonkas: </w:t>
      </w:r>
      <w:r>
        <w:rPr>
          <w:rFonts w:ascii="Times New Roman" w:hAnsi="Times New Roman" w:cs="Times New Roman"/>
          <w:b/>
          <w:i w:val="0"/>
          <w:sz w:val="24"/>
        </w:rPr>
        <w:t>depresiasi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amortisasi, untung/rugi); bunga jadi </w:t>
      </w:r>
      <w:r>
        <w:rPr>
          <w:rFonts w:ascii="Times New Roman" w:hAnsi="Times New Roman" w:cs="Times New Roman"/>
          <w:b w:val="0"/>
          <w:i/>
          <w:sz w:val="24"/>
        </w:rPr>
        <w:t>financing cost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Bantahan penulis: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nama keliru sebab unsur nonkas tetap dikurangkan; akrual berguna memprediksi laba—perbaiki metode penghapusan aset, jangan buang akrual; usulan Howell terlalu mahal (Wolk et al., 2017, PDF hlm. 28).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Pro Forma Earnings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Rasional: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pelengkap laba GAAP yang prediktif karena mengeluarkan peristiwa sekali waktu.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Penyalahgunaan: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manajemen memakainya menyingkirkan </w:t>
      </w:r>
      <w:r>
        <w:rPr>
          <w:rFonts w:ascii="Times New Roman" w:hAnsi="Times New Roman" w:cs="Times New Roman"/>
          <w:b w:val="0"/>
          <w:i/>
          <w:sz w:val="24"/>
        </w:rPr>
        <w:t>bad news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tetapi menahan unsur menguntungkan, sehingga bias (Wolk et al., 2017, PDF hlm. 28–29).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Regulator: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SEC 2001 menyarankan kehati-hatian; </w:t>
      </w:r>
      <w:r>
        <w:rPr>
          <w:rFonts w:ascii="Times New Roman" w:hAnsi="Times New Roman" w:cs="Times New Roman"/>
          <w:b/>
          <w:i w:val="0"/>
          <w:sz w:val="24"/>
        </w:rPr>
        <w:t>Regulation G 2002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menuntut keutamaan setara (</w:t>
      </w:r>
      <w:r>
        <w:rPr>
          <w:rFonts w:ascii="Times New Roman" w:hAnsi="Times New Roman" w:cs="Times New Roman"/>
          <w:b w:val="0"/>
          <w:i/>
          <w:sz w:val="24"/>
        </w:rPr>
        <w:t>equal prominence</w:t>
      </w:r>
      <w:r>
        <w:rPr>
          <w:rFonts w:ascii="Times New Roman" w:hAnsi="Times New Roman" w:cs="Times New Roman"/>
          <w:b w:val="0"/>
          <w:i w:val="0"/>
          <w:sz w:val="24"/>
        </w:rPr>
        <w:t>) bagi GAAP dan rekonsiliasi ke laba GAAP (Wolk et al., 2017, PDF hlm. 29).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Laporan G4+1 dan Pendekatan Matrix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Tiga komponen: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(1) operasi/perdagangan; (2) pendanaan dan </w:t>
      </w:r>
      <w:r>
        <w:rPr>
          <w:rFonts w:ascii="Times New Roman" w:hAnsi="Times New Roman" w:cs="Times New Roman"/>
          <w:b w:val="0"/>
          <w:i/>
          <w:sz w:val="24"/>
        </w:rPr>
        <w:t>treasury</w:t>
      </w:r>
      <w:r>
        <w:rPr>
          <w:rFonts w:ascii="Times New Roman" w:hAnsi="Times New Roman" w:cs="Times New Roman"/>
          <w:b w:val="0"/>
          <w:i w:val="0"/>
          <w:sz w:val="24"/>
        </w:rPr>
        <w:t>; (3) untung/rugi lain.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Tujuan: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sz w:val="24"/>
        </w:rPr>
        <w:t>earnings sustainability</w:t>
      </w:r>
      <w:r>
        <w:rPr>
          <w:rFonts w:ascii="Times New Roman" w:hAnsi="Times New Roman" w:cs="Times New Roman"/>
          <w:b w:val="0"/>
          <w:i w:val="0"/>
          <w:sz w:val="24"/>
        </w:rPr>
        <w:t>—pisahkan unsur permanen dari transitori; restrukturisasi sulit diklasifikasi (Wolk et al., 2017, PDF hlm. 29).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Matrix: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Barker memisahkan keberlanjutan dari </w:t>
      </w:r>
      <w:r>
        <w:rPr>
          <w:rFonts w:ascii="Times New Roman" w:hAnsi="Times New Roman" w:cs="Times New Roman"/>
          <w:b w:val="0"/>
          <w:i/>
          <w:sz w:val="24"/>
        </w:rPr>
        <w:t>remeasurement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Glover et al. memakai </w:t>
      </w:r>
      <w:r>
        <w:rPr>
          <w:rFonts w:ascii="Times New Roman" w:hAnsi="Times New Roman" w:cs="Times New Roman"/>
          <w:b w:val="0"/>
          <w:i/>
          <w:sz w:val="24"/>
        </w:rPr>
        <w:t>fact versus forecast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sulit pada nilai wajar; distingsi </w:t>
      </w:r>
      <w:r>
        <w:rPr>
          <w:rFonts w:ascii="Times New Roman" w:hAnsi="Times New Roman" w:cs="Times New Roman"/>
          <w:b w:val="0"/>
          <w:i/>
          <w:sz w:val="24"/>
        </w:rPr>
        <w:t>recurring–nonrecurring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paling menjanjikan (Wolk et al., 2017, PDF hlm. 29–30).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Retrospective Reports, Quality of Earnings, dan Restatements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Retrospective reports (Lundholm):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akurasi </w:t>
      </w:r>
      <w:r>
        <w:rPr>
          <w:rFonts w:ascii="Times New Roman" w:hAnsi="Times New Roman" w:cs="Times New Roman"/>
          <w:b w:val="0"/>
          <w:i/>
          <w:sz w:val="24"/>
        </w:rPr>
        <w:t>ex post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atas estimasi demi akuntabilitas; terkendala akrual yang tuntas lebih dari setahun (Wolk et al., 2017, PDF hlm. 30).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Quality of earnings (dua makna):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(1) laba berkelanjutan; (2) kebalikan </w:t>
      </w:r>
      <w:r>
        <w:rPr>
          <w:rFonts w:ascii="Times New Roman" w:hAnsi="Times New Roman" w:cs="Times New Roman"/>
          <w:b w:val="0"/>
          <w:i/>
          <w:sz w:val="24"/>
        </w:rPr>
        <w:t>earnings management</w:t>
      </w:r>
      <w:r>
        <w:rPr>
          <w:rFonts w:ascii="Times New Roman" w:hAnsi="Times New Roman" w:cs="Times New Roman"/>
          <w:b w:val="0"/>
          <w:i w:val="0"/>
          <w:sz w:val="24"/>
        </w:rPr>
        <w:t>; keduanya bermuara pada kemustahilan "true income" (Wolk et al., 2017, PDF hlm. 30).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Restatements: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naik hingga </w:t>
      </w:r>
      <w:r>
        <w:rPr>
          <w:rFonts w:ascii="Times New Roman" w:hAnsi="Times New Roman" w:cs="Times New Roman"/>
          <w:b/>
          <w:i w:val="0"/>
          <w:sz w:val="24"/>
        </w:rPr>
        <w:t>1.420 pada 2006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dipicu kelemahan kontrol internal lewat </w:t>
      </w:r>
      <w:r>
        <w:rPr>
          <w:rFonts w:ascii="Times New Roman" w:hAnsi="Times New Roman" w:cs="Times New Roman"/>
          <w:b/>
          <w:i w:val="0"/>
          <w:sz w:val="24"/>
        </w:rPr>
        <w:t>Section 404 Sarbanes-Oxley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kerumitan standar (terutama </w:t>
      </w:r>
      <w:r>
        <w:rPr>
          <w:rFonts w:ascii="Times New Roman" w:hAnsi="Times New Roman" w:cs="Times New Roman"/>
          <w:b/>
          <w:i w:val="0"/>
          <w:sz w:val="24"/>
        </w:rPr>
        <w:t>sewa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dan </w:t>
      </w:r>
      <w:r>
        <w:rPr>
          <w:rFonts w:ascii="Times New Roman" w:hAnsi="Times New Roman" w:cs="Times New Roman"/>
          <w:b/>
          <w:i w:val="0"/>
          <w:sz w:val="24"/>
        </w:rPr>
        <w:t>SAB 99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penghapus ambang materialitas 5% (Wolk et al., 2017, PDF hlm. 30–31).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Jembatan: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menyiapkan sintesis pada Bagian XIII.</w:t>
      </w:r>
    </w:p>
    <w:p>
      <w:pPr>
        <w:spacing w:lineRule="exact" w:line="230" w:before="80" w:after="40"/>
        <w:jc w:val="left"/>
      </w:pPr>
      <w:r>
        <w:rPr>
          <w:rFonts w:ascii="Times New Roman" w:hAnsi="Times New Roman" w:cs="Times New Roman"/>
          <w:b/>
          <w:i w:val="0"/>
          <w:sz w:val="26"/>
        </w:rPr>
        <w:t>XIII. Sintesis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Bagian ini merangkai benang merah seluruh bab tanpa klaim baru.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Busur Argumen Bab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Fondasi: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laporan laba rugi berakar pada model </w:t>
      </w:r>
      <w:r>
        <w:rPr>
          <w:rFonts w:ascii="Times New Roman" w:hAnsi="Times New Roman" w:cs="Times New Roman"/>
          <w:b w:val="0"/>
          <w:i/>
          <w:sz w:val="24"/>
        </w:rPr>
        <w:t>historical cost</w:t>
      </w:r>
      <w:r>
        <w:rPr>
          <w:rFonts w:ascii="Times New Roman" w:hAnsi="Times New Roman" w:cs="Times New Roman"/>
          <w:b w:val="0"/>
          <w:i w:val="0"/>
          <w:sz w:val="24"/>
        </w:rPr>
        <w:t>—pengakuan pendapatan dan penandingan beban (</w:t>
      </w:r>
      <w:r>
        <w:rPr>
          <w:rFonts w:ascii="Times New Roman" w:hAnsi="Times New Roman" w:cs="Times New Roman"/>
          <w:b w:val="0"/>
          <w:i/>
          <w:sz w:val="24"/>
        </w:rPr>
        <w:t>matching</w:t>
      </w:r>
      <w:r>
        <w:rPr>
          <w:rFonts w:ascii="Times New Roman" w:hAnsi="Times New Roman" w:cs="Times New Roman"/>
          <w:b w:val="0"/>
          <w:i w:val="0"/>
          <w:sz w:val="24"/>
        </w:rPr>
        <w:t>) (Wolk et al., 2017, PDF hlm. 31).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Arah FASB: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condong ke </w:t>
      </w:r>
      <w:r>
        <w:rPr>
          <w:rFonts w:ascii="Times New Roman" w:hAnsi="Times New Roman" w:cs="Times New Roman"/>
          <w:b w:val="0"/>
          <w:i/>
          <w:sz w:val="24"/>
        </w:rPr>
        <w:t>rigid uniformity</w:t>
      </w:r>
      <w:r>
        <w:rPr>
          <w:rFonts w:ascii="Times New Roman" w:hAnsi="Times New Roman" w:cs="Times New Roman"/>
          <w:b w:val="0"/>
          <w:i w:val="0"/>
          <w:sz w:val="24"/>
        </w:rPr>
        <w:t>, dengan pengakuan beban yang banyak berbasis alokasi arbitrer (Wolk et al., 2017, PDF hlm. 31).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Dua tarikan: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sz w:val="24"/>
        </w:rPr>
        <w:t>comprehensive income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mendorong jalur </w:t>
      </w:r>
      <w:r>
        <w:rPr>
          <w:rFonts w:ascii="Times New Roman" w:hAnsi="Times New Roman" w:cs="Times New Roman"/>
          <w:b w:val="0"/>
          <w:i/>
          <w:sz w:val="24"/>
        </w:rPr>
        <w:t>all-inclusive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sedangkan pro forma, </w:t>
      </w:r>
      <w:r>
        <w:rPr>
          <w:rFonts w:ascii="Times New Roman" w:hAnsi="Times New Roman" w:cs="Times New Roman"/>
          <w:b w:val="0"/>
          <w:i/>
          <w:sz w:val="24"/>
        </w:rPr>
        <w:t>quality of earnings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dan G4+1 mengarah ke </w:t>
      </w:r>
      <w:r>
        <w:rPr>
          <w:rFonts w:ascii="Times New Roman" w:hAnsi="Times New Roman" w:cs="Times New Roman"/>
          <w:b w:val="0"/>
          <w:i/>
          <w:sz w:val="24"/>
        </w:rPr>
        <w:t>current operating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demi prediksi—dialektika belum tuntas (Wolk et al., 2017, PDF hlm. 31).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Pergeseran: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sejak FASB berdiri ada gerak "membersihkan" neraca dan beralih ke pendekatan </w:t>
      </w:r>
      <w:r>
        <w:rPr>
          <w:rFonts w:ascii="Times New Roman" w:hAnsi="Times New Roman" w:cs="Times New Roman"/>
          <w:b w:val="0"/>
          <w:i/>
          <w:sz w:val="24"/>
        </w:rPr>
        <w:t>asset–liability</w:t>
      </w:r>
      <w:r>
        <w:rPr>
          <w:rFonts w:ascii="Times New Roman" w:hAnsi="Times New Roman" w:cs="Times New Roman"/>
          <w:b w:val="0"/>
          <w:i w:val="0"/>
          <w:sz w:val="24"/>
        </w:rPr>
        <w:t>, menyambung ke kerangka konseptual pada Pertemuan VIII (Wolk et al., 2017, PDF hlm. 31).</w:t>
      </w:r>
    </w:p>
    <w:p>
      <w:pPr>
        <w:spacing w:lineRule="exact" w:line="230" w:before="40" w:after="20"/>
        <w:jc w:val="left"/>
      </w:pPr>
      <w:r>
        <w:rPr>
          <w:rFonts w:ascii="Times New Roman" w:hAnsi="Times New Roman" w:cs="Times New Roman"/>
          <w:b/>
          <w:i/>
          <w:sz w:val="24"/>
        </w:rPr>
        <w:t>Kaitan dengan Tema Kuliah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Decision usefulness: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angka laba tetap berinformasi meski sarat alokasi arbitrer.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Information asymmetry &amp; keagenan: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sz w:val="24"/>
        </w:rPr>
        <w:t>earnings management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mencerminkan informasi orang dalam dan kontrak kompensasi—tempat keleluasaan penyusun bersinggungan dengan kepentingan pemegang saham.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Efficient markets: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reaksi pasar atas </w:t>
      </w:r>
      <w:r>
        <w:rPr>
          <w:rFonts w:ascii="Times New Roman" w:hAnsi="Times New Roman" w:cs="Times New Roman"/>
          <w:b w:val="0"/>
          <w:i/>
          <w:sz w:val="24"/>
        </w:rPr>
        <w:t>big bath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dan relevansi nilai laba menunjukkan laba tetap dihargai meski tak sempurna.</w:t>
      </w:r>
    </w:p>
    <w:p>
      <w:pPr>
        <w:spacing w:lineRule="exact" w:line="230" w:before="0" w:after="20"/>
        <w:ind w:left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• </w:t>
      </w:r>
      <w:r>
        <w:rPr>
          <w:rFonts w:ascii="Times New Roman" w:hAnsi="Times New Roman" w:cs="Times New Roman"/>
          <w:b/>
          <w:i w:val="0"/>
          <w:sz w:val="24"/>
        </w:rPr>
        <w:t>Historical cost vs fair value: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ketegangan muncul pada alokasi beban dan perbatasan </w:t>
      </w:r>
      <w:r>
        <w:rPr>
          <w:rFonts w:ascii="Times New Roman" w:hAnsi="Times New Roman" w:cs="Times New Roman"/>
          <w:b w:val="0"/>
          <w:i/>
          <w:sz w:val="24"/>
        </w:rPr>
        <w:t>fact versus forecast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dalam pendekatan matrix.</w:t>
      </w:r>
    </w:p>
    <w:p>
      <w:pPr>
        <w:spacing w:lineRule="exact" w:line="230" w:before="0" w:after="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Pada akhirnya, laporan laba rugi adalah medan ketegangan lestari: antara </w:t>
      </w:r>
      <w:r>
        <w:rPr>
          <w:rFonts w:ascii="Times New Roman" w:hAnsi="Times New Roman" w:cs="Times New Roman"/>
          <w:b w:val="0"/>
          <w:i/>
          <w:sz w:val="24"/>
        </w:rPr>
        <w:t>relevance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dan </w:t>
      </w:r>
      <w:r>
        <w:rPr>
          <w:rFonts w:ascii="Times New Roman" w:hAnsi="Times New Roman" w:cs="Times New Roman"/>
          <w:b w:val="0"/>
          <w:i/>
          <w:sz w:val="24"/>
        </w:rPr>
        <w:t>reliability</w:t>
      </w:r>
      <w:r>
        <w:rPr>
          <w:rFonts w:ascii="Times New Roman" w:hAnsi="Times New Roman" w:cs="Times New Roman"/>
          <w:b w:val="0"/>
          <w:i w:val="0"/>
          <w:sz w:val="24"/>
        </w:rPr>
        <w:t>, antara cita-cita laba "sejati" dan keterbatasan pengukuran, serta antara kebutuhan pengguna dan keleluasaan (</w:t>
      </w:r>
      <w:r>
        <w:rPr>
          <w:rFonts w:ascii="Times New Roman" w:hAnsi="Times New Roman" w:cs="Times New Roman"/>
          <w:b w:val="0"/>
          <w:i/>
          <w:sz w:val="24"/>
        </w:rPr>
        <w:t>discretion</w:t>
      </w:r>
      <w:r>
        <w:rPr>
          <w:rFonts w:ascii="Times New Roman" w:hAnsi="Times New Roman" w:cs="Times New Roman"/>
          <w:b w:val="0"/>
          <w:i w:val="0"/>
          <w:sz w:val="24"/>
        </w:rPr>
        <w:t>) penyusun. Tak ada format yang meniadakannya—masing-masing hanya memindahkan titik kompromi. Di situlah teori akuntansi bekerja: bukan menghapus ketegangan, melainkan mengelolanya dengan perbaikan yang lambat namun ajek.</w:t>
      </w:r>
    </w:p>
    <w:sectPr w:rsidR="00FC693F" w:rsidRPr="0006063C" w:rsidSect="00034616">
      <w:footerReference w:type="default" r:id="rId9"/>
      <w:pgSz w:w="11906" w:h="16838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2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