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onsulting-rate-sheet-david-magarian"/>
    <w:p>
      <w:pPr>
        <w:pStyle w:val="Heading1"/>
      </w:pPr>
      <w:r>
        <w:t xml:space="preserve">Consulting Rate Sheet – David Magarian</w:t>
      </w:r>
    </w:p>
    <w:bookmarkStart w:id="21" w:name="contact-information"/>
    <w:p>
      <w:pPr>
        <w:pStyle w:val="Heading2"/>
      </w:pPr>
      <w:r>
        <w:t xml:space="preserve">📍 Contact Information</w:t>
      </w:r>
    </w:p>
    <w:p>
      <w:pPr>
        <w:pStyle w:val="FirstParagraph"/>
      </w:pPr>
      <w:r>
        <w:rPr>
          <w:b/>
          <w:bCs/>
        </w:rPr>
        <w:t xml:space="preserve">Name</w:t>
      </w:r>
      <w:r>
        <w:t xml:space="preserve">: David Magarian</w:t>
      </w:r>
      <w:r>
        <w:br/>
      </w:r>
      <w:r>
        <w:rPr>
          <w:b/>
          <w:bCs/>
        </w:rPr>
        <w:t xml:space="preserve">Email</w:t>
      </w:r>
      <w:r>
        <w:t xml:space="preserve">: [</w:t>
      </w:r>
      <w:hyperlink r:id="rId20">
        <w:r>
          <w:rPr>
            <w:rStyle w:val="Hyperlink"/>
          </w:rPr>
          <w:t xml:space="preserve">your_email@example.com</w:t>
        </w:r>
      </w:hyperlink>
      <w:r>
        <w:t xml:space="preserve">]</w:t>
      </w:r>
      <w:r>
        <w:br/>
      </w:r>
      <w:r>
        <w:rPr>
          <w:b/>
          <w:bCs/>
        </w:rPr>
        <w:t xml:space="preserve">Phone</w:t>
      </w:r>
      <w:r>
        <w:t xml:space="preserve">: [your phone number]</w:t>
      </w:r>
      <w:r>
        <w:br/>
      </w:r>
      <w:r>
        <w:rPr>
          <w:b/>
          <w:bCs/>
        </w:rPr>
        <w:t xml:space="preserve">Location</w:t>
      </w:r>
      <w:r>
        <w:t xml:space="preserve">: California, United States</w:t>
      </w:r>
      <w:r>
        <w:br/>
      </w:r>
      <w:r>
        <w:rPr>
          <w:b/>
          <w:bCs/>
        </w:rPr>
        <w:t xml:space="preserve">Website/Portfolio</w:t>
      </w:r>
      <w:r>
        <w:t xml:space="preserve">: [optional URL]</w:t>
      </w:r>
    </w:p>
    <w:p>
      <w:r>
        <w:pict>
          <v:rect style="width:0;height:1.5pt" o:hralign="center" o:hrstd="t" o:hr="t"/>
        </w:pict>
      </w:r>
    </w:p>
    <w:bookmarkEnd w:id="21"/>
    <w:bookmarkStart w:id="22" w:name="services-offered"/>
    <w:p>
      <w:pPr>
        <w:pStyle w:val="Heading2"/>
      </w:pPr>
      <w:r>
        <w:t xml:space="preserve">💼 Services Offered</w:t>
      </w:r>
    </w:p>
    <w:p>
      <w:pPr>
        <w:pStyle w:val="FirstParagraph"/>
      </w:pPr>
      <w:r>
        <w:t xml:space="preserve">The following services are available under a unified consulting framework:</w:t>
      </w:r>
    </w:p>
    <w:p>
      <w:pPr>
        <w:pStyle w:val="Compact"/>
        <w:numPr>
          <w:ilvl w:val="0"/>
          <w:numId w:val="1001"/>
        </w:numPr>
      </w:pPr>
      <w:r>
        <w:t xml:space="preserve">Energy modeling QA/QC and regulatory compliance (Title 24, ASHRAE 90.1, LEED)</w:t>
      </w:r>
    </w:p>
    <w:p>
      <w:pPr>
        <w:pStyle w:val="Compact"/>
        <w:numPr>
          <w:ilvl w:val="0"/>
          <w:numId w:val="1001"/>
        </w:numPr>
      </w:pPr>
      <w:r>
        <w:t xml:space="preserve">Strategic decarbonization planning and firmwide modeling standards</w:t>
      </w:r>
    </w:p>
    <w:p>
      <w:pPr>
        <w:pStyle w:val="Compact"/>
        <w:numPr>
          <w:ilvl w:val="0"/>
          <w:numId w:val="1001"/>
        </w:numPr>
      </w:pPr>
      <w:r>
        <w:t xml:space="preserve">Python and Streamlit tool development (EM Tools, automation, translators)</w:t>
      </w:r>
    </w:p>
    <w:p>
      <w:pPr>
        <w:pStyle w:val="Compact"/>
        <w:numPr>
          <w:ilvl w:val="0"/>
          <w:numId w:val="1001"/>
        </w:numPr>
      </w:pPr>
      <w:r>
        <w:t xml:space="preserve">Custom report generation (ECON-1, EAP, LCCA, load reports)</w:t>
      </w:r>
    </w:p>
    <w:p>
      <w:pPr>
        <w:pStyle w:val="Compact"/>
        <w:numPr>
          <w:ilvl w:val="0"/>
          <w:numId w:val="1001"/>
        </w:numPr>
      </w:pPr>
      <w:r>
        <w:t xml:space="preserve">Training, workshops, and stakeholder alignment</w:t>
      </w:r>
    </w:p>
    <w:p>
      <w:r>
        <w:pict>
          <v:rect style="width:0;height:1.5pt" o:hralign="center" o:hrstd="t" o:hr="t"/>
        </w:pict>
      </w:r>
    </w:p>
    <w:bookmarkEnd w:id="22"/>
    <w:bookmarkStart w:id="23" w:name="standard-rate-structure"/>
    <w:p>
      <w:pPr>
        <w:pStyle w:val="Heading2"/>
      </w:pPr>
      <w:r>
        <w:t xml:space="preserve">💲 Standard Rate Structure</w:t>
      </w:r>
    </w:p>
    <w:p>
      <w:pPr>
        <w:pStyle w:val="FirstParagraph"/>
      </w:pPr>
      <w:r>
        <w:rPr>
          <w:b/>
          <w:bCs/>
        </w:rPr>
        <w:t xml:space="preserve">Standard Hourly Rate</w:t>
      </w:r>
      <w:r>
        <w:t xml:space="preserve">:</w:t>
      </w:r>
      <w:r>
        <w:t xml:space="preserve"> </w:t>
      </w:r>
      <w:r>
        <w:rPr>
          <w:strike/>
        </w:rPr>
        <w:t xml:space="preserve">$220/hr</w:t>
      </w:r>
      <w:r>
        <w:br/>
      </w:r>
      <w:r>
        <w:rPr>
          <w:b/>
          <w:bCs/>
        </w:rPr>
        <w:t xml:space="preserve">Early Adopter Rate</w:t>
      </w:r>
      <w:r>
        <w:t xml:space="preserve">:</w:t>
      </w:r>
      <w:r>
        <w:t xml:space="preserve"> </w:t>
      </w:r>
      <w:r>
        <w:rPr>
          <w:strike/>
        </w:rPr>
        <w:t xml:space="preserve">$200/hr</w:t>
      </w:r>
      <w:r>
        <w:br/>
      </w:r>
      <w:r>
        <w:rPr>
          <w:b/>
          <w:bCs/>
        </w:rPr>
        <w:t xml:space="preserve">Preferred Client Discount Rate</w:t>
      </w:r>
      <w:r>
        <w:t xml:space="preserve">:</w:t>
      </w:r>
      <w:r>
        <w:t xml:space="preserve"> </w:t>
      </w:r>
      <w:r>
        <w:rPr>
          <w:b/>
          <w:bCs/>
        </w:rPr>
        <w:t xml:space="preserve">$180/hr</w:t>
      </w:r>
      <w:r>
        <w:t xml:space="preserve"> </w:t>
      </w:r>
      <w:r>
        <w:rPr>
          <w:i/>
          <w:iCs/>
        </w:rPr>
        <w:t xml:space="preserve">(for qualified strategic partnerships)</w:t>
      </w:r>
    </w:p>
    <w:p>
      <w:pPr>
        <w:pStyle w:val="BlockText"/>
      </w:pPr>
      <w:r>
        <w:t xml:space="preserve">Note: All services listed above fall under this hourly rate unless otherwise agreed.</w:t>
      </w:r>
    </w:p>
    <w:p>
      <w:r>
        <w:pict>
          <v:rect style="width:0;height:1.5pt" o:hralign="center" o:hrstd="t" o:hr="t"/>
        </w:pict>
      </w:r>
    </w:p>
    <w:bookmarkEnd w:id="23"/>
    <w:bookmarkStart w:id="24" w:name="retainer-options"/>
    <w:p>
      <w:pPr>
        <w:pStyle w:val="Heading2"/>
      </w:pPr>
      <w:r>
        <w:t xml:space="preserve">🤝 Retainer Options</w:t>
      </w:r>
    </w:p>
    <w:p>
      <w:pPr>
        <w:pStyle w:val="FirstParagraph"/>
      </w:pPr>
      <w:r>
        <w:t xml:space="preserve">For ongoing strategic and technical collaboration: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0"/>
        <w:gridCol w:w="61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Monthly Retainer</w:t>
            </w:r>
          </w:p>
        </w:tc>
        <w:tc>
          <w:tcPr/>
          <w:p>
            <w:pPr>
              <w:pStyle w:val="Compact"/>
            </w:pPr>
            <w:r>
              <w:t xml:space="preserve">Services Included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$2,000</w:t>
            </w:r>
          </w:p>
        </w:tc>
        <w:tc>
          <w:tcPr/>
          <w:p>
            <w:pPr>
              <w:pStyle w:val="Compact"/>
            </w:pPr>
            <w:r>
              <w:t xml:space="preserve">5 hours QA/QC support, training, strategic planning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10–12 hours QA/QC support, reporting workflows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$10,000</w:t>
            </w:r>
          </w:p>
        </w:tc>
        <w:tc>
          <w:tcPr/>
          <w:p>
            <w:pPr>
              <w:pStyle w:val="Compact"/>
            </w:pPr>
            <w:r>
              <w:t xml:space="preserve">20–25 hours strategic planning, tool customization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————————————————–</w:t>
            </w:r>
          </w:p>
        </w:tc>
      </w:tr>
      <w:tr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10–12 hours QA/QC support, reporting workflows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$10,000</w:t>
            </w:r>
          </w:p>
        </w:tc>
        <w:tc>
          <w:tcPr/>
          <w:p>
            <w:pPr>
              <w:pStyle w:val="Compact"/>
            </w:pPr>
            <w:r>
              <w:t xml:space="preserve">20–25 hours strategic planning, tool customization</w:t>
            </w:r>
          </w:p>
        </w:tc>
      </w:tr>
    </w:tbl>
    <w:p>
      <w:pPr>
        <w:pStyle w:val="BlockText"/>
      </w:pPr>
      <w:r>
        <w:t xml:space="preserve">Retainers include priority scheduling, standing meetings, and access to interim deliverables.</w:t>
      </w:r>
    </w:p>
    <w:p>
      <w:r>
        <w:pict>
          <v:rect style="width:0;height:1.5pt" o:hralign="center" o:hrstd="t" o:hr="t"/>
        </w:pict>
      </w:r>
    </w:p>
    <w:bookmarkEnd w:id="24"/>
    <w:bookmarkStart w:id="25" w:name="terms-notes"/>
    <w:p>
      <w:pPr>
        <w:pStyle w:val="Heading2"/>
      </w:pPr>
      <w:r>
        <w:t xml:space="preserve">📌 Terms &amp; Notes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Minimum engagement</w:t>
      </w:r>
      <w:r>
        <w:t xml:space="preserve">: 2 hours for ad-hoc work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Invoicing</w:t>
      </w:r>
      <w:r>
        <w:t xml:space="preserve">: Net 15, invoiced biweekly or monthly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IP ownership</w:t>
      </w:r>
      <w:r>
        <w:t xml:space="preserve">: All proprietary tools retain author rights unless otherwise contracted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Travel</w:t>
      </w:r>
      <w:r>
        <w:t xml:space="preserve">: Billed at hourly rate + travel costs unless waived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custom quotes or to initiate a pilot engagement, please reach out via email.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David Magarian</w:t>
      </w:r>
      <w:r>
        <w:br/>
      </w:r>
      <w:r>
        <w:t xml:space="preserve">Strategic Consultant | Technical Advisor | Tool Developer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your_email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your_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2025-07-12T07:19:39Z</dcterms:created>
  <dcterms:modified xsi:type="dcterms:W3CDTF">2025-07-12T07:19:39Z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