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Strategic Plan: Energy Modeling Department (3-Year Horizon)</w:t>
      </w:r>
    </w:p>
    <w:p>
      <w:r>
        <w:pict>
          <v:rect style="width:0;height:1.5pt" o:hralign="center" o:hrstd="t" o:hr="t"/>
        </w:pict>
      </w:r>
    </w:p>
    <w:bookmarkStart w:id="20" w:name="i.-vision-role"/>
    <w:p>
      <w:pPr>
        <w:pStyle w:val="Heading3"/>
      </w:pPr>
      <w:r>
        <w:t xml:space="preserve">I. Vision &amp; Role</w:t>
      </w:r>
    </w:p>
    <w:p>
      <w:pPr>
        <w:pStyle w:val="FirstParagraph"/>
      </w:pPr>
      <w:r>
        <w:rPr>
          <w:b/>
          <w:bCs/>
        </w:rPr>
        <w:t xml:space="preserve">Vision Statement:</w:t>
      </w:r>
      <w:r>
        <w:t xml:space="preserve"> </w:t>
      </w:r>
      <w:r>
        <w:t xml:space="preserve">To become a leading authority in performance-based energy consulting for code compliance, 3rd party certifications, ESG reporting, and decarbonization goals through technical excellence, innovation, and research.</w:t>
      </w:r>
    </w:p>
    <w:p>
      <w:pPr>
        <w:pStyle w:val="BodyText"/>
      </w:pPr>
      <w:r>
        <w:rPr>
          <w:b/>
          <w:bCs/>
        </w:rPr>
        <w:t xml:space="preserve">Department Role:</w:t>
      </w:r>
      <w:r>
        <w:t xml:space="preserve"> </w:t>
      </w:r>
      <w:r>
        <w:t xml:space="preserve">- Support code compliance (e.g., Title 24, ASHRAE 90.1, IECC)</w:t>
      </w:r>
      <w:r>
        <w:t xml:space="preserve"> </w:t>
      </w:r>
      <w:r>
        <w:t xml:space="preserve">- Provide analytical services that guide clients in achieving their energy and carbon reduction goals</w:t>
      </w:r>
      <w:r>
        <w:t xml:space="preserve"> </w:t>
      </w:r>
      <w:r>
        <w:t xml:space="preserve">- Inform design decisions with data-backed analysis</w:t>
      </w:r>
      <w:r>
        <w:t xml:space="preserve"> </w:t>
      </w:r>
      <w:r>
        <w:t xml:space="preserve">- Enable eligibility for tax incentives (e.g., 179D), third-party certifications (e.g., LEED), and ESG reporting requirements</w:t>
      </w:r>
    </w:p>
    <w:p>
      <w:r>
        <w:pict>
          <v:rect style="width:0;height:1.5pt" o:hralign="center" o:hrstd="t" o:hr="t"/>
        </w:pict>
      </w:r>
    </w:p>
    <w:bookmarkEnd w:id="20"/>
    <w:bookmarkStart w:id="21" w:name="ii.-strategic-goals-pillars"/>
    <w:p>
      <w:pPr>
        <w:pStyle w:val="Heading3"/>
      </w:pPr>
      <w:r>
        <w:t xml:space="preserve">II. Strategic Goals &amp; Pillars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Pillar</w:t>
            </w:r>
          </w:p>
        </w:tc>
        <w:tc>
          <w:tcPr/>
          <w:p>
            <w:pPr>
              <w:pStyle w:val="Compact"/>
            </w:pPr>
            <w:r>
              <w:t xml:space="preserve">Strategic Goal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Technical Excellence</w:t>
            </w:r>
          </w:p>
        </w:tc>
        <w:tc>
          <w:tcPr/>
          <w:p>
            <w:pPr>
              <w:pStyle w:val="Compact"/>
            </w:pPr>
            <w:r>
              <w:t xml:space="preserve">Deliver high-accuracy, performance-based modeling using advanced tools and calibrated workflows, while expanding capabilities, accuracy, and speed with modern techniques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Regulatory Readiness</w:t>
            </w:r>
          </w:p>
        </w:tc>
        <w:tc>
          <w:tcPr/>
          <w:p>
            <w:pPr>
              <w:pStyle w:val="Compact"/>
            </w:pPr>
            <w:r>
              <w:t xml:space="preserve">Proactively adapt to evolving codes and policies (T24, ASHRAE, ESG, IRA/179D, SEC, SB 261/253)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Market Adaptability</w:t>
            </w:r>
          </w:p>
        </w:tc>
        <w:tc>
          <w:tcPr/>
          <w:p>
            <w:pPr>
              <w:pStyle w:val="Compact"/>
            </w:pPr>
            <w:r>
              <w:t xml:space="preserve">Focus on project types and modeling scopes that align with strategic growth areas and avoid one-off or high-effort/low-yield opportunities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Scalable Delivery</w:t>
            </w:r>
          </w:p>
        </w:tc>
        <w:tc>
          <w:tcPr/>
          <w:p>
            <w:pPr>
              <w:pStyle w:val="Compact"/>
            </w:pPr>
            <w:r>
              <w:t xml:space="preserve">Streamline project delivery through automation, standardized templates, and QA protocols while reducing risk of team burnout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Team Development</w:t>
            </w:r>
          </w:p>
        </w:tc>
        <w:tc>
          <w:tcPr/>
          <w:p>
            <w:pPr>
              <w:pStyle w:val="Compact"/>
            </w:pPr>
            <w:r>
              <w:t xml:space="preserve">Upskill modelers in tools, codes, client engagement, and analytics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Innovation &amp; Integration</w:t>
            </w:r>
          </w:p>
        </w:tc>
        <w:tc>
          <w:tcPr/>
          <w:p>
            <w:pPr>
              <w:pStyle w:val="Compact"/>
            </w:pPr>
            <w:r>
              <w:t xml:space="preserve">Explore integration with LCA, electrification modeling, eGRID, renewables, etc.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5" w:name="iii.-action-plan-by-year"/>
    <w:p>
      <w:pPr>
        <w:pStyle w:val="Heading3"/>
      </w:pPr>
      <w:r>
        <w:t xml:space="preserve">III. Action Plan by Year</w:t>
      </w:r>
    </w:p>
    <w:bookmarkStart w:id="22" w:name="year-1-foundation-readiness"/>
    <w:p>
      <w:pPr>
        <w:pStyle w:val="Heading4"/>
      </w:pPr>
      <w:r>
        <w:t xml:space="preserve">Year 1: Foundation &amp; Readiness</w:t>
      </w:r>
    </w:p>
    <w:p>
      <w:pPr>
        <w:pStyle w:val="Compact"/>
        <w:numPr>
          <w:ilvl w:val="0"/>
          <w:numId w:val="1001"/>
        </w:numPr>
      </w:pPr>
      <w:r>
        <w:t xml:space="preserve">Standardize Title 24 modeling templates for multifamily residential, hotels, office, and warehouse project types</w:t>
      </w:r>
    </w:p>
    <w:p>
      <w:pPr>
        <w:pStyle w:val="Compact"/>
        <w:numPr>
          <w:ilvl w:val="0"/>
          <w:numId w:val="1001"/>
        </w:numPr>
      </w:pPr>
      <w:r>
        <w:t xml:space="preserve">Develop baseline modeling templates for IESVE and EnergyPlus, aligned with ASHRAE 90.1 workflows</w:t>
      </w:r>
    </w:p>
    <w:p>
      <w:pPr>
        <w:pStyle w:val="Compact"/>
        <w:numPr>
          <w:ilvl w:val="0"/>
          <w:numId w:val="1001"/>
        </w:numPr>
      </w:pPr>
      <w:r>
        <w:t xml:space="preserve">Standardize LCA modeling processes to support ESG disclosures, LEED documentation, and broader decarbonization efforts</w:t>
      </w:r>
    </w:p>
    <w:p>
      <w:pPr>
        <w:pStyle w:val="Compact"/>
        <w:numPr>
          <w:ilvl w:val="0"/>
          <w:numId w:val="1001"/>
        </w:numPr>
      </w:pPr>
      <w:r>
        <w:t xml:space="preserve">Define ESG reporting scopes and processes, including emissions quantification, scenario analysis, and alignment with SB 261, SB 253, and investor-grade frameworks (e.g., TCFD, CDP)</w:t>
      </w:r>
    </w:p>
    <w:p>
      <w:pPr>
        <w:pStyle w:val="Compact"/>
        <w:numPr>
          <w:ilvl w:val="0"/>
          <w:numId w:val="1001"/>
        </w:numPr>
      </w:pPr>
      <w:r>
        <w:t xml:space="preserve">Integrate energy, carbon, and financial modeling scopes to identify the nexus between environmental and financial goals</w:t>
      </w:r>
    </w:p>
    <w:p>
      <w:pPr>
        <w:pStyle w:val="Compact"/>
        <w:numPr>
          <w:ilvl w:val="0"/>
          <w:numId w:val="1001"/>
        </w:numPr>
      </w:pPr>
      <w:r>
        <w:t xml:space="preserve">Develop and standardize intake tools for energy modeling requests — including scope definition, pre-checks, and intake QA templates</w:t>
      </w:r>
    </w:p>
    <w:p>
      <w:pPr>
        <w:pStyle w:val="Compact"/>
        <w:numPr>
          <w:ilvl w:val="0"/>
          <w:numId w:val="1001"/>
        </w:numPr>
      </w:pPr>
      <w:r>
        <w:t xml:space="preserve">Train a new cohort of energy modelers, including onboarding, compliance workflows, advanced tool literacy, and foundational understanding of Title 24 Part 6, IECC, and ASHRAE 90.1</w:t>
      </w:r>
    </w:p>
    <w:p>
      <w:pPr>
        <w:pStyle w:val="Compact"/>
        <w:numPr>
          <w:ilvl w:val="0"/>
          <w:numId w:val="1001"/>
        </w:numPr>
      </w:pPr>
      <w:r>
        <w:t xml:space="preserve">Develop model conversion tools to reduce redundancy and enable streamlined translation between platforms (e.g., CBECC → IDF, IDF → IESVE)</w:t>
      </w:r>
    </w:p>
    <w:bookmarkEnd w:id="22"/>
    <w:bookmarkStart w:id="23" w:name="year-2-growth-automation"/>
    <w:p>
      <w:pPr>
        <w:pStyle w:val="Heading4"/>
      </w:pPr>
      <w:r>
        <w:t xml:space="preserve">Year 2: Growth &amp; Automation</w:t>
      </w:r>
    </w:p>
    <w:p>
      <w:pPr>
        <w:pStyle w:val="Compact"/>
        <w:numPr>
          <w:ilvl w:val="0"/>
          <w:numId w:val="1002"/>
        </w:numPr>
      </w:pPr>
      <w:r>
        <w:t xml:space="preserve">Automate QA/QC workflows for CBECC, IESVE, and Revit to increase efficiency, reduce rework, and catch common issues early in the process</w:t>
      </w:r>
    </w:p>
    <w:p>
      <w:pPr>
        <w:pStyle w:val="Compact"/>
        <w:numPr>
          <w:ilvl w:val="0"/>
          <w:numId w:val="1002"/>
        </w:numPr>
      </w:pPr>
      <w:r>
        <w:t xml:space="preserve">Cross-train modelers in CBECC, IESVE, EnergyPlus/OpenStudio, and integrated modeling pipelines</w:t>
      </w:r>
    </w:p>
    <w:p>
      <w:pPr>
        <w:pStyle w:val="Compact"/>
        <w:numPr>
          <w:ilvl w:val="0"/>
          <w:numId w:val="1002"/>
        </w:numPr>
      </w:pPr>
      <w:r>
        <w:t xml:space="preserve">Expand modeling capabilities to support:</w:t>
      </w:r>
    </w:p>
    <w:p>
      <w:pPr>
        <w:pStyle w:val="Compact"/>
        <w:numPr>
          <w:ilvl w:val="1"/>
          <w:numId w:val="1003"/>
        </w:numPr>
      </w:pPr>
      <w:r>
        <w:t xml:space="preserve">TOU-based renewable and battery dispatch modeling that reflects real-world operating behavior, including solar PV, storage, and demand shifting under realistic rate structures</w:t>
      </w:r>
    </w:p>
    <w:p>
      <w:pPr>
        <w:pStyle w:val="Compact"/>
        <w:numPr>
          <w:ilvl w:val="1"/>
          <w:numId w:val="1003"/>
        </w:numPr>
      </w:pPr>
      <w:r>
        <w:t xml:space="preserve">Integrated Energy, Carbon, and Financial analytics tailored to Regulatory, Compliance, or Investor goals (e.g., tax credits, ESG targets, cost-optimized decarbonization)</w:t>
      </w:r>
    </w:p>
    <w:p>
      <w:pPr>
        <w:pStyle w:val="Compact"/>
        <w:numPr>
          <w:ilvl w:val="1"/>
          <w:numId w:val="1003"/>
        </w:numPr>
      </w:pPr>
      <w:r>
        <w:t xml:space="preserve">Whole life-cycle carbon services that combine embodied and operational carbon analysis for project- or portfolio-level planning</w:t>
      </w:r>
    </w:p>
    <w:p>
      <w:pPr>
        <w:pStyle w:val="Compact"/>
        <w:numPr>
          <w:ilvl w:val="0"/>
          <w:numId w:val="1002"/>
        </w:numPr>
      </w:pPr>
      <w:r>
        <w:t xml:space="preserve">Publish internal playbooks that clarify:</w:t>
      </w:r>
    </w:p>
    <w:p>
      <w:pPr>
        <w:pStyle w:val="Compact"/>
        <w:numPr>
          <w:ilvl w:val="1"/>
          <w:numId w:val="1004"/>
        </w:numPr>
      </w:pPr>
      <w:r>
        <w:t xml:space="preserve">Best practices for design-phase energy optimization and feedback</w:t>
      </w:r>
    </w:p>
    <w:p>
      <w:pPr>
        <w:pStyle w:val="Compact"/>
        <w:numPr>
          <w:ilvl w:val="1"/>
          <w:numId w:val="1004"/>
        </w:numPr>
      </w:pPr>
      <w:r>
        <w:t xml:space="preserve">Modeling distinctions between incentive-focused and code-minimum workflows</w:t>
      </w:r>
    </w:p>
    <w:p>
      <w:pPr>
        <w:pStyle w:val="Compact"/>
        <w:numPr>
          <w:ilvl w:val="0"/>
          <w:numId w:val="1002"/>
        </w:numPr>
      </w:pPr>
      <w:r>
        <w:t xml:space="preserve">Introduce semi-automated model translation workflows between platforms (e.g., CBECC → IDF → IESVE)</w:t>
      </w:r>
    </w:p>
    <w:bookmarkEnd w:id="23"/>
    <w:bookmarkStart w:id="24" w:name="year-3-innovation-integration"/>
    <w:p>
      <w:pPr>
        <w:pStyle w:val="Heading4"/>
      </w:pPr>
      <w:r>
        <w:t xml:space="preserve">Year 3: Innovation &amp; Integration</w:t>
      </w:r>
    </w:p>
    <w:p>
      <w:pPr>
        <w:pStyle w:val="Compact"/>
        <w:numPr>
          <w:ilvl w:val="0"/>
          <w:numId w:val="1005"/>
        </w:numPr>
      </w:pPr>
      <w:r>
        <w:t xml:space="preserve">Integrate workflows across energy, cost, carbon, and ESG platforms, enabling consistent outputs across LCA tools, IRA compliance tools, and investment-grade assessments</w:t>
      </w:r>
    </w:p>
    <w:p>
      <w:pPr>
        <w:pStyle w:val="Compact"/>
        <w:numPr>
          <w:ilvl w:val="0"/>
          <w:numId w:val="1005"/>
        </w:numPr>
      </w:pPr>
      <w:r>
        <w:t xml:space="preserve">Launch parametric modeling tools for early-phase massing, envelope, and HVAC tradeoff studies with embedded compliance logic</w:t>
      </w:r>
    </w:p>
    <w:p>
      <w:pPr>
        <w:pStyle w:val="Compact"/>
        <w:numPr>
          <w:ilvl w:val="0"/>
          <w:numId w:val="1005"/>
        </w:numPr>
      </w:pPr>
      <w:r>
        <w:t xml:space="preserve">Develop</w:t>
      </w:r>
      <w:r>
        <w:t xml:space="preserve"> </w:t>
      </w:r>
      <w:r>
        <w:t xml:space="preserve">“Energy &amp; Carbon Strategy”</w:t>
      </w:r>
      <w:r>
        <w:t xml:space="preserve"> </w:t>
      </w:r>
      <w:r>
        <w:t xml:space="preserve">consulting packages for developers and design teams, offered in pre-development or entitlement phases</w:t>
      </w:r>
    </w:p>
    <w:p>
      <w:pPr>
        <w:pStyle w:val="Compact"/>
        <w:numPr>
          <w:ilvl w:val="0"/>
          <w:numId w:val="1005"/>
        </w:numPr>
      </w:pPr>
      <w:r>
        <w:t xml:space="preserve">Coordinate whole-building modeling scopes (energy, carbon, water, health) to support certifications such as LEED, WELL, and 179D/45L tax incentives</w:t>
      </w:r>
    </w:p>
    <w:p>
      <w:pPr>
        <w:pStyle w:val="Compact"/>
        <w:numPr>
          <w:ilvl w:val="0"/>
          <w:numId w:val="1005"/>
        </w:numPr>
      </w:pPr>
      <w:r>
        <w:t xml:space="preserve">Train senior staff in client-facing storytelling — translating technical results into actionable business or policy insights for executives, investors, and authorities having jurisdiction (AHJs)</w:t>
      </w:r>
    </w:p>
    <w:p>
      <w:pPr>
        <w:pStyle w:val="Compact"/>
        <w:numPr>
          <w:ilvl w:val="0"/>
          <w:numId w:val="1005"/>
        </w:numPr>
      </w:pPr>
      <w:r>
        <w:t xml:space="preserve">Pilot integrated dashboards or</w:t>
      </w:r>
      <w:r>
        <w:t xml:space="preserve"> </w:t>
      </w:r>
      <w:r>
        <w:t xml:space="preserve">“single source of truth”</w:t>
      </w:r>
      <w:r>
        <w:t xml:space="preserve"> </w:t>
      </w:r>
      <w:r>
        <w:t xml:space="preserve">reporting for client portfolios, combining design assumptions, modeling outputs, and ESG metrics</w:t>
      </w:r>
    </w:p>
    <w:p>
      <w:pPr>
        <w:pStyle w:val="Compact"/>
        <w:numPr>
          <w:ilvl w:val="0"/>
          <w:numId w:val="1005"/>
        </w:numPr>
      </w:pPr>
      <w:r>
        <w:t xml:space="preserve">Expand modeling services to support existing building initiatives, including portfolio-wide energy monitoring, targeted energy audits, and LEED for Existing Buildings (LEED-EB) certification pathways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760353031bf30a81f6c1e5e763d5e7874e8abb5"/>
    <w:p>
      <w:pPr>
        <w:pStyle w:val="Heading3"/>
      </w:pPr>
      <w:r>
        <w:t xml:space="preserve">IV. Key Metrics of Success (Condensed Strategic Version)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9"/>
        <w:gridCol w:w="5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 Area</w:t>
            </w:r>
          </w:p>
        </w:tc>
        <w:tc>
          <w:tcPr/>
          <w:p>
            <w:pPr>
              <w:pStyle w:val="Compact"/>
            </w:pPr>
            <w:r>
              <w:t xml:space="preserve">Representative Metrics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Project Delivery</w:t>
            </w:r>
          </w:p>
        </w:tc>
        <w:tc>
          <w:tcPr/>
          <w:p>
            <w:pPr>
              <w:pStyle w:val="Compact"/>
            </w:pPr>
            <w:r>
              <w:t xml:space="preserve">% on-time deliverables; avg. turnaround; QA/QC pass rate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Workforce Development</w:t>
            </w:r>
          </w:p>
        </w:tc>
        <w:tc>
          <w:tcPr/>
          <w:p>
            <w:pPr>
              <w:pStyle w:val="Compact"/>
            </w:pPr>
            <w:r>
              <w:t xml:space="preserve">Cross-trained staff %; certifications; hours saved via automation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Design Impact</w:t>
            </w:r>
          </w:p>
        </w:tc>
        <w:tc>
          <w:tcPr/>
          <w:p>
            <w:pPr>
              <w:pStyle w:val="Compact"/>
            </w:pPr>
            <w:r>
              <w:t xml:space="preserve"># of projects influenced by feedback; cost savings; LEED certifications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Environmental Impact</w:t>
            </w:r>
          </w:p>
        </w:tc>
        <w:tc>
          <w:tcPr/>
          <w:p>
            <w:pPr>
              <w:pStyle w:val="Compact"/>
            </w:pPr>
            <w:r>
              <w:t xml:space="preserve">Annual kWh and MTCO₂e savings; performance vs. code and basis of design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Strategic Client Value</w:t>
            </w:r>
          </w:p>
        </w:tc>
        <w:tc>
          <w:tcPr/>
          <w:p>
            <w:pPr>
              <w:pStyle w:val="Compact"/>
            </w:pPr>
            <w:r>
              <w:t xml:space="preserve">Scope expansions; client retention and repeat 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Innovation &amp; Tools</w:t>
            </w:r>
          </w:p>
        </w:tc>
        <w:tc>
          <w:tcPr/>
          <w:p>
            <w:pPr>
              <w:pStyle w:val="Compact"/>
            </w:pPr>
            <w:r>
              <w:t xml:space="preserve">Tools piloted; workflows automated or integrated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 Transformation</w:t>
            </w:r>
          </w:p>
        </w:tc>
        <w:tc>
          <w:tcPr/>
          <w:p>
            <w:pPr>
              <w:pStyle w:val="Compact"/>
            </w:pPr>
            <w:r>
              <w:t xml:space="preserve">% All-Electric/NZE/NZC projects; portfolio shifts; conferences, partnerships, publications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v.-risks-contingencies"/>
    <w:p>
      <w:pPr>
        <w:pStyle w:val="Heading3"/>
      </w:pPr>
      <w:r>
        <w:t xml:space="preserve">V. Risks &amp; Contingencies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97"/>
        <w:gridCol w:w="62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Staff burnout or turnover</w:t>
            </w:r>
          </w:p>
        </w:tc>
        <w:tc>
          <w:tcPr/>
          <w:p>
            <w:pPr>
              <w:pStyle w:val="Compact"/>
            </w:pPr>
            <w:r>
              <w:t xml:space="preserve">Automate routine tasks; prioritize analytical work; define clear career paths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Regulatory complexity</w:t>
            </w:r>
          </w:p>
        </w:tc>
        <w:tc>
          <w:tcPr/>
          <w:p>
            <w:pPr>
              <w:pStyle w:val="Compact"/>
            </w:pPr>
            <w:r>
              <w:t xml:space="preserve">Assign compliance lead; maintain code library; engage in code working groups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Policy volatility</w:t>
            </w:r>
          </w:p>
        </w:tc>
        <w:tc>
          <w:tcPr/>
          <w:p>
            <w:pPr>
              <w:pStyle w:val="Compact"/>
            </w:pPr>
            <w:r>
              <w:t xml:space="preserve">Diversify services with voluntary frameworks; stay regionally agile; support market-driven decarbonization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Design delays</w:t>
            </w:r>
          </w:p>
        </w:tc>
        <w:tc>
          <w:tcPr/>
          <w:p>
            <w:pPr>
              <w:pStyle w:val="Compact"/>
            </w:pPr>
            <w:r>
              <w:t xml:space="preserve">Use structured intake forms and QA gates aligned to milestones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Cost constraints</w:t>
            </w:r>
          </w:p>
        </w:tc>
        <w:tc>
          <w:tcPr/>
          <w:p>
            <w:pPr>
              <w:pStyle w:val="Compact"/>
            </w:pPr>
            <w:r>
              <w:t xml:space="preserve">Offer tiered services; show value with scenario tools and dashboards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Workflow fragmentation</w:t>
            </w:r>
          </w:p>
        </w:tc>
        <w:tc>
          <w:tcPr/>
          <w:p>
            <w:pPr>
              <w:pStyle w:val="Compact"/>
            </w:pPr>
            <w:r>
              <w:t xml:space="preserve">Standardize templates and translation workflows across platforms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 inaction</w:t>
            </w:r>
          </w:p>
        </w:tc>
        <w:tc>
          <w:tcPr/>
          <w:p>
            <w:pPr>
              <w:pStyle w:val="Compact"/>
            </w:pPr>
            <w:r>
              <w:t xml:space="preserve">Improve storytelling and executive framing of insights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 creep</w:t>
            </w:r>
          </w:p>
        </w:tc>
        <w:tc>
          <w:tcPr/>
          <w:p>
            <w:pPr>
              <w:pStyle w:val="Compact"/>
            </w:pPr>
            <w:r>
              <w:t xml:space="preserve">Define scope boundaries; use checklists and change order protocols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vi.-strategic-enablers"/>
    <w:p>
      <w:pPr>
        <w:pStyle w:val="Heading3"/>
      </w:pPr>
      <w:r>
        <w:t xml:space="preserve">VI. Strategic Enablers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Enabler</w:t>
            </w:r>
          </w:p>
        </w:tc>
        <w:tc>
          <w:tcPr/>
          <w:p>
            <w:pPr>
              <w:pStyle w:val="Compact"/>
            </w:pPr>
            <w:r>
              <w:t xml:space="preserve">Role in 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Leadership commitment to innovation</w:t>
            </w:r>
          </w:p>
        </w:tc>
        <w:tc>
          <w:tcPr/>
          <w:p>
            <w:pPr>
              <w:pStyle w:val="Compact"/>
            </w:pPr>
            <w:r>
              <w:t xml:space="preserve">Protects time and resources for R&amp;D and tool development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Cross-functional collaboration</w:t>
            </w:r>
          </w:p>
        </w:tc>
        <w:tc>
          <w:tcPr/>
          <w:p>
            <w:pPr>
              <w:pStyle w:val="Compact"/>
            </w:pPr>
            <w:r>
              <w:t xml:space="preserve">Embeds modeling in LEED, LCA, ESG, and compliance workflows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 and reviewer feedback loops</w:t>
            </w:r>
          </w:p>
        </w:tc>
        <w:tc>
          <w:tcPr/>
          <w:p>
            <w:pPr>
              <w:pStyle w:val="Compact"/>
            </w:pPr>
            <w:r>
              <w:t xml:space="preserve">Improve QA/QC and reduce jurisdictional 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Cloud-based tools</w:t>
            </w:r>
          </w:p>
        </w:tc>
        <w:tc>
          <w:tcPr/>
          <w:p>
            <w:pPr>
              <w:pStyle w:val="Compact"/>
            </w:pPr>
            <w:r>
              <w:t xml:space="preserve">Support scalable, consistent modeling with remote teams (e.g., Python, GitHub, Excel, Dropbox)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Strategic storytelling</w:t>
            </w:r>
          </w:p>
        </w:tc>
        <w:tc>
          <w:tcPr/>
          <w:p>
            <w:pPr>
              <w:pStyle w:val="Compact"/>
            </w:pPr>
            <w:r>
              <w:t xml:space="preserve">Increase adoption of modeling insights and decision-making 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Industry presence and partnerships</w:t>
            </w:r>
          </w:p>
        </w:tc>
        <w:tc>
          <w:tcPr/>
          <w:p>
            <w:pPr>
              <w:pStyle w:val="Compact"/>
            </w:pPr>
            <w:r>
              <w:t xml:space="preserve">Stay ahead of policy trends and drive best practices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Modular workflow design</w:t>
            </w:r>
          </w:p>
        </w:tc>
        <w:tc>
          <w:tcPr/>
          <w:p>
            <w:pPr>
              <w:pStyle w:val="Compact"/>
            </w:pPr>
            <w:r>
              <w:t xml:space="preserve">Future-proofs tools for evolving technology and policy needs</w:t>
            </w: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2025-07-11T03:07:30Z</dcterms:created>
  <dcterms:modified xsi:type="dcterms:W3CDTF">2025-07-11T03:07:30Z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