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b w:val="0"/>
        </w:rPr>
      </w:pPr>
      <w:bookmarkStart w:colFirst="0" w:colLast="0" w:name="_yqhd0t5gc8f0" w:id="0"/>
      <w:bookmarkEnd w:id="0"/>
      <w:r w:rsidDel="00000000" w:rsidR="00000000" w:rsidRPr="00000000">
        <w:rPr>
          <w:sz w:val="48"/>
          <w:szCs w:val="48"/>
          <w:rtl w:val="0"/>
        </w:rPr>
        <w:t xml:space="preserve">Remote Access Tools Policy</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hfm5bsltjui4" w:id="1"/>
      <w:bookmarkEnd w:id="1"/>
      <w:r w:rsidDel="00000000" w:rsidR="00000000" w:rsidRPr="00000000">
        <w:rPr>
          <w:rtl w:val="0"/>
        </w:rPr>
        <w:t xml:space="preserve">June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rPr/>
      </w:pPr>
      <w:bookmarkStart w:colFirst="0" w:colLast="0" w:name="_zbxmillsvow7"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cugjqkm78ego"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cugjqkm78ego">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3b8y2wulq2r9">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7g8fatxxmevr">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kioayvx3id7g">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8yca70wbp2sa">
            <w:r w:rsidDel="00000000" w:rsidR="00000000" w:rsidRPr="00000000">
              <w:rPr>
                <w:color w:val="1155cc"/>
                <w:u w:val="single"/>
                <w:rtl w:val="0"/>
              </w:rPr>
              <w:t xml:space="preserve">Policy</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gqbyh7arknzt">
            <w:r w:rsidDel="00000000" w:rsidR="00000000" w:rsidRPr="00000000">
              <w:rPr>
                <w:color w:val="1155cc"/>
                <w:u w:val="single"/>
                <w:rtl w:val="0"/>
              </w:rPr>
              <w:t xml:space="preserve">Remote Access Tools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f3r0vemj1xfs">
            <w:r w:rsidDel="00000000" w:rsidR="00000000" w:rsidRPr="00000000">
              <w:rPr>
                <w:color w:val="1155cc"/>
                <w:u w:val="single"/>
                <w:rtl w:val="0"/>
              </w:rPr>
              <w:t xml:space="preserve">Policy Compliance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gan660xir2j3">
            <w:r w:rsidDel="00000000" w:rsidR="00000000" w:rsidRPr="00000000">
              <w:rPr>
                <w:color w:val="1155cc"/>
                <w:u w:val="single"/>
                <w:rtl w:val="0"/>
              </w:rPr>
              <w:t xml:space="preserve">Compliance Measurement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elxlxpj9prs8">
            <w:r w:rsidDel="00000000" w:rsidR="00000000" w:rsidRPr="00000000">
              <w:rPr>
                <w:color w:val="1155cc"/>
                <w:u w:val="single"/>
                <w:rtl w:val="0"/>
              </w:rPr>
              <w:t xml:space="preserve">Exceptions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3xuloaj1og2">
            <w:r w:rsidDel="00000000" w:rsidR="00000000" w:rsidRPr="00000000">
              <w:rPr>
                <w:color w:val="1155cc"/>
                <w:u w:val="single"/>
                <w:rtl w:val="0"/>
              </w:rPr>
              <w:t xml:space="preserve">Non-Compliance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dt45h06wp6n0">
            <w:r w:rsidDel="00000000" w:rsidR="00000000" w:rsidRPr="00000000">
              <w:rPr>
                <w:color w:val="1155cc"/>
                <w:u w:val="single"/>
                <w:rtl w:val="0"/>
              </w:rPr>
              <w:t xml:space="preserve">Related Standards, Policies and Processes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xzlgiakt8pdi">
            <w:r w:rsidDel="00000000" w:rsidR="00000000" w:rsidRPr="00000000">
              <w:rPr>
                <w:color w:val="1155cc"/>
                <w:u w:val="single"/>
                <w:rtl w:val="0"/>
              </w:rPr>
              <w:t xml:space="preserve">Definitions and Terms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iwv7gk9q8xr">
            <w:r w:rsidDel="00000000" w:rsidR="00000000" w:rsidRPr="00000000">
              <w:rPr>
                <w:color w:val="1155cc"/>
                <w:u w:val="single"/>
                <w:rtl w:val="0"/>
              </w:rPr>
              <w:t xml:space="preserve">Revision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48"/>
          <w:szCs w:val="48"/>
        </w:rPr>
      </w:pPr>
      <w:r w:rsidDel="00000000" w:rsidR="00000000" w:rsidRPr="00000000">
        <w:rPr>
          <w:rtl w:val="0"/>
        </w:rPr>
      </w:r>
    </w:p>
    <w:p w:rsidR="00000000" w:rsidDel="00000000" w:rsidP="00000000" w:rsidRDefault="00000000" w:rsidRPr="00000000">
      <w:pPr>
        <w:pStyle w:val="Heading1"/>
        <w:numPr>
          <w:ilvl w:val="0"/>
          <w:numId w:val="3"/>
        </w:numPr>
        <w:pBdr/>
        <w:ind w:left="360" w:hanging="360"/>
        <w:contextualSpacing w:val="1"/>
      </w:pPr>
      <w:bookmarkStart w:colFirst="0" w:colLast="0" w:name="_3b8y2wulq2r9" w:id="4"/>
      <w:bookmarkEnd w:id="4"/>
      <w:r w:rsidDel="00000000" w:rsidR="00000000" w:rsidRPr="00000000">
        <w:rPr>
          <w:rtl w:val="0"/>
        </w:rPr>
        <w:t xml:space="preserve">   Overview</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Remote desktop software, also known as remote access tools, provide a way for computer users and support staff alike to share screens, access work computer systems from home, and vice versa. Examples of such software include LogMeIn, GoToMyPC, VNC (Virtual Network Computing), and Windows Remote Desktop (RDP).  While these tools can save significant time and money by eliminating travel and enabling collaboration, they also provide a back door into the Infinity Works Consulting network that can be used for theft of, unauthorized access to, or destruction of assets.  As a result, only approved, monitored, and properly controlled remote access tools may be used on Infinity Works Consulting computer systems.</w:t>
      </w:r>
    </w:p>
    <w:p w:rsidR="00000000" w:rsidDel="00000000" w:rsidP="00000000" w:rsidRDefault="00000000" w:rsidRPr="00000000">
      <w:pPr>
        <w:pBd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3"/>
        </w:numPr>
        <w:pBdr/>
        <w:ind w:left="360" w:hanging="360"/>
        <w:contextualSpacing w:val="1"/>
      </w:pPr>
      <w:bookmarkStart w:colFirst="0" w:colLast="0" w:name="_7g8fatxxmevr" w:id="5"/>
      <w:bookmarkEnd w:id="5"/>
      <w:r w:rsidDel="00000000" w:rsidR="00000000" w:rsidRPr="00000000">
        <w:rPr>
          <w:rtl w:val="0"/>
        </w:rPr>
        <w:t xml:space="preserve">   </w:t>
      </w:r>
      <w:r w:rsidDel="00000000" w:rsidR="00000000" w:rsidRPr="00000000">
        <w:rPr>
          <w:rtl w:val="0"/>
        </w:rPr>
        <w:t xml:space="preserve">Purpose</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This policy defines the requirements for remote access tools used at Infinity Works Consulting</w:t>
      </w:r>
    </w:p>
    <w:p w:rsidR="00000000" w:rsidDel="00000000" w:rsidP="00000000" w:rsidRDefault="00000000" w:rsidRPr="00000000">
      <w:pPr>
        <w:pStyle w:val="Heading1"/>
        <w:numPr>
          <w:ilvl w:val="0"/>
          <w:numId w:val="3"/>
        </w:numPr>
        <w:pBdr/>
        <w:ind w:left="360" w:hanging="360"/>
        <w:contextualSpacing w:val="1"/>
      </w:pPr>
      <w:bookmarkStart w:colFirst="0" w:colLast="0" w:name="_kioayvx3id7g" w:id="6"/>
      <w:bookmarkEnd w:id="6"/>
      <w:r w:rsidDel="00000000" w:rsidR="00000000" w:rsidRPr="00000000">
        <w:rPr>
          <w:rtl w:val="0"/>
        </w:rPr>
        <w:t xml:space="preserve">   </w:t>
      </w:r>
      <w:r w:rsidDel="00000000" w:rsidR="00000000" w:rsidRPr="00000000">
        <w:rPr>
          <w:rtl w:val="0"/>
        </w:rPr>
        <w:t xml:space="preserve">Scope</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This policy applies to all remote access where either end of the communication terminates at a Infinity Works Consulting computer asset</w:t>
      </w:r>
    </w:p>
    <w:p w:rsidR="00000000" w:rsidDel="00000000" w:rsidP="00000000" w:rsidRDefault="00000000" w:rsidRPr="00000000">
      <w:pPr>
        <w:pStyle w:val="Heading1"/>
        <w:numPr>
          <w:ilvl w:val="0"/>
          <w:numId w:val="3"/>
        </w:numPr>
        <w:pBdr/>
        <w:ind w:left="360" w:hanging="360"/>
        <w:contextualSpacing w:val="1"/>
      </w:pPr>
      <w:bookmarkStart w:colFirst="0" w:colLast="0" w:name="_8yca70wbp2sa" w:id="7"/>
      <w:bookmarkEnd w:id="7"/>
      <w:r w:rsidDel="00000000" w:rsidR="00000000" w:rsidRPr="00000000">
        <w:rPr>
          <w:rtl w:val="0"/>
        </w:rPr>
        <w:t xml:space="preserve">   </w:t>
      </w:r>
      <w:r w:rsidDel="00000000" w:rsidR="00000000" w:rsidRPr="00000000">
        <w:rPr>
          <w:rtl w:val="0"/>
        </w:rPr>
        <w:t xml:space="preserve">Policy</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All remote access tools used to communicate between Infinity Works Consulting assets and other systems must comply with the following policy requirements.</w:t>
      </w:r>
    </w:p>
    <w:p w:rsidR="00000000" w:rsidDel="00000000" w:rsidP="00000000" w:rsidRDefault="00000000" w:rsidRPr="00000000">
      <w:pPr>
        <w:pBd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2"/>
        <w:pBdr/>
        <w:spacing w:after="0" w:line="240" w:lineRule="auto"/>
        <w:contextualSpacing w:val="0"/>
        <w:jc w:val="both"/>
        <w:rPr/>
      </w:pPr>
      <w:bookmarkStart w:colFirst="0" w:colLast="0" w:name="_gqbyh7arknzt" w:id="8"/>
      <w:bookmarkEnd w:id="8"/>
      <w:r w:rsidDel="00000000" w:rsidR="00000000" w:rsidRPr="00000000">
        <w:rPr>
          <w:rtl w:val="0"/>
        </w:rPr>
        <w:t xml:space="preserve">4.1 Remote Access Tools</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Infinity Works Consulting</w:t>
      </w:r>
      <w:r w:rsidDel="00000000" w:rsidR="00000000" w:rsidRPr="00000000">
        <w:rPr>
          <w:sz w:val="24"/>
          <w:szCs w:val="24"/>
          <w:rtl w:val="0"/>
        </w:rPr>
        <w:t xml:space="preserve"> provides mechanisms to collaborate between internal users, with external partners, and from non-Infinity Works Consulting systems.  The current approved software is LogMeIn, GoToMyPC, VNC (Virtual Network Computing), and Windows Remote Desktop (RDP) only.  Because proper configuration is important for secure use of these tools, mandatory configuration procedures are provided for each of the approved tools.</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The approved software may change at any time, but the following requirements will be used for selecting approved products:</w:t>
      </w:r>
    </w:p>
    <w:p w:rsidR="00000000" w:rsidDel="00000000" w:rsidP="00000000" w:rsidRDefault="00000000" w:rsidRPr="00000000">
      <w:pPr>
        <w:numPr>
          <w:ilvl w:val="0"/>
          <w:numId w:val="5"/>
        </w:numPr>
        <w:pBdr/>
        <w:spacing w:after="0" w:line="240" w:lineRule="auto"/>
        <w:ind w:left="720" w:hanging="360"/>
        <w:contextualSpacing w:val="1"/>
        <w:rPr>
          <w:b w:val="0"/>
          <w:sz w:val="24"/>
          <w:szCs w:val="24"/>
        </w:rPr>
      </w:pPr>
      <w:r w:rsidDel="00000000" w:rsidR="00000000" w:rsidRPr="00000000">
        <w:rPr>
          <w:sz w:val="24"/>
          <w:szCs w:val="24"/>
          <w:rtl w:val="0"/>
        </w:rPr>
        <w:t xml:space="preserve">All remote access tools or systems that allow communication to Infinity Works Consulting resources from the Internet or external partner systems must require multi-factor authentication.  Examples include authentication tokens and smart cards that require an additional PIN or password.</w:t>
      </w:r>
    </w:p>
    <w:p w:rsidR="00000000" w:rsidDel="00000000" w:rsidP="00000000" w:rsidRDefault="00000000" w:rsidRPr="00000000">
      <w:pPr>
        <w:numPr>
          <w:ilvl w:val="0"/>
          <w:numId w:val="5"/>
        </w:numPr>
        <w:pBdr/>
        <w:spacing w:after="0" w:line="240" w:lineRule="auto"/>
        <w:ind w:left="720" w:hanging="360"/>
        <w:contextualSpacing w:val="1"/>
        <w:rPr>
          <w:b w:val="0"/>
          <w:sz w:val="24"/>
          <w:szCs w:val="24"/>
        </w:rPr>
      </w:pPr>
      <w:r w:rsidDel="00000000" w:rsidR="00000000" w:rsidRPr="00000000">
        <w:rPr>
          <w:sz w:val="24"/>
          <w:szCs w:val="24"/>
          <w:rtl w:val="0"/>
        </w:rPr>
        <w:t xml:space="preserve">The authentication database source must be Active Directory or LDAP, and the authentication protocol must involve a challenge-response protocol that is not susceptible to replay attacks.  The remote access tool must mutually authenticate both ends of the session.</w:t>
      </w:r>
    </w:p>
    <w:p w:rsidR="00000000" w:rsidDel="00000000" w:rsidP="00000000" w:rsidRDefault="00000000" w:rsidRPr="00000000">
      <w:pPr>
        <w:numPr>
          <w:ilvl w:val="0"/>
          <w:numId w:val="5"/>
        </w:numPr>
        <w:pBdr/>
        <w:spacing w:after="0" w:line="240" w:lineRule="auto"/>
        <w:ind w:left="720" w:hanging="360"/>
        <w:contextualSpacing w:val="1"/>
        <w:rPr>
          <w:b w:val="0"/>
          <w:sz w:val="24"/>
          <w:szCs w:val="24"/>
        </w:rPr>
      </w:pPr>
      <w:r w:rsidDel="00000000" w:rsidR="00000000" w:rsidRPr="00000000">
        <w:rPr>
          <w:sz w:val="24"/>
          <w:szCs w:val="24"/>
          <w:rtl w:val="0"/>
        </w:rPr>
        <w:t xml:space="preserve">Remote access tools must support an Infinity Works Consulting application layer proxy rather than direct connections through the perimeter firewall(s).</w:t>
      </w:r>
    </w:p>
    <w:p w:rsidR="00000000" w:rsidDel="00000000" w:rsidP="00000000" w:rsidRDefault="00000000" w:rsidRPr="00000000">
      <w:pPr>
        <w:numPr>
          <w:ilvl w:val="0"/>
          <w:numId w:val="5"/>
        </w:numPr>
        <w:pBdr/>
        <w:spacing w:after="0" w:line="240" w:lineRule="auto"/>
        <w:ind w:left="720" w:hanging="360"/>
        <w:contextualSpacing w:val="1"/>
        <w:rPr>
          <w:b w:val="0"/>
          <w:sz w:val="24"/>
          <w:szCs w:val="24"/>
        </w:rPr>
      </w:pPr>
      <w:r w:rsidDel="00000000" w:rsidR="00000000" w:rsidRPr="00000000">
        <w:rPr>
          <w:sz w:val="24"/>
          <w:szCs w:val="24"/>
          <w:rtl w:val="0"/>
        </w:rPr>
        <w:t xml:space="preserve">Remote access tools must support strong, end-to-end encryption of the remote access communication channels as specified in the Infinity Works Consulting network encryption protocols policy.</w:t>
      </w:r>
    </w:p>
    <w:p w:rsidR="00000000" w:rsidDel="00000000" w:rsidP="00000000" w:rsidRDefault="00000000" w:rsidRPr="00000000">
      <w:pPr>
        <w:numPr>
          <w:ilvl w:val="0"/>
          <w:numId w:val="5"/>
        </w:numPr>
        <w:pBdr/>
        <w:spacing w:after="0" w:line="240" w:lineRule="auto"/>
        <w:ind w:left="720" w:hanging="360"/>
        <w:contextualSpacing w:val="1"/>
        <w:rPr>
          <w:b w:val="0"/>
          <w:sz w:val="24"/>
          <w:szCs w:val="24"/>
        </w:rPr>
      </w:pPr>
      <w:r w:rsidDel="00000000" w:rsidR="00000000" w:rsidRPr="00000000">
        <w:rPr>
          <w:sz w:val="24"/>
          <w:szCs w:val="24"/>
          <w:rtl w:val="0"/>
        </w:rPr>
        <w:t xml:space="preserve">All Infinity Works Consulting antivirus, data loss prevention, and other security systems must not be disabled, interfered with, or circumvented in any way.</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All remote access tools must be purchased through the standard Infinity Works Consulting procurement process, and the Senior Management Team (SMT) must approve the purchase.</w:t>
      </w:r>
    </w:p>
    <w:p w:rsidR="00000000" w:rsidDel="00000000" w:rsidP="00000000" w:rsidRDefault="00000000" w:rsidRPr="00000000">
      <w:pPr>
        <w:pStyle w:val="Heading1"/>
        <w:numPr>
          <w:ilvl w:val="0"/>
          <w:numId w:val="3"/>
        </w:numPr>
        <w:pBdr/>
        <w:ind w:left="360" w:hanging="360"/>
        <w:contextualSpacing w:val="1"/>
      </w:pPr>
      <w:bookmarkStart w:colFirst="0" w:colLast="0" w:name="_f3r0vemj1xfs" w:id="9"/>
      <w:bookmarkEnd w:id="9"/>
      <w:r w:rsidDel="00000000" w:rsidR="00000000" w:rsidRPr="00000000">
        <w:rPr>
          <w:rtl w:val="0"/>
        </w:rPr>
        <w:t xml:space="preserve">   </w:t>
      </w:r>
      <w:r w:rsidDel="00000000" w:rsidR="00000000" w:rsidRPr="00000000">
        <w:rPr>
          <w:rtl w:val="0"/>
        </w:rPr>
        <w:t xml:space="preserve">Policy Compliance</w:t>
      </w:r>
    </w:p>
    <w:p w:rsidR="00000000" w:rsidDel="00000000" w:rsidP="00000000" w:rsidRDefault="00000000" w:rsidRPr="00000000">
      <w:pPr>
        <w:pStyle w:val="Heading2"/>
        <w:numPr>
          <w:ilvl w:val="1"/>
          <w:numId w:val="4"/>
        </w:numPr>
        <w:pBdr/>
        <w:spacing w:after="0" w:lineRule="auto"/>
        <w:ind w:left="360"/>
        <w:contextualSpacing w:val="1"/>
        <w:rPr/>
      </w:pPr>
      <w:bookmarkStart w:colFirst="0" w:colLast="0" w:name="_gan660xir2j3" w:id="10"/>
      <w:bookmarkEnd w:id="10"/>
      <w:r w:rsidDel="00000000" w:rsidR="00000000" w:rsidRPr="00000000">
        <w:rPr>
          <w:rtl w:val="0"/>
        </w:rPr>
        <w:t xml:space="preserve">    Compliance Measurement</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The Infinity Works Consulting Security Guild will verify compliance to this policy through various methods, including but not limited to, periodic walkthroughs, video monitoring, business tool reports, internal and external audits, and feedback to the policy owner. </w:t>
      </w:r>
    </w:p>
    <w:p w:rsidR="00000000" w:rsidDel="00000000" w:rsidP="00000000" w:rsidRDefault="00000000" w:rsidRPr="00000000">
      <w:pPr>
        <w:pStyle w:val="Heading2"/>
        <w:numPr>
          <w:ilvl w:val="1"/>
          <w:numId w:val="4"/>
        </w:numPr>
        <w:pBdr/>
        <w:spacing w:after="0" w:before="0" w:lineRule="auto"/>
        <w:ind w:left="360"/>
        <w:contextualSpacing w:val="1"/>
        <w:rPr/>
      </w:pPr>
      <w:bookmarkStart w:colFirst="0" w:colLast="0" w:name="_elxlxpj9prs8" w:id="11"/>
      <w:bookmarkEnd w:id="11"/>
      <w:r w:rsidDel="00000000" w:rsidR="00000000" w:rsidRPr="00000000">
        <w:rPr>
          <w:rtl w:val="0"/>
        </w:rPr>
        <w:t xml:space="preserve">Exceptions</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Any exception to the policy must be approved by the Infinity Works Consulting Security Guild in advance. </w:t>
      </w:r>
    </w:p>
    <w:p w:rsidR="00000000" w:rsidDel="00000000" w:rsidP="00000000" w:rsidRDefault="00000000" w:rsidRPr="00000000">
      <w:pPr>
        <w:pStyle w:val="Heading2"/>
        <w:numPr>
          <w:ilvl w:val="1"/>
          <w:numId w:val="4"/>
        </w:numPr>
        <w:pBdr/>
        <w:spacing w:after="0" w:before="0" w:lineRule="auto"/>
        <w:ind w:left="360"/>
        <w:contextualSpacing w:val="1"/>
        <w:rPr/>
      </w:pPr>
      <w:bookmarkStart w:colFirst="0" w:colLast="0" w:name="_3xuloaj1og2" w:id="12"/>
      <w:bookmarkEnd w:id="12"/>
      <w:r w:rsidDel="00000000" w:rsidR="00000000" w:rsidRPr="00000000">
        <w:rPr>
          <w:rtl w:val="0"/>
        </w:rPr>
        <w:t xml:space="preserve">Non-Compliance</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An employee found to have violated this policy may be subject to disciplinary action, up to and including termination of employment. </w:t>
      </w:r>
    </w:p>
    <w:p w:rsidR="00000000" w:rsidDel="00000000" w:rsidP="00000000" w:rsidRDefault="00000000" w:rsidRPr="00000000">
      <w:pPr>
        <w:pStyle w:val="Heading1"/>
        <w:numPr>
          <w:ilvl w:val="0"/>
          <w:numId w:val="4"/>
        </w:numPr>
        <w:pBdr/>
        <w:ind w:left="360" w:hanging="360"/>
        <w:contextualSpacing w:val="1"/>
      </w:pPr>
      <w:bookmarkStart w:colFirst="0" w:colLast="0" w:name="_dt45h06wp6n0" w:id="13"/>
      <w:bookmarkEnd w:id="13"/>
      <w:r w:rsidDel="00000000" w:rsidR="00000000" w:rsidRPr="00000000">
        <w:rPr>
          <w:rtl w:val="0"/>
        </w:rPr>
        <w:t xml:space="preserve">   </w:t>
      </w:r>
      <w:r w:rsidDel="00000000" w:rsidR="00000000" w:rsidRPr="00000000">
        <w:rPr>
          <w:rtl w:val="0"/>
        </w:rPr>
        <w:t xml:space="preserve">Related Standards, Policies and Processes</w:t>
      </w:r>
    </w:p>
    <w:p w:rsidR="00000000" w:rsidDel="00000000" w:rsidP="00000000" w:rsidRDefault="00000000" w:rsidRPr="00000000">
      <w:pPr>
        <w:pBdr/>
        <w:spacing w:after="200" w:lineRule="auto"/>
        <w:ind w:left="0" w:firstLine="0"/>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Style w:val="Heading1"/>
        <w:numPr>
          <w:ilvl w:val="0"/>
          <w:numId w:val="4"/>
        </w:numPr>
        <w:pBdr/>
        <w:ind w:left="360" w:hanging="360"/>
        <w:contextualSpacing w:val="1"/>
      </w:pPr>
      <w:bookmarkStart w:colFirst="0" w:colLast="0" w:name="_xzlgiakt8pdi" w:id="14"/>
      <w:bookmarkEnd w:id="14"/>
      <w:r w:rsidDel="00000000" w:rsidR="00000000" w:rsidRPr="00000000">
        <w:rPr>
          <w:rtl w:val="0"/>
        </w:rPr>
        <w:t xml:space="preserve">   </w:t>
      </w:r>
      <w:r w:rsidDel="00000000" w:rsidR="00000000" w:rsidRPr="00000000">
        <w:rPr>
          <w:rtl w:val="0"/>
        </w:rPr>
        <w:t xml:space="preserve">Definitions and Terms</w:t>
      </w:r>
    </w:p>
    <w:p w:rsidR="00000000" w:rsidDel="00000000" w:rsidP="00000000" w:rsidRDefault="00000000" w:rsidRPr="00000000">
      <w:pPr>
        <w:pBdr/>
        <w:spacing w:after="0" w:lineRule="auto"/>
        <w:contextualSpacing w:val="0"/>
        <w:rPr>
          <w:sz w:val="24"/>
          <w:szCs w:val="24"/>
        </w:rPr>
      </w:pPr>
      <w:r w:rsidDel="00000000" w:rsidR="00000000" w:rsidRPr="00000000">
        <w:rPr>
          <w:sz w:val="24"/>
          <w:szCs w:val="24"/>
          <w:rtl w:val="0"/>
        </w:rPr>
        <w:t xml:space="preserve">The following definition and terms can be found in the SANS Glossary located at:</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https://www.sans.org/security-resources/glossary-of-terms/</w:t>
      </w:r>
    </w:p>
    <w:p w:rsidR="00000000" w:rsidDel="00000000" w:rsidP="00000000" w:rsidRDefault="00000000" w:rsidRPr="00000000">
      <w:pPr>
        <w:numPr>
          <w:ilvl w:val="0"/>
          <w:numId w:val="1"/>
        </w:numPr>
        <w:pBdr/>
        <w:spacing w:after="200" w:lineRule="auto"/>
        <w:ind w:left="720" w:hanging="360"/>
        <w:contextualSpacing w:val="1"/>
        <w:rPr>
          <w:rFonts w:ascii="Dosis" w:cs="Dosis" w:eastAsia="Dosis" w:hAnsi="Dosis"/>
          <w:b w:val="0"/>
          <w:sz w:val="24"/>
          <w:szCs w:val="24"/>
        </w:rPr>
      </w:pPr>
      <w:r w:rsidDel="00000000" w:rsidR="00000000" w:rsidRPr="00000000">
        <w:rPr>
          <w:sz w:val="24"/>
          <w:szCs w:val="24"/>
          <w:rtl w:val="0"/>
        </w:rPr>
        <w:t xml:space="preserve">Application layer proxy</w:t>
      </w:r>
    </w:p>
    <w:p w:rsidR="00000000" w:rsidDel="00000000" w:rsidP="00000000" w:rsidRDefault="00000000" w:rsidRPr="00000000">
      <w:pPr>
        <w:pStyle w:val="Heading1"/>
        <w:numPr>
          <w:ilvl w:val="0"/>
          <w:numId w:val="2"/>
        </w:numPr>
        <w:pBdr/>
        <w:ind w:left="360" w:hanging="360"/>
        <w:contextualSpacing w:val="1"/>
      </w:pPr>
      <w:bookmarkStart w:colFirst="0" w:colLast="0" w:name="_iwv7gk9q8xr" w:id="15"/>
      <w:bookmarkEnd w:id="15"/>
      <w:r w:rsidDel="00000000" w:rsidR="00000000" w:rsidRPr="00000000">
        <w:rPr>
          <w:rtl w:val="0"/>
        </w:rPr>
        <w:t xml:space="preserve">   </w:t>
      </w:r>
      <w:r w:rsidDel="00000000" w:rsidR="00000000" w:rsidRPr="00000000">
        <w:rPr>
          <w:rtl w:val="0"/>
        </w:rPr>
        <w:t xml:space="preserve">Revision History</w:t>
      </w:r>
      <w:r w:rsidDel="00000000" w:rsidR="00000000" w:rsidRPr="00000000">
        <w:rPr>
          <w:rtl w:val="0"/>
        </w:rPr>
      </w:r>
    </w:p>
    <w:tbl>
      <w:tblPr>
        <w:tblStyle w:val="Table1"/>
        <w:bidiVisual w:val="0"/>
        <w:tblW w:w="107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6666666666665"/>
        <w:gridCol w:w="3590.6666666666665"/>
        <w:gridCol w:w="3590.6666666666665"/>
        <w:tblGridChange w:id="0">
          <w:tblGrid>
            <w:gridCol w:w="3590.6666666666665"/>
            <w:gridCol w:w="3590.6666666666665"/>
            <w:gridCol w:w="3590.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Date of 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Responsible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Summary of 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June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Infinity Works Consulting Security Guild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Updated and converted to new format</w:t>
            </w:r>
          </w:p>
        </w:tc>
      </w:tr>
    </w:tbl>
    <w:p w:rsidR="00000000" w:rsidDel="00000000" w:rsidP="00000000" w:rsidRDefault="00000000" w:rsidRPr="00000000">
      <w:pPr>
        <w:pBdr/>
        <w:spacing w:after="20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6838" w:w="11906"/>
      <w:pgMar w:bottom="566.9291338582677" w:top="566.9291338582677" w:left="566.9291338582677" w:right="566.929133858267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osi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rtl w:val="0"/>
      </w:rPr>
    </w:r>
  </w:p>
  <w:tbl>
    <w:tblPr>
      <w:tblStyle w:val="Table2"/>
      <w:bidiVisual w:val="0"/>
      <w:tblW w:w="10772.0" w:type="dxa"/>
      <w:jc w:val="left"/>
      <w:tblLayout w:type="fixed"/>
      <w:tblLook w:val="0600"/>
    </w:tblPr>
    <w:tblGrid>
      <w:gridCol w:w="5386"/>
      <w:gridCol w:w="5386"/>
      <w:tblGridChange w:id="0">
        <w:tblGrid>
          <w:gridCol w:w="5386"/>
          <w:gridCol w:w="5386"/>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Infinity Works Consulting Limited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hyperlink r:id="rId1">
            <w:r w:rsidDel="00000000" w:rsidR="00000000" w:rsidRPr="00000000">
              <w:rPr>
                <w:color w:val="1155cc"/>
                <w:sz w:val="16"/>
                <w:szCs w:val="16"/>
                <w:u w:val="single"/>
                <w:rtl w:val="0"/>
              </w:rPr>
              <w:t xml:space="preserve">http://www.infinityworks.com</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Company Registration No. 08189469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sz w:val="16"/>
              <w:szCs w:val="16"/>
            </w:rPr>
          </w:pPr>
          <w:r w:rsidDel="00000000" w:rsidR="00000000" w:rsidRPr="00000000">
            <w:rPr>
              <w:sz w:val="16"/>
              <w:szCs w:val="16"/>
              <w:rtl w:val="0"/>
            </w:rPr>
            <w:t xml:space="preserve">Commercial in Confidence</w:t>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sz w:val="16"/>
              <w:szCs w:val="16"/>
            </w:rPr>
          </w:pPr>
          <w:r w:rsidDel="00000000" w:rsidR="00000000" w:rsidRPr="00000000">
            <w:rPr>
              <w:sz w:val="16"/>
              <w:szCs w:val="16"/>
              <w:rtl w:val="0"/>
            </w:rPr>
            <w:t xml:space="preserve">Page </w:t>
          </w:r>
          <w:fldSimple w:instr="PAGE" w:fldLock="0" w:dirty="0">
            <w:r w:rsidDel="00000000" w:rsidR="00000000" w:rsidRPr="00000000">
              <w:rPr>
                <w:sz w:val="16"/>
                <w:szCs w:val="16"/>
              </w:rPr>
            </w:r>
          </w:fldSimple>
          <w:r w:rsidDel="00000000" w:rsidR="00000000" w:rsidRPr="00000000">
            <w:rPr>
              <w:sz w:val="16"/>
              <w:szCs w:val="16"/>
              <w:rtl w:val="0"/>
            </w:rPr>
            <w:t xml:space="preserve"> of </w:t>
          </w:r>
          <w:fldSimple w:instr="NUMPAGES" w:fldLock="0" w:dirty="0">
            <w:r w:rsidDel="00000000" w:rsidR="00000000" w:rsidRPr="00000000">
              <w:rPr>
                <w:sz w:val="16"/>
                <w:szCs w:val="16"/>
              </w:rPr>
            </w:r>
          </w:fldSimple>
          <w:r w:rsidDel="00000000" w:rsidR="00000000" w:rsidRPr="00000000">
            <w:rPr>
              <w:rtl w:val="0"/>
            </w:rPr>
          </w:r>
        </w:p>
      </w:tc>
    </w:tr>
  </w:tbl>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rtl w:val="0"/>
      </w:rPr>
    </w:r>
  </w:p>
  <w:tbl>
    <w:tblPr>
      <w:tblStyle w:val="Table4"/>
      <w:bidiVisual w:val="0"/>
      <w:tblW w:w="10772.0" w:type="dxa"/>
      <w:jc w:val="left"/>
      <w:tblLayout w:type="fixed"/>
      <w:tblLook w:val="0600"/>
    </w:tblPr>
    <w:tblGrid>
      <w:gridCol w:w="5386"/>
      <w:gridCol w:w="5386"/>
      <w:tblGridChange w:id="0">
        <w:tblGrid>
          <w:gridCol w:w="5386"/>
          <w:gridCol w:w="538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sz w:val="16"/>
              <w:szCs w:val="16"/>
              <w:rtl w:val="0"/>
            </w:rPr>
            <w:t xml:space="preserve">Infinity Works Consulting Limited</w:t>
          </w:r>
        </w:p>
        <w:p w:rsidR="00000000" w:rsidDel="00000000" w:rsidP="00000000" w:rsidRDefault="00000000" w:rsidRPr="00000000">
          <w:pPr>
            <w:widowControl w:val="0"/>
            <w:pBdr/>
            <w:spacing w:after="0" w:line="240" w:lineRule="auto"/>
            <w:contextualSpacing w:val="0"/>
            <w:rPr>
              <w:sz w:val="16"/>
              <w:szCs w:val="16"/>
            </w:rPr>
          </w:pPr>
          <w:hyperlink r:id="rId1">
            <w:r w:rsidDel="00000000" w:rsidR="00000000" w:rsidRPr="00000000">
              <w:rPr>
                <w:color w:val="1155cc"/>
                <w:sz w:val="16"/>
                <w:szCs w:val="16"/>
                <w:u w:val="single"/>
                <w:rtl w:val="0"/>
              </w:rPr>
              <w:t xml:space="preserve">http://www.infinityworks.com</w:t>
            </w:r>
          </w:hyperlink>
          <w:r w:rsidDel="00000000" w:rsidR="00000000" w:rsidRPr="00000000">
            <w:rPr>
              <w:rtl w:val="0"/>
            </w:rPr>
          </w:r>
        </w:p>
        <w:p w:rsidR="00000000" w:rsidDel="00000000" w:rsidP="00000000" w:rsidRDefault="00000000" w:rsidRPr="00000000">
          <w:pPr>
            <w:widowControl w:val="0"/>
            <w:pBdr/>
            <w:tabs>
              <w:tab w:val="left" w:pos="5235"/>
            </w:tabs>
            <w:spacing w:after="0" w:line="240" w:lineRule="auto"/>
            <w:contextualSpacing w:val="0"/>
            <w:rPr>
              <w:sz w:val="16"/>
              <w:szCs w:val="16"/>
            </w:rPr>
          </w:pPr>
          <w:r w:rsidDel="00000000" w:rsidR="00000000" w:rsidRPr="00000000">
            <w:rPr>
              <w:sz w:val="16"/>
              <w:szCs w:val="16"/>
              <w:rtl w:val="0"/>
            </w:rPr>
            <w:t xml:space="preserve">Company Registration No. 08189469</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right"/>
            <w:rPr>
              <w:sz w:val="16"/>
              <w:szCs w:val="16"/>
            </w:rPr>
          </w:pPr>
          <w:r w:rsidDel="00000000" w:rsidR="00000000" w:rsidRPr="00000000">
            <w:rPr>
              <w:sz w:val="16"/>
              <w:szCs w:val="16"/>
              <w:rtl w:val="0"/>
            </w:rPr>
            <w:t xml:space="preserve">Commercial in Confidence</w:t>
          </w:r>
        </w:p>
        <w:p w:rsidR="00000000" w:rsidDel="00000000" w:rsidP="00000000" w:rsidRDefault="00000000" w:rsidRPr="00000000">
          <w:pPr>
            <w:widowControl w:val="0"/>
            <w:pBdr/>
            <w:spacing w:after="0" w:line="240" w:lineRule="auto"/>
            <w:contextualSpacing w:val="0"/>
            <w:jc w:val="right"/>
            <w:rPr>
              <w:sz w:val="16"/>
              <w:szCs w:val="16"/>
            </w:rPr>
          </w:pPr>
          <w:r w:rsidDel="00000000" w:rsidR="00000000" w:rsidRPr="00000000">
            <w:rPr>
              <w:rtl w:val="0"/>
            </w:rPr>
          </w:r>
        </w:p>
        <w:p w:rsidR="00000000" w:rsidDel="00000000" w:rsidP="00000000" w:rsidRDefault="00000000" w:rsidRPr="00000000">
          <w:pPr>
            <w:widowControl w:val="0"/>
            <w:pBdr/>
            <w:tabs>
              <w:tab w:val="left" w:pos="5235"/>
            </w:tabs>
            <w:spacing w:after="0" w:line="240" w:lineRule="auto"/>
            <w:contextualSpacing w:val="0"/>
            <w:jc w:val="right"/>
            <w:rPr>
              <w:sz w:val="16"/>
              <w:szCs w:val="16"/>
            </w:rPr>
          </w:pPr>
          <w:r w:rsidDel="00000000" w:rsidR="00000000" w:rsidRPr="00000000">
            <w:rPr>
              <w:sz w:val="16"/>
              <w:szCs w:val="16"/>
              <w:rtl w:val="0"/>
            </w:rPr>
            <w:t xml:space="preserve">Page </w:t>
          </w:r>
          <w:fldSimple w:instr="PAGE" w:fldLock="0" w:dirty="0">
            <w:r w:rsidDel="00000000" w:rsidR="00000000" w:rsidRPr="00000000">
              <w:rPr>
                <w:sz w:val="16"/>
                <w:szCs w:val="16"/>
              </w:rPr>
            </w:r>
          </w:fldSimple>
          <w:r w:rsidDel="00000000" w:rsidR="00000000" w:rsidRPr="00000000">
            <w:rPr>
              <w:sz w:val="16"/>
              <w:szCs w:val="16"/>
              <w:rtl w:val="0"/>
            </w:rPr>
            <w:t xml:space="preserve"> of </w:t>
          </w:r>
          <w:fldSimple w:instr="NUMPAGES" w:fldLock="0" w:dirty="0">
            <w:r w:rsidDel="00000000" w:rsidR="00000000" w:rsidRPr="00000000">
              <w:rPr>
                <w:sz w:val="16"/>
                <w:szCs w:val="16"/>
              </w:rPr>
            </w:r>
          </w:fldSimple>
          <w:r w:rsidDel="00000000" w:rsidR="00000000" w:rsidRPr="00000000">
            <w:rPr>
              <w:rtl w:val="0"/>
            </w:rPr>
          </w:r>
        </w:p>
      </w:tc>
    </w:tr>
  </w:tbl>
  <w:p w:rsidR="00000000" w:rsidDel="00000000" w:rsidP="00000000" w:rsidRDefault="00000000" w:rsidRPr="00000000">
    <w:pPr>
      <w:widowControl w:val="0"/>
      <w:pBdr/>
      <w:tabs>
        <w:tab w:val="left" w:pos="5235"/>
      </w:tabs>
      <w:spacing w:after="0" w:line="240" w:lineRule="auto"/>
      <w:contextualSpacing w:val="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0" w:line="276" w:lineRule="auto"/>
      <w:contextualSpacing w:val="0"/>
      <w:jc w:val="right"/>
      <w:rPr/>
    </w:pPr>
    <w:r w:rsidDel="00000000" w:rsidR="00000000" w:rsidRPr="00000000">
      <w:drawing>
        <wp:inline distB="114300" distT="114300" distL="114300" distR="114300">
          <wp:extent cx="414338" cy="414338"/>
          <wp:effectExtent b="0" l="0" r="0" t="0"/>
          <wp:docPr descr="iw-crest1.png" id="3" name="image04.png"/>
          <a:graphic>
            <a:graphicData uri="http://schemas.openxmlformats.org/drawingml/2006/picture">
              <pic:pic>
                <pic:nvPicPr>
                  <pic:cNvPr descr="iw-crest1.png" id="0" name="image04.png"/>
                  <pic:cNvPicPr preferRelativeResize="0"/>
                </pic:nvPicPr>
                <pic:blipFill>
                  <a:blip r:embed="rId1"/>
                  <a:srcRect b="0" l="0" r="0" t="0"/>
                  <a:stretch>
                    <a:fillRect/>
                  </a:stretch>
                </pic:blipFill>
                <pic:spPr>
                  <a:xfrm>
                    <a:off x="0" y="0"/>
                    <a:ext cx="414338" cy="414338"/>
                  </a:xfrm>
                  <a:prstGeom prst="rect"/>
                  <a:ln/>
                </pic:spPr>
              </pic:pic>
            </a:graphicData>
          </a:graphic>
        </wp:inline>
      </w:drawing>
    </w:r>
    <w:r w:rsidDel="00000000" w:rsidR="00000000" w:rsidRPr="00000000">
      <w:rPr>
        <w:b w:val="1"/>
        <w:sz w:val="48"/>
        <w:szCs w:val="48"/>
        <w:rtl w:val="0"/>
      </w:rPr>
      <w:t xml:space="preserve">  </w:t>
    </w:r>
    <w:r w:rsidDel="00000000" w:rsidR="00000000" w:rsidRPr="00000000">
      <w:drawing>
        <wp:inline distB="114300" distT="114300" distL="114300" distR="114300">
          <wp:extent cx="1757363" cy="436840"/>
          <wp:effectExtent b="0" l="0" r="0" t="0"/>
          <wp:docPr descr="iw-3.png" id="2" name="image03.png"/>
          <a:graphic>
            <a:graphicData uri="http://schemas.openxmlformats.org/drawingml/2006/picture">
              <pic:pic>
                <pic:nvPicPr>
                  <pic:cNvPr descr="iw-3.png" id="0" name="image03.png"/>
                  <pic:cNvPicPr preferRelativeResize="0"/>
                </pic:nvPicPr>
                <pic:blipFill>
                  <a:blip r:embed="rId2"/>
                  <a:srcRect b="0" l="0" r="0" t="0"/>
                  <a:stretch>
                    <a:fillRect/>
                  </a:stretch>
                </pic:blipFill>
                <pic:spPr>
                  <a:xfrm>
                    <a:off x="0" y="0"/>
                    <a:ext cx="1757363" cy="4368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3"/>
      <w:bidiVisual w:val="0"/>
      <w:tblW w:w="10770.0" w:type="dxa"/>
      <w:jc w:val="center"/>
      <w:tblLayout w:type="fixed"/>
      <w:tblLook w:val="0600"/>
    </w:tblPr>
    <w:tblGrid>
      <w:gridCol w:w="2430"/>
      <w:gridCol w:w="8340"/>
      <w:tblGridChange w:id="0">
        <w:tblGrid>
          <w:gridCol w:w="2430"/>
          <w:gridCol w:w="834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b w:val="1"/>
              <w:sz w:val="48"/>
              <w:szCs w:val="48"/>
            </w:rPr>
          </w:pPr>
          <w:r w:rsidDel="00000000" w:rsidR="00000000" w:rsidRPr="00000000">
            <w:drawing>
              <wp:inline distB="114300" distT="114300" distL="114300" distR="114300">
                <wp:extent cx="1281113" cy="1281113"/>
                <wp:effectExtent b="0" l="0" r="0" t="0"/>
                <wp:docPr descr="iw-crest1.png" id="1" name="image02.png"/>
                <a:graphic>
                  <a:graphicData uri="http://schemas.openxmlformats.org/drawingml/2006/picture">
                    <pic:pic>
                      <pic:nvPicPr>
                        <pic:cNvPr descr="iw-crest1.png" id="0" name="image02.png"/>
                        <pic:cNvPicPr preferRelativeResize="0"/>
                      </pic:nvPicPr>
                      <pic:blipFill>
                        <a:blip r:embed="rId1"/>
                        <a:srcRect b="0" l="0" r="0" t="0"/>
                        <a:stretch>
                          <a:fillRect/>
                        </a:stretch>
                      </pic:blipFill>
                      <pic:spPr>
                        <a:xfrm>
                          <a:off x="0" y="0"/>
                          <a:ext cx="1281113" cy="12811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b w:val="1"/>
              <w:sz w:val="48"/>
              <w:szCs w:val="48"/>
            </w:rPr>
          </w:pPr>
          <w:r w:rsidDel="00000000" w:rsidR="00000000" w:rsidRPr="00000000">
            <w:drawing>
              <wp:inline distB="114300" distT="114300" distL="114300" distR="114300">
                <wp:extent cx="5018088" cy="1243013"/>
                <wp:effectExtent b="0" l="0" r="0" t="0"/>
                <wp:docPr descr="iw-3.png" id="4" name="image05.png"/>
                <a:graphic>
                  <a:graphicData uri="http://schemas.openxmlformats.org/drawingml/2006/picture">
                    <pic:pic>
                      <pic:nvPicPr>
                        <pic:cNvPr descr="iw-3.png" id="0" name="image05.png"/>
                        <pic:cNvPicPr preferRelativeResize="0"/>
                      </pic:nvPicPr>
                      <pic:blipFill>
                        <a:blip r:embed="rId2"/>
                        <a:srcRect b="0" l="0" r="0" t="0"/>
                        <a:stretch>
                          <a:fillRect/>
                        </a:stretch>
                      </pic:blipFill>
                      <pic:spPr>
                        <a:xfrm>
                          <a:off x="0" y="0"/>
                          <a:ext cx="5018088" cy="1243013"/>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8"/>
      <w:numFmt w:val="decimal"/>
      <w:lvlText w:val="%1"/>
      <w:lvlJc w:val="left"/>
      <w:pPr>
        <w:ind w:left="360" w:firstLine="0"/>
      </w:pPr>
      <w:rPr/>
    </w:lvl>
    <w:lvl w:ilvl="1">
      <w:start w:val="1"/>
      <w:numFmt w:val="decimal"/>
      <w:lvlText w:val="4.%2"/>
      <w:lvlJc w:val="left"/>
      <w:pPr>
        <w:ind w:left="780" w:firstLine="420"/>
      </w:pPr>
      <w:rPr/>
    </w:lvl>
    <w:lvl w:ilvl="2">
      <w:start w:val="1"/>
      <w:numFmt w:val="decimal"/>
      <w:lvlText w:val="%1.%2.%3"/>
      <w:lvlJc w:val="left"/>
      <w:pPr>
        <w:ind w:left="1560" w:firstLine="840"/>
      </w:pPr>
      <w:rPr/>
    </w:lvl>
    <w:lvl w:ilvl="3">
      <w:start w:val="1"/>
      <w:numFmt w:val="decimal"/>
      <w:lvlText w:val="%1.%2.%3.%4"/>
      <w:lvlJc w:val="left"/>
      <w:pPr>
        <w:ind w:left="1980" w:firstLine="1260"/>
      </w:pPr>
      <w:rPr/>
    </w:lvl>
    <w:lvl w:ilvl="4">
      <w:start w:val="1"/>
      <w:numFmt w:val="decimal"/>
      <w:lvlText w:val="%1.%2.%3.%4.%5"/>
      <w:lvlJc w:val="left"/>
      <w:pPr>
        <w:ind w:left="2760" w:firstLine="1680"/>
      </w:pPr>
      <w:rPr/>
    </w:lvl>
    <w:lvl w:ilvl="5">
      <w:start w:val="1"/>
      <w:numFmt w:val="decimal"/>
      <w:lvlText w:val="%1.%2.%3.%4.%5.%6"/>
      <w:lvlJc w:val="left"/>
      <w:pPr>
        <w:ind w:left="3180" w:firstLine="2100"/>
      </w:pPr>
      <w:rPr/>
    </w:lvl>
    <w:lvl w:ilvl="6">
      <w:start w:val="1"/>
      <w:numFmt w:val="decimal"/>
      <w:lvlText w:val="%1.%2.%3.%4.%5.%6.%7"/>
      <w:lvlJc w:val="left"/>
      <w:pPr>
        <w:ind w:left="3960" w:firstLine="2520"/>
      </w:pPr>
      <w:rPr/>
    </w:lvl>
    <w:lvl w:ilvl="7">
      <w:start w:val="1"/>
      <w:numFmt w:val="decimal"/>
      <w:lvlText w:val="%1.%2.%3.%4.%5.%6.%7.%8"/>
      <w:lvlJc w:val="left"/>
      <w:pPr>
        <w:ind w:left="4380" w:firstLine="2940"/>
      </w:pPr>
      <w:rPr/>
    </w:lvl>
    <w:lvl w:ilvl="8">
      <w:start w:val="1"/>
      <w:numFmt w:val="decimal"/>
      <w:lvlText w:val="%1.%2.%3.%4.%5.%6.%7.%8.%9"/>
      <w:lvlJc w:val="left"/>
      <w:pPr>
        <w:ind w:left="5160" w:firstLine="3360"/>
      </w:pPr>
      <w:rPr/>
    </w:lvl>
  </w:abstractNum>
  <w:abstractNum w:abstractNumId="3">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5"/>
      <w:numFmt w:val="decimal"/>
      <w:lvlText w:val="%1"/>
      <w:lvlJc w:val="left"/>
      <w:pPr>
        <w:ind w:left="360" w:firstLine="0"/>
      </w:pPr>
      <w:rPr/>
    </w:lvl>
    <w:lvl w:ilvl="1">
      <w:start w:val="1"/>
      <w:numFmt w:val="decimal"/>
      <w:lvlText w:val="%1.%2"/>
      <w:lvlJc w:val="left"/>
      <w:pPr>
        <w:ind w:left="780" w:firstLine="420"/>
      </w:pPr>
      <w:rPr/>
    </w:lvl>
    <w:lvl w:ilvl="2">
      <w:start w:val="1"/>
      <w:numFmt w:val="decimal"/>
      <w:lvlText w:val="%1.%2.%3"/>
      <w:lvlJc w:val="left"/>
      <w:pPr>
        <w:ind w:left="1560" w:firstLine="840"/>
      </w:pPr>
      <w:rPr/>
    </w:lvl>
    <w:lvl w:ilvl="3">
      <w:start w:val="1"/>
      <w:numFmt w:val="decimal"/>
      <w:lvlText w:val="%1.%2.%3.%4"/>
      <w:lvlJc w:val="left"/>
      <w:pPr>
        <w:ind w:left="1980" w:firstLine="1260"/>
      </w:pPr>
      <w:rPr/>
    </w:lvl>
    <w:lvl w:ilvl="4">
      <w:start w:val="1"/>
      <w:numFmt w:val="decimal"/>
      <w:lvlText w:val="%1.%2.%3.%4.%5"/>
      <w:lvlJc w:val="left"/>
      <w:pPr>
        <w:ind w:left="2760" w:firstLine="1680"/>
      </w:pPr>
      <w:rPr/>
    </w:lvl>
    <w:lvl w:ilvl="5">
      <w:start w:val="1"/>
      <w:numFmt w:val="decimal"/>
      <w:lvlText w:val="%1.%2.%3.%4.%5.%6"/>
      <w:lvlJc w:val="left"/>
      <w:pPr>
        <w:ind w:left="3180" w:firstLine="2100"/>
      </w:pPr>
      <w:rPr/>
    </w:lvl>
    <w:lvl w:ilvl="6">
      <w:start w:val="1"/>
      <w:numFmt w:val="decimal"/>
      <w:lvlText w:val="%1.%2.%3.%4.%5.%6.%7"/>
      <w:lvlJc w:val="left"/>
      <w:pPr>
        <w:ind w:left="3960" w:firstLine="2520"/>
      </w:pPr>
      <w:rPr/>
    </w:lvl>
    <w:lvl w:ilvl="7">
      <w:start w:val="1"/>
      <w:numFmt w:val="decimal"/>
      <w:lvlText w:val="%1.%2.%3.%4.%5.%6.%7.%8"/>
      <w:lvlJc w:val="left"/>
      <w:pPr>
        <w:ind w:left="4380" w:firstLine="2940"/>
      </w:pPr>
      <w:rPr/>
    </w:lvl>
    <w:lvl w:ilvl="8">
      <w:start w:val="1"/>
      <w:numFmt w:val="decimal"/>
      <w:lvlText w:val="%1.%2.%3.%4.%5.%6.%7.%8.%9"/>
      <w:lvlJc w:val="left"/>
      <w:pPr>
        <w:ind w:left="5160" w:firstLine="336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000000"/>
        <w:sz w:val="22"/>
        <w:szCs w:val="22"/>
        <w:u w:val="none"/>
        <w:vertAlign w:val="baseline"/>
      </w:rPr>
    </w:rPrDefault>
    <w:pPrDefault>
      <w:pPr>
        <w:keepNext w:val="0"/>
        <w:keepLines w:val="0"/>
        <w:widowControl w:val="1"/>
        <w:pBdr/>
        <w:spacing w:after="12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240" w:lineRule="auto"/>
    </w:pPr>
    <w:rPr>
      <w:rFonts w:ascii="Dosis" w:cs="Dosis" w:eastAsia="Dosis" w:hAnsi="Dosis"/>
      <w:b w:val="1"/>
      <w:color w:val="000000"/>
      <w:sz w:val="48"/>
      <w:szCs w:val="48"/>
    </w:rPr>
  </w:style>
  <w:style w:type="paragraph" w:styleId="Heading2">
    <w:name w:val="heading 2"/>
    <w:basedOn w:val="Normal"/>
    <w:next w:val="Normal"/>
    <w:pPr>
      <w:keepNext w:val="1"/>
      <w:keepLines w:val="1"/>
      <w:pBdr/>
      <w:spacing w:after="80" w:before="360" w:line="240" w:lineRule="auto"/>
    </w:pPr>
    <w:rPr>
      <w:rFonts w:ascii="Dosis" w:cs="Dosis" w:eastAsia="Dosis" w:hAnsi="Dosis"/>
      <w:b w:val="1"/>
      <w:color w:val="000000"/>
      <w:sz w:val="36"/>
      <w:szCs w:val="36"/>
    </w:rPr>
  </w:style>
  <w:style w:type="paragraph" w:styleId="Heading3">
    <w:name w:val="heading 3"/>
    <w:basedOn w:val="Normal"/>
    <w:next w:val="Normal"/>
    <w:pPr>
      <w:keepNext w:val="1"/>
      <w:keepLines w:val="1"/>
      <w:pBdr/>
      <w:spacing w:after="80" w:before="280" w:line="276" w:lineRule="auto"/>
    </w:pPr>
    <w:rPr>
      <w:rFonts w:ascii="Dosis" w:cs="Dosis" w:eastAsia="Dosis" w:hAnsi="Dosis"/>
      <w:b w:val="1"/>
      <w:color w:val="000000"/>
      <w:sz w:val="28"/>
      <w:szCs w:val="28"/>
    </w:rPr>
  </w:style>
  <w:style w:type="paragraph" w:styleId="Heading4">
    <w:name w:val="heading 4"/>
    <w:basedOn w:val="Normal"/>
    <w:next w:val="Normal"/>
    <w:pPr>
      <w:keepNext w:val="1"/>
      <w:keepLines w:val="1"/>
      <w:pBdr/>
      <w:spacing w:after="40" w:before="240" w:line="240" w:lineRule="auto"/>
    </w:pPr>
    <w:rPr>
      <w:rFonts w:ascii="Dosis" w:cs="Dosis" w:eastAsia="Dosis" w:hAnsi="Dosis"/>
      <w:b w:val="1"/>
      <w:color w:val="000000"/>
      <w:sz w:val="24"/>
      <w:szCs w:val="24"/>
    </w:rPr>
  </w:style>
  <w:style w:type="paragraph" w:styleId="Heading5">
    <w:name w:val="heading 5"/>
    <w:basedOn w:val="Normal"/>
    <w:next w:val="Normal"/>
    <w:pPr>
      <w:keepNext w:val="1"/>
      <w:keepLines w:val="1"/>
      <w:pBdr/>
      <w:spacing w:after="40" w:before="220" w:line="240" w:lineRule="auto"/>
    </w:pPr>
    <w:rPr>
      <w:rFonts w:ascii="Dosis" w:cs="Dosis" w:eastAsia="Dosis" w:hAnsi="Dosis"/>
      <w:b w:val="1"/>
      <w:color w:val="000000"/>
      <w:sz w:val="22"/>
      <w:szCs w:val="22"/>
    </w:rPr>
  </w:style>
  <w:style w:type="paragraph" w:styleId="Heading6">
    <w:name w:val="heading 6"/>
    <w:basedOn w:val="Normal"/>
    <w:next w:val="Normal"/>
    <w:pPr>
      <w:keepNext w:val="1"/>
      <w:keepLines w:val="1"/>
      <w:pBdr/>
      <w:spacing w:after="40" w:before="200" w:line="240" w:lineRule="auto"/>
    </w:pPr>
    <w:rPr>
      <w:rFonts w:ascii="Dosis" w:cs="Dosis" w:eastAsia="Dosis" w:hAnsi="Dosis"/>
      <w:b w:val="1"/>
      <w:color w:val="000000"/>
      <w:sz w:val="20"/>
      <w:szCs w:val="20"/>
    </w:rPr>
  </w:style>
  <w:style w:type="paragraph" w:styleId="Title">
    <w:name w:val="Title"/>
    <w:basedOn w:val="Normal"/>
    <w:next w:val="Normal"/>
    <w:pPr>
      <w:keepNext w:val="1"/>
      <w:keepLines w:val="1"/>
      <w:pBdr/>
      <w:spacing w:after="120" w:before="480" w:line="240" w:lineRule="auto"/>
    </w:pPr>
    <w:rPr>
      <w:rFonts w:ascii="Dosis" w:cs="Dosis" w:eastAsia="Dosis" w:hAnsi="Dosis"/>
      <w:b w:val="1"/>
      <w:color w:val="000000"/>
      <w:sz w:val="72"/>
      <w:szCs w:val="72"/>
    </w:rPr>
  </w:style>
  <w:style w:type="paragraph" w:styleId="Subtitle">
    <w:name w:val="Subtitle"/>
    <w:basedOn w:val="Normal"/>
    <w:next w:val="Normal"/>
    <w:pPr>
      <w:keepNext w:val="1"/>
      <w:keepLines w:val="1"/>
      <w:pBdr/>
      <w:spacing w:after="80" w:before="360" w:line="240" w:lineRule="auto"/>
      <w:contextualSpacing w:val="1"/>
    </w:pPr>
    <w:rPr>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

<file path=word/_rels/footer1.xml.rels><?xml version="1.0" encoding="UTF-8" standalone="yes"?><Relationships xmlns="http://schemas.openxmlformats.org/package/2006/relationships"><Relationship Id="rId1" Type="http://schemas.openxmlformats.org/officeDocument/2006/relationships/hyperlink" Target="http://www.infinitywork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nfinitywor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5.png"/></Relationships>
</file>