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wmf" ContentType="image/x-wmf"/>
  <Override PartName="/word/media/image1.emf" ContentType="image/x-emf"/>
  <Override PartName="/word/media/image4.wmf" ContentType="image/x-wmf"/>
  <Override PartName="/word/media/image2.wmf" ContentType="image/x-wmf"/>
  <Override PartName="/word/media/image3.wmf" ContentType="image/x-wm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SUPPLEMENT MATERIALS</w:t>
      </w:r>
    </w:p>
    <w:p>
      <w:pPr>
        <w:pStyle w:val="Normal"/>
        <w:spacing w:lineRule="auto" w:line="360"/>
        <w:rPr/>
      </w:pPr>
      <w:r>
        <w:rPr/>
      </w:r>
    </w:p>
    <w:p>
      <w:pPr>
        <w:pStyle w:val="Normal"/>
        <w:spacing w:lineRule="auto" w:line="360"/>
        <w:rPr/>
      </w:pPr>
      <w:r>
        <w:rPr>
          <w:b/>
          <w:bCs/>
        </w:rPr>
        <w:t xml:space="preserve">PeptoVar </w:t>
      </w:r>
      <w:bookmarkStart w:id="0" w:name="__DdeLink__12467_346503849"/>
      <w:r>
        <w:rPr>
          <w:b/>
          <w:bCs/>
        </w:rPr>
        <w:t>M</w:t>
      </w:r>
      <w:bookmarkEnd w:id="0"/>
      <w:r>
        <w:rPr>
          <w:b/>
          <w:bCs/>
        </w:rPr>
        <w:t>ODES</w:t>
      </w:r>
    </w:p>
    <w:p>
      <w:pPr>
        <w:pStyle w:val="Normal"/>
        <w:spacing w:lineRule="auto" w:line="360"/>
        <w:rPr/>
      </w:pPr>
      <w:r>
        <w:rPr/>
        <mc:AlternateContent>
          <mc:Choice Requires="wps">
            <w:drawing>
              <wp:anchor behindDoc="0" distT="0" distB="0" distL="0" distR="0" simplePos="0" locked="0" layoutInCell="1" allowOverlap="1" relativeHeight="7">
                <wp:simplePos x="0" y="0"/>
                <wp:positionH relativeFrom="column">
                  <wp:posOffset>360045</wp:posOffset>
                </wp:positionH>
                <wp:positionV relativeFrom="paragraph">
                  <wp:posOffset>451485</wp:posOffset>
                </wp:positionV>
                <wp:extent cx="5422900" cy="3658235"/>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5422320" cy="3657600"/>
                        </a:xfrm>
                        <a:prstGeom prst="rect">
                          <a:avLst/>
                        </a:prstGeom>
                        <a:ln>
                          <a:noFill/>
                        </a:ln>
                      </pic:spPr>
                    </pic:pic>
                  </a:graphicData>
                </a:graphic>
              </wp:anchor>
            </w:drawing>
          </mc:Choice>
          <mc:Fallback>
            <w:pict>
              <v:rect id="shape_0" ID="Shape1" stroked="f" style="position:absolute;margin-left:28.35pt;margin-top:35.55pt;width:426.9pt;height:287.95pt">
                <v:imagedata r:id="rId3" o:detectmouseclick="t"/>
                <w10:wrap type="none"/>
                <v:stroke color="#3465a4" joinstyle="round" endcap="flat"/>
              </v:rect>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b/>
          <w:b/>
          <w:bCs/>
        </w:rPr>
      </w:pPr>
      <w:r>
        <w:rPr/>
      </w:r>
    </w:p>
    <w:p>
      <w:pPr>
        <w:pStyle w:val="Normal"/>
        <w:spacing w:lineRule="auto" w:line="360"/>
        <w:rPr/>
      </w:pPr>
      <w:r>
        <w:rPr>
          <w:b/>
          <w:bCs/>
        </w:rPr>
        <w:t>Fig. 1</w:t>
      </w:r>
      <w:r>
        <w:rPr/>
        <w:t xml:space="preserve"> </w:t>
      </w:r>
      <w:r>
        <w:rPr/>
        <w:t>Three modes of the PeptoVar</w:t>
      </w:r>
      <w:r>
        <w:rPr/>
        <w:t xml:space="preserve"> </w:t>
      </w:r>
      <w:r>
        <w:rPr/>
        <w:t>program.</w:t>
      </w:r>
    </w:p>
    <w:p>
      <w:pPr>
        <w:pStyle w:val="Normal"/>
        <w:spacing w:lineRule="auto" w:line="360"/>
        <w:rPr/>
      </w:pPr>
      <w:r>
        <w:rPr/>
      </w:r>
    </w:p>
    <w:p>
      <w:pPr>
        <w:pStyle w:val="Normal"/>
        <w:spacing w:lineRule="auto" w:line="360"/>
        <w:rPr/>
      </w:pPr>
      <w:r>
        <w:rPr>
          <w:b/>
          <w:bCs/>
        </w:rPr>
        <w:t>THE ALGORITHM EXPLANATION</w:t>
      </w:r>
    </w:p>
    <w:p>
      <w:pPr>
        <w:pStyle w:val="Normal"/>
        <w:spacing w:lineRule="auto" w:line="360"/>
        <w:rPr>
          <w:b/>
          <w:b/>
          <w:bCs/>
        </w:rPr>
      </w:pPr>
      <w:r>
        <w:rPr>
          <w:b/>
          <w:bCs/>
        </w:rPr>
      </w:r>
    </w:p>
    <w:p>
      <w:pPr>
        <w:pStyle w:val="Normal"/>
        <w:spacing w:lineRule="auto" w:line="360"/>
        <w:rPr/>
      </w:pPr>
      <w:r>
        <w:rPr>
          <w:b w:val="false"/>
          <w:bCs w:val="false"/>
        </w:rPr>
        <w:t xml:space="preserve">The base steps of PeptoVar </w:t>
      </w:r>
      <w:r>
        <w:rPr>
          <w:rStyle w:val="Emphasis"/>
          <w:i w:val="false"/>
          <w:iCs w:val="false"/>
        </w:rPr>
        <w:t>workflow</w:t>
      </w:r>
      <w:r>
        <w:rPr>
          <w:b w:val="false"/>
          <w:bCs w:val="false"/>
        </w:rPr>
        <w:t>:</w:t>
      </w:r>
    </w:p>
    <w:p>
      <w:pPr>
        <w:pStyle w:val="Normal"/>
        <w:spacing w:lineRule="auto" w:line="360"/>
        <w:rPr/>
      </w:pPr>
      <w:r>
        <w:rPr/>
        <w:t>1) reading input data</w:t>
      </w:r>
    </w:p>
    <w:p>
      <w:pPr>
        <w:pStyle w:val="Normal"/>
        <w:spacing w:lineRule="auto" w:line="360"/>
        <w:rPr/>
      </w:pPr>
      <w:r>
        <w:rPr/>
        <w:t>2) building graph for the reference nucleotide sequence</w:t>
      </w:r>
    </w:p>
    <w:p>
      <w:pPr>
        <w:pStyle w:val="Normal"/>
        <w:spacing w:lineRule="auto" w:line="360"/>
        <w:rPr/>
      </w:pPr>
      <w:r>
        <w:rPr/>
        <w:t>3) genomic polymorphisms are introduced to the graph as alternative paths</w:t>
      </w:r>
    </w:p>
    <w:p>
      <w:pPr>
        <w:pStyle w:val="Normal"/>
        <w:spacing w:lineRule="auto" w:line="360"/>
        <w:rPr/>
      </w:pPr>
      <w:r>
        <w:rPr/>
        <w:t>4) attaching prefixes  (sequence to the closest upstream codon start) and suffixes (nucleotides sequence to the closest downstream codon end) to branching paths according to the reading frames (</w:t>
      </w:r>
      <w:r>
        <w:rPr>
          <w:b w:val="false"/>
          <w:bCs w:val="false"/>
        </w:rPr>
        <w:t>including frames induced from upstream frame shifts</w:t>
      </w:r>
      <w:r>
        <w:rPr/>
        <w:t>)</w:t>
      </w:r>
    </w:p>
    <w:p>
      <w:pPr>
        <w:pStyle w:val="Normal"/>
        <w:spacing w:lineRule="auto" w:line="360"/>
        <w:rPr/>
      </w:pPr>
      <w:r>
        <w:rPr/>
        <w:t>5) identifying and removing synonymous branches</w:t>
      </w:r>
    </w:p>
    <w:p>
      <w:pPr>
        <w:pStyle w:val="Normal"/>
        <w:spacing w:lineRule="auto" w:line="360"/>
        <w:rPr/>
      </w:pPr>
      <w:r>
        <w:rPr/>
        <w:t>6) translation of the graph into peptide set by tree traversal algorithm</w:t>
      </w:r>
    </w:p>
    <w:p>
      <w:pPr>
        <w:pStyle w:val="Normal"/>
        <w:spacing w:lineRule="auto" w:line="360"/>
        <w:rPr/>
      </w:pPr>
      <w:r>
        <w:rPr/>
        <w:t xml:space="preserve">7) subtraction of the peptide sets to obtain unique peptides for a sample </w:t>
      </w:r>
      <w:r>
        <w:rPr>
          <w:lang w:val="en-US"/>
        </w:rPr>
        <w:t>(in transplantation mode)</w:t>
      </w:r>
    </w:p>
    <w:p>
      <w:pPr>
        <w:pStyle w:val="Normal"/>
        <w:spacing w:lineRule="auto" w:line="360"/>
        <w:rPr/>
      </w:pPr>
      <w:r>
        <w:rPr/>
        <w:t>8) writing the results</w:t>
      </w:r>
    </w:p>
    <w:p>
      <w:pPr>
        <w:pStyle w:val="Normal"/>
        <w:spacing w:lineRule="auto" w:line="360"/>
        <w:rPr/>
      </w:pPr>
      <w:r>
        <w:rPr/>
        <w:t xml:space="preserve">The public databases of genomic polymorphisms usually stores information about which genomic variations are non-synonymous and thus should be taken into consideration for population-wide peptidome construction. However this data is in fact context dependent. The same variation can be synonymous and non-synonymous depending on particular combination of upstream frame shifts (Fig. 2). More over, if two polymorphisms are found in the same codon their synonymy depend on each other. For example, in the polymorphic codon (C,T)T(A,T) the third position is synonymous if the first position is ‘C’ and  non-synonymous if the first position is ‘T’  (Fig. 3). The PeptoVar program save the dependency data into a separate file. </w:t>
      </w:r>
      <w:r>
        <w:rPr>
          <w:b w:val="false"/>
          <w:bCs w:val="false"/>
        </w:rPr>
        <w:t>If many variations occur consecutively PeptoVar optimizes combinatorial task removing all synonymous branches before translation to reduce computational time and memory usage (Fig. 4).</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drawing>
          <wp:anchor behindDoc="0" distT="0" distB="0" distL="0" distR="0" simplePos="0" locked="0" layoutInCell="1" allowOverlap="1" relativeHeight="2">
            <wp:simplePos x="0" y="0"/>
            <wp:positionH relativeFrom="column">
              <wp:posOffset>-47625</wp:posOffset>
            </wp:positionH>
            <wp:positionV relativeFrom="paragraph">
              <wp:posOffset>-21590</wp:posOffset>
            </wp:positionV>
            <wp:extent cx="6264275" cy="2195195"/>
            <wp:effectExtent l="0" t="0" r="0" b="0"/>
            <wp:wrapNone/>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4"/>
                    <a:stretch>
                      <a:fillRect/>
                    </a:stretch>
                  </pic:blipFill>
                  <pic:spPr bwMode="auto">
                    <a:xfrm>
                      <a:off x="0" y="0"/>
                      <a:ext cx="6264275" cy="2195195"/>
                    </a:xfrm>
                    <a:prstGeom prst="rect">
                      <a:avLst/>
                    </a:prstGeom>
                  </pic:spPr>
                </pic:pic>
              </a:graphicData>
            </a:graphic>
          </wp:anchor>
        </w:drawing>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pPr>
      <w:r>
        <w:rPr>
          <w:b/>
          <w:bCs/>
        </w:rPr>
        <w:t>Fig. 2</w:t>
      </w:r>
      <w:r>
        <w:rPr/>
        <w:t xml:space="preserve"> The variation type (synonymous or non-synonymous) depends on frame shifts in upstream.</w:t>
      </w:r>
    </w:p>
    <w:p>
      <w:pPr>
        <w:pStyle w:val="Normal"/>
        <w:spacing w:lineRule="auto" w:line="360"/>
        <w:rPr/>
      </w:pPr>
      <w:r>
        <w:rPr>
          <w:b w:val="false"/>
          <w:bCs w:val="false"/>
        </w:rPr>
        <w:t>PeptoVar considers full set of frame shift combinations in upstream to classify each polymorphism properly.</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mc:AlternateContent>
          <mc:Choice Requires="wps">
            <w:drawing>
              <wp:anchor behindDoc="0" distT="0" distB="0" distL="0" distR="0" simplePos="0" locked="0" layoutInCell="1" allowOverlap="1" relativeHeight="5" wp14:anchorId="1F89F5E3">
                <wp:simplePos x="0" y="0"/>
                <wp:positionH relativeFrom="column">
                  <wp:posOffset>1174115</wp:posOffset>
                </wp:positionH>
                <wp:positionV relativeFrom="paragraph">
                  <wp:posOffset>4445</wp:posOffset>
                </wp:positionV>
                <wp:extent cx="3611880" cy="710565"/>
                <wp:effectExtent l="0" t="0" r="0" b="0"/>
                <wp:wrapNone/>
                <wp:docPr id="3" name="Shape5"/>
                <a:graphic xmlns:a="http://schemas.openxmlformats.org/drawingml/2006/main">
                  <a:graphicData uri="http://schemas.microsoft.com/office/word/2010/wordprocessingShape">
                    <wps:wsp>
                      <wps:cNvSpPr/>
                      <wps:spPr>
                        <a:xfrm>
                          <a:off x="0" y="0"/>
                          <a:ext cx="3611160" cy="709920"/>
                        </a:xfrm>
                        <a:prstGeom prst="rect">
                          <a:avLst/>
                        </a:prstGeom>
                        <a:noFill/>
                        <a:ln>
                          <a:noFill/>
                        </a:ln>
                      </wps:spPr>
                      <wps:style>
                        <a:lnRef idx="0"/>
                        <a:fillRef idx="0"/>
                        <a:effectRef idx="0"/>
                        <a:fontRef idx="minor"/>
                      </wps:style>
                      <wps:txbx>
                        <w:txbxContent>
                          <w:p>
                            <w:pPr>
                              <w:pStyle w:val="FrameContents"/>
                              <w:spacing w:lineRule="auto" w:line="360"/>
                              <w:jc w:val="center"/>
                              <w:rPr>
                                <w:color w:val="00000A"/>
                              </w:rPr>
                            </w:pPr>
                            <w:r>
                              <w:rPr>
                                <w:rFonts w:ascii="DejaVu Sans" w:hAnsi="DejaVu Sans"/>
                                <w:b/>
                                <w:bCs/>
                                <w:color w:val="00000A"/>
                              </w:rPr>
                              <w:t>(C,T)T(A,T)</w:t>
                            </w:r>
                          </w:p>
                          <w:p>
                            <w:pPr>
                              <w:pStyle w:val="FrameContents"/>
                              <w:spacing w:lineRule="auto" w:line="360"/>
                              <w:jc w:val="center"/>
                              <w:rPr>
                                <w:color w:val="00000A"/>
                              </w:rPr>
                            </w:pPr>
                            <w:r>
                              <w:rPr>
                                <w:rFonts w:ascii="DejaVu Sans" w:hAnsi="DejaVu Sans"/>
                                <w:b/>
                                <w:bCs/>
                                <w:color w:val="00000A"/>
                              </w:rPr>
                              <w:t>CT(A,T) =&gt; Leu (L)</w:t>
                            </w:r>
                          </w:p>
                          <w:p>
                            <w:pPr>
                              <w:pStyle w:val="FrameContents"/>
                              <w:spacing w:lineRule="auto" w:line="360"/>
                              <w:jc w:val="center"/>
                              <w:rPr/>
                            </w:pPr>
                            <w:r>
                              <w:rPr>
                                <w:rFonts w:ascii="DejaVu Sans" w:hAnsi="DejaVu Sans"/>
                                <w:b/>
                                <w:bCs/>
                                <w:color w:val="00000A"/>
                              </w:rPr>
                              <w:t xml:space="preserve">TT(A,T) =&gt; Leu (L), Phe (F) </w:t>
                            </w:r>
                          </w:p>
                        </w:txbxContent>
                      </wps:txbx>
                      <wps:bodyPr lIns="0" rIns="0" tIns="0" bIns="0">
                        <a:spAutoFit/>
                      </wps:bodyPr>
                    </wps:wsp>
                  </a:graphicData>
                </a:graphic>
              </wp:anchor>
            </w:drawing>
          </mc:Choice>
          <mc:Fallback>
            <w:pict>
              <v:rect id="shape_0" ID="Shape5" stroked="f" style="position:absolute;margin-left:92.45pt;margin-top:0.35pt;width:284.3pt;height:55.85pt" wp14:anchorId="1F89F5E3">
                <w10:wrap type="square"/>
                <v:fill o:detectmouseclick="t" on="false"/>
                <v:stroke color="#3465a4" joinstyle="round" endcap="flat"/>
                <v:textbox>
                  <w:txbxContent>
                    <w:p>
                      <w:pPr>
                        <w:pStyle w:val="FrameContents"/>
                        <w:spacing w:lineRule="auto" w:line="360"/>
                        <w:jc w:val="center"/>
                        <w:rPr>
                          <w:color w:val="00000A"/>
                        </w:rPr>
                      </w:pPr>
                      <w:r>
                        <w:rPr>
                          <w:rFonts w:ascii="DejaVu Sans" w:hAnsi="DejaVu Sans"/>
                          <w:b/>
                          <w:bCs/>
                          <w:color w:val="00000A"/>
                        </w:rPr>
                        <w:t>(C,T)T(A,T)</w:t>
                      </w:r>
                    </w:p>
                    <w:p>
                      <w:pPr>
                        <w:pStyle w:val="FrameContents"/>
                        <w:spacing w:lineRule="auto" w:line="360"/>
                        <w:jc w:val="center"/>
                        <w:rPr>
                          <w:color w:val="00000A"/>
                        </w:rPr>
                      </w:pPr>
                      <w:r>
                        <w:rPr>
                          <w:rFonts w:ascii="DejaVu Sans" w:hAnsi="DejaVu Sans"/>
                          <w:b/>
                          <w:bCs/>
                          <w:color w:val="00000A"/>
                        </w:rPr>
                        <w:t>CT(A,T) =&gt; Leu (L)</w:t>
                      </w:r>
                    </w:p>
                    <w:p>
                      <w:pPr>
                        <w:pStyle w:val="FrameContents"/>
                        <w:spacing w:lineRule="auto" w:line="360"/>
                        <w:jc w:val="center"/>
                        <w:rPr/>
                      </w:pPr>
                      <w:r>
                        <w:rPr>
                          <w:rFonts w:ascii="DejaVu Sans" w:hAnsi="DejaVu Sans"/>
                          <w:b/>
                          <w:bCs/>
                          <w:color w:val="00000A"/>
                        </w:rPr>
                        <w:t xml:space="preserve">TT(A,T) =&gt; Leu (L), Phe (F) </w:t>
                      </w:r>
                    </w:p>
                  </w:txbxContent>
                </v:textbox>
              </v:rect>
            </w:pict>
          </mc:Fallback>
        </mc:AlternateConten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pPr>
      <w:r>
        <w:rPr>
          <w:b/>
          <w:bCs/>
        </w:rPr>
        <w:t>Fig. 3</w:t>
      </w:r>
      <w:r>
        <w:rPr>
          <w:b w:val="false"/>
          <w:bCs w:val="false"/>
        </w:rPr>
        <w:t xml:space="preserve">  Polymorphisms translation dependency in the polymorphic codon.</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drawing>
          <wp:anchor behindDoc="0" distT="0" distB="0" distL="0" distR="0" simplePos="0" locked="0" layoutInCell="1" allowOverlap="1" relativeHeight="3">
            <wp:simplePos x="0" y="0"/>
            <wp:positionH relativeFrom="column">
              <wp:posOffset>369570</wp:posOffset>
            </wp:positionH>
            <wp:positionV relativeFrom="paragraph">
              <wp:posOffset>-10160</wp:posOffset>
            </wp:positionV>
            <wp:extent cx="5175885" cy="3201035"/>
            <wp:effectExtent l="0" t="0" r="0" b="0"/>
            <wp:wrapNone/>
            <wp:docPr id="5"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3" descr=""/>
                    <pic:cNvPicPr>
                      <a:picLocks noChangeAspect="1" noChangeArrowheads="1"/>
                    </pic:cNvPicPr>
                  </pic:nvPicPr>
                  <pic:blipFill>
                    <a:blip r:embed="rId5"/>
                    <a:stretch>
                      <a:fillRect/>
                    </a:stretch>
                  </pic:blipFill>
                  <pic:spPr bwMode="auto">
                    <a:xfrm>
                      <a:off x="0" y="0"/>
                      <a:ext cx="5175885" cy="3201035"/>
                    </a:xfrm>
                    <a:prstGeom prst="rect">
                      <a:avLst/>
                    </a:prstGeom>
                  </pic:spPr>
                </pic:pic>
              </a:graphicData>
            </a:graphic>
          </wp:anchor>
        </w:drawing>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b/>
          <w:bCs/>
        </w:rPr>
      </w:pPr>
      <w:r>
        <w:rPr>
          <w:b/>
          <w:bCs/>
        </w:rPr>
      </w:r>
    </w:p>
    <w:p>
      <w:pPr>
        <w:pStyle w:val="Normal"/>
        <w:spacing w:lineRule="auto" w:line="360"/>
        <w:rPr/>
      </w:pPr>
      <w:r>
        <w:rPr>
          <w:b/>
          <w:bCs/>
        </w:rPr>
        <w:t>Fig. 4</w:t>
      </w:r>
      <w:r>
        <w:rPr>
          <w:b w:val="false"/>
          <w:bCs w:val="false"/>
        </w:rPr>
        <w:t xml:space="preserve"> Combinatorial explosion of translation to protein in case variations occur consecutively. For each variation PeptoVar takes prefixes and suffixes and determines functional paths including  translation frames induced from upstream frame shifts.</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pPr>
      <w:r>
        <w:rPr>
          <w:b/>
          <w:bCs/>
        </w:rPr>
        <w:t>PEPTIDE POSITIONING ON A GENOME</w:t>
      </w:r>
    </w:p>
    <w:p>
      <w:pPr>
        <w:pStyle w:val="Normal"/>
        <w:spacing w:lineRule="auto" w:line="360"/>
        <w:rPr>
          <w:b/>
          <w:b/>
          <w:bCs/>
        </w:rPr>
      </w:pPr>
      <w:r>
        <w:rPr>
          <w:b/>
          <w:bCs/>
        </w:rPr>
      </w:r>
    </w:p>
    <w:p>
      <w:pPr>
        <w:pStyle w:val="Normal"/>
        <w:spacing w:lineRule="auto" w:line="360"/>
        <w:rPr/>
      </w:pPr>
      <w:r>
        <w:rPr>
          <w:b w:val="false"/>
          <w:bCs w:val="false"/>
        </w:rPr>
        <w:t>To compare peptides of two samples the peptide positions (coordinates of translated sequences) on the reference genome should be defined. But a peptide will not have defined genome position i</w:t>
      </w:r>
      <w:r>
        <w:rPr/>
        <w:t xml:space="preserve">f its </w:t>
      </w:r>
      <w:r>
        <w:rPr>
          <w:b w:val="false"/>
          <w:bCs w:val="false"/>
        </w:rPr>
        <w:t xml:space="preserve">translated sequence </w:t>
      </w:r>
      <w:r>
        <w:rPr/>
        <w:t>starts and/or ends on a genome insertion. For that peptides PeptoVar calculates genome positions as “peptide shadows” on the reference genome (Fig. 5):</w:t>
      </w:r>
    </w:p>
    <w:p>
      <w:pPr>
        <w:pStyle w:val="Normal"/>
        <w:spacing w:lineRule="auto" w:line="360"/>
        <w:rPr/>
      </w:pPr>
      <w:r>
        <w:rPr/>
      </w:r>
    </w:p>
    <w:p>
      <w:pPr>
        <w:pStyle w:val="Normal"/>
        <w:spacing w:lineRule="auto" w:line="360"/>
        <w:rPr>
          <w:b w:val="false"/>
          <w:b w:val="false"/>
          <w:bCs w:val="false"/>
          <w:i/>
          <w:i/>
          <w:iCs/>
        </w:rPr>
      </w:pPr>
      <w:r>
        <w:rPr>
          <w:b w:val="false"/>
          <w:bCs w:val="false"/>
          <w:i/>
          <w:iCs/>
        </w:rPr>
        <w:t xml:space="preserve">start = leftmost_translated_reference_position - number_of_translated_insertion_nucleotides; </w:t>
      </w:r>
    </w:p>
    <w:p>
      <w:pPr>
        <w:pStyle w:val="Normal"/>
        <w:spacing w:lineRule="auto" w:line="360"/>
        <w:rPr>
          <w:b w:val="false"/>
          <w:b w:val="false"/>
          <w:bCs w:val="false"/>
          <w:i/>
          <w:i/>
          <w:iCs/>
        </w:rPr>
      </w:pPr>
      <w:r>
        <w:rPr>
          <w:b w:val="false"/>
          <w:bCs w:val="false"/>
          <w:i/>
          <w:iCs/>
        </w:rPr>
        <w:t>end =  rightmost_translated_reference_position + number_of_translated_insertion_nucleotides;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4">
            <wp:simplePos x="0" y="0"/>
            <wp:positionH relativeFrom="column">
              <wp:posOffset>666750</wp:posOffset>
            </wp:positionH>
            <wp:positionV relativeFrom="paragraph">
              <wp:posOffset>31750</wp:posOffset>
            </wp:positionV>
            <wp:extent cx="5048250" cy="3201035"/>
            <wp:effectExtent l="0" t="0" r="0" b="0"/>
            <wp:wrapNone/>
            <wp:docPr id="6"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4" descr=""/>
                    <pic:cNvPicPr>
                      <a:picLocks noChangeAspect="1" noChangeArrowheads="1"/>
                    </pic:cNvPicPr>
                  </pic:nvPicPr>
                  <pic:blipFill>
                    <a:blip r:embed="rId6"/>
                    <a:stretch>
                      <a:fillRect/>
                    </a:stretch>
                  </pic:blipFill>
                  <pic:spPr bwMode="auto">
                    <a:xfrm>
                      <a:off x="0" y="0"/>
                      <a:ext cx="5048250" cy="3201035"/>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b/>
          <w:bCs/>
        </w:rPr>
        <w:t>Fig. 5</w:t>
      </w:r>
      <w:r>
        <w:rPr>
          <w:b w:val="false"/>
          <w:bCs w:val="false"/>
        </w:rPr>
        <w:t xml:space="preserve"> Peptide positioning on the reference genome sequence.</w:t>
      </w:r>
    </w:p>
    <w:p>
      <w:pPr>
        <w:pStyle w:val="Normal"/>
        <w:spacing w:lineRule="auto" w:line="360"/>
        <w:rPr/>
      </w:pPr>
      <w:r>
        <w:rPr/>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overflowPunct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qFormat/>
    <w:pPr>
      <w:widowControl/>
      <w:overflowPunct w:val="true"/>
      <w:bidi w:val="0"/>
      <w:jc w:val="left"/>
    </w:pPr>
    <w:rPr>
      <w:rFonts w:ascii="Liberation Serif" w:hAnsi="Liberation Serif" w:eastAsia="DejaVu Sans" w:cs="Liberation Sans"/>
      <w:color w:val="00000A"/>
      <w:sz w:val="24"/>
      <w:szCs w:val="24"/>
      <w:lang w:val="en-US" w:eastAsia="zh-CN" w:bidi="hi-IN"/>
    </w:rPr>
  </w:style>
  <w:style w:type="paragraph" w:styleId="DefaultLTHintergrund">
    <w:name w:val="Default~LT~Hintergrund"/>
    <w:qFormat/>
    <w:pPr>
      <w:widowControl/>
      <w:overflowPunct w:val="true"/>
      <w:bidi w:val="0"/>
      <w:jc w:val="left"/>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qFormat/>
    <w:pPr>
      <w:widowControl/>
      <w:overflowPunct w:val="true"/>
      <w:bidi w:val="0"/>
      <w:jc w:val="left"/>
    </w:pPr>
    <w:rPr>
      <w:rFonts w:ascii="Liberation Serif" w:hAnsi="Liberation Serif" w:eastAsia="DejaVu Sans" w:cs="Liberation Sans"/>
      <w:color w:val="00000A"/>
      <w:sz w:val="24"/>
      <w:szCs w:val="24"/>
      <w:lang w:val="en-US" w:eastAsia="zh-CN" w:bidi="hi-IN"/>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759</TotalTime>
  <Application>LibreOffice/5.1.6.2$Linux_X86_64 LibreOffice_project/10m0$Build-2</Application>
  <Pages>4</Pages>
  <Words>411</Words>
  <Characters>2507</Characters>
  <CharactersWithSpaces>2900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2017-07-20T15:36:50Z</dcterms:created>
  <dc:creator/>
  <dc:description/>
  <dc:language>en-US</dc:language>
  <cp:lastModifiedBy/>
  <dcterms:modified xsi:type="dcterms:W3CDTF">2017-08-09T17:17:41Z</dcterms:modified>
  <cp:revision>293</cp:revision>
  <dc:subject/>
  <dc:title/>
</cp:coreProperties>
</file>