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both"/>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both"/>
        <w:rPr/>
      </w:pPr>
      <w:r>
        <w:rPr/>
        <w:t xml:space="preserve">2) download latest stable PeptoVar build from the project release page: </w:t>
        <w:tab/>
      </w:r>
      <w:hyperlink r:id="rId2">
        <w:r>
          <w:rPr>
            <w:rStyle w:val="InternetLink"/>
          </w:rPr>
          <w:t>https://github.com/DMalko/PeptoVar/releases/latest</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auto"/>
          <w:u w:val="none"/>
        </w:rPr>
        <w:t>https://github.com/DMalko/PeptoVar</w:t>
      </w:r>
    </w:p>
    <w:p>
      <w:pPr>
        <w:pStyle w:val="Normal"/>
        <w:spacing w:lineRule="auto" w:line="360"/>
        <w:jc w:val="both"/>
        <w:rPr/>
      </w:pPr>
      <w:r>
        <w:rPr/>
      </w:r>
    </w:p>
    <w:p>
      <w:pPr>
        <w:pStyle w:val="Normal"/>
        <w:spacing w:lineRule="auto" w:line="360"/>
        <w:jc w:val="both"/>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b/>
          <w:b/>
          <w:bCs/>
        </w:rPr>
      </w:pPr>
      <w:r>
        <w:rPr>
          <w:b w:val="false"/>
          <w:bCs w:val="false"/>
        </w:rPr>
        <w:t>-samples    a sample name or a pair of names in VCF file; for two samples (donor/patient) only unique peptides will be represented</w:t>
      </w:r>
    </w:p>
    <w:p>
      <w:pPr>
        <w:pStyle w:val="Normal"/>
        <w:spacing w:lineRule="auto" w:line="360"/>
        <w:jc w:val="both"/>
        <w:rPr>
          <w:b/>
          <w:b/>
          <w:bCs/>
        </w:rPr>
      </w:pPr>
      <w:r>
        <w:rPr>
          <w:b w:val="false"/>
          <w:bCs w:val="false"/>
        </w:rPr>
        <w:t xml:space="preserve">-minaf    allele frequency (AF) 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-nopt    do not use optimization, i.e 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-samples SAMPLE01 -peptlen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-samples SAMPLE01 -peptlen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-samples SAMPLE01 SAMPLE02 -peptlen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-samples SAMPLE01 SAMPLE02 -peptlen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i w:val="false"/>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-peptlen 9 -var used -indir ./testdata</w:t>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Malko/PeptoVar/releases/latest"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6</Pages>
  <Words>1243</Words>
  <Characters>7282</Characters>
  <CharactersWithSpaces>8579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2017-08-17T13:22:54Z</dcterms:modified>
  <cp:revision>5</cp:revision>
  <dc:subject/>
  <dc:title/>
</cp:coreProperties>
</file>