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2 Domestic Government</w:t>
      </w:r>
    </w:p>
    <w:p>
      <w:r>
        <w:rPr>
          <w:b/>
        </w:rPr>
        <w:t xml:space="preserve">Purpose: </w:t>
      </w:r>
      <w:r>
        <w:t>Organize completed work and identify remaining material for this section.</w:t>
      </w:r>
    </w:p>
    <w:p>
      <w:pPr>
        <w:pStyle w:val="Heading2"/>
      </w:pPr>
      <w:r>
        <w:t>Contents</w:t>
      </w:r>
    </w:p>
    <w:p>
      <w:pPr>
        <w:pStyle w:val="ListBullet"/>
      </w:pPr>
      <w:r>
        <w:t>Policing</w:t>
      </w:r>
    </w:p>
    <w:p>
      <w:pPr>
        <w:pStyle w:val="ListBullet"/>
      </w:pPr>
      <w:r>
        <w:t>Immigration</w:t>
      </w:r>
    </w:p>
    <w:p>
      <w:pPr>
        <w:pStyle w:val="ListBullet"/>
      </w:pPr>
      <w:r>
        <w:t>Education</w:t>
      </w:r>
    </w:p>
    <w:p>
      <w:pPr>
        <w:pStyle w:val="ListBullet"/>
      </w:pPr>
      <w:r>
        <w:t>Executive Agencies</w:t>
      </w:r>
    </w:p>
    <w:p>
      <w:pPr>
        <w:pStyle w:val="ListBullet"/>
      </w:pPr>
      <w:r>
        <w:t>Judiciary</w:t>
      </w:r>
    </w:p>
    <w:p>
      <w:pPr>
        <w:pStyle w:val="ListBullet"/>
      </w:pPr>
      <w:r>
        <w:t>Healthcare (planned)</w:t>
      </w:r>
    </w:p>
    <w:p>
      <w:pPr>
        <w:pStyle w:val="ListBullet"/>
      </w:pPr>
      <w:r>
        <w:t>Taxation (planned)</w:t>
      </w:r>
    </w:p>
    <w:p>
      <w:pPr>
        <w:pStyle w:val="Heading2"/>
      </w:pPr>
      <w:r>
        <w:t>Notes</w:t>
      </w:r>
    </w:p>
    <w:p>
      <w:r>
        <w:t>Each chapter should follow the project Style Guide and Master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