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4 Economic Policy</w:t>
      </w:r>
    </w:p>
    <w:p>
      <w:r>
        <w:rPr>
          <w:b/>
        </w:rPr>
        <w:t xml:space="preserve">Purpose: </w:t>
      </w:r>
      <w:r>
        <w:t>Organize completed work and identify remaining material for this section.</w:t>
      </w:r>
    </w:p>
    <w:p>
      <w:pPr>
        <w:pStyle w:val="Heading2"/>
      </w:pPr>
      <w:r>
        <w:t>Contents</w:t>
      </w:r>
    </w:p>
    <w:p>
      <w:pPr>
        <w:pStyle w:val="ListBullet"/>
      </w:pPr>
      <w:r>
        <w:t>Sound Money</w:t>
      </w:r>
    </w:p>
    <w:p>
      <w:pPr>
        <w:pStyle w:val="ListBullet"/>
      </w:pPr>
      <w:r>
        <w:t>Banking</w:t>
      </w:r>
    </w:p>
    <w:p>
      <w:pPr>
        <w:pStyle w:val="ListBullet"/>
      </w:pPr>
      <w:r>
        <w:t>Property Tax</w:t>
      </w:r>
    </w:p>
    <w:p>
      <w:pPr>
        <w:pStyle w:val="ListBullet"/>
      </w:pPr>
      <w:r>
        <w:t>Social Security</w:t>
      </w:r>
    </w:p>
    <w:p>
      <w:pPr>
        <w:pStyle w:val="ListBullet"/>
      </w:pPr>
      <w:r>
        <w:t>Trade (planned)</w:t>
      </w:r>
    </w:p>
    <w:p>
      <w:pPr>
        <w:pStyle w:val="Heading2"/>
      </w:pPr>
      <w:r>
        <w:t>Notes</w:t>
      </w:r>
    </w:p>
    <w:p>
      <w:r>
        <w:t>Each chapter should follow the project Style Guide and Master Architecture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