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5 Future Policy</w:t>
      </w:r>
    </w:p>
    <w:p>
      <w:r>
        <w:rPr>
          <w:b/>
        </w:rPr>
        <w:t xml:space="preserve">Purpose: </w:t>
      </w:r>
      <w:r>
        <w:t>Organize completed work and identify remaining material for this section.</w:t>
      </w:r>
    </w:p>
    <w:p>
      <w:pPr>
        <w:pStyle w:val="Heading2"/>
      </w:pPr>
      <w:r>
        <w:t>Contents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Privacy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Energy</w:t>
      </w:r>
    </w:p>
    <w:p>
      <w:pPr>
        <w:pStyle w:val="ListBullet"/>
      </w:pPr>
      <w:r>
        <w:t>Data Centers</w:t>
      </w:r>
    </w:p>
    <w:p>
      <w:pPr>
        <w:pStyle w:val="Heading2"/>
      </w:pPr>
      <w:r>
        <w:t>Notes</w:t>
      </w:r>
    </w:p>
    <w:p>
      <w:r>
        <w:t>Each chapter should follow the project Style Guide and Master Architecture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