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pPr>
      <w:r>
        <w:rPr>
          <w:rFonts w:ascii="Arial" w:cs="Arial" w:eastAsia="Arial" w:hAnsi="Arial"/>
          <w:b/>
          <w:bCs/>
          <w:color w:val="185FA5"/>
          <w:sz w:val="22"/>
          <w:szCs w:val="22"/>
        </w:rPr>
        <w:t xml:space="preserve">TOWN OF BROOKLINE</w:t>
      </w:r>
    </w:p>
    <w:p>
      <w:pPr>
        <w:spacing w:before="0" w:after="120"/>
      </w:pPr>
      <w:r>
        <w:rPr>
          <w:rFonts w:ascii="Arial" w:cs="Arial" w:eastAsia="Arial" w:hAnsi="Arial"/>
          <w:b/>
          <w:bCs/>
          <w:color w:val="042C53"/>
          <w:sz w:val="52"/>
          <w:szCs w:val="52"/>
        </w:rPr>
        <w:t xml:space="preserve">Budget Crisis Project</w:t>
      </w:r>
    </w:p>
    <w:p>
      <w:pPr>
        <w:spacing w:before="0" w:after="400"/>
      </w:pPr>
      <w:r>
        <w:rPr>
          <w:rFonts w:ascii="Arial" w:cs="Arial" w:eastAsia="Arial" w:hAnsi="Arial"/>
          <w:color w:val="444441"/>
          <w:sz w:val="36"/>
          <w:szCs w:val="36"/>
        </w:rPr>
        <w:t xml:space="preserve">Master Briefing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pPr>
              <w:spacing w:before="60" w:after="60"/>
            </w:pPr>
            <w:r>
              <w:rPr>
                <w:rFonts w:ascii="Arial" w:cs="Arial" w:eastAsia="Arial" w:hAnsi="Arial"/>
                <w:b/>
                <w:bCs/>
                <w:color w:val="042C53"/>
                <w:sz w:val="20"/>
                <w:szCs w:val="20"/>
              </w:rPr>
              <w:t xml:space="preserve">Purpose</w:t>
            </w:r>
          </w:p>
          <w:p>
            <w:pPr>
              <w:spacing w:before="60" w:after="60"/>
            </w:pPr>
            <w:r>
              <w:rPr>
                <w:rFonts w:ascii="Arial" w:cs="Arial" w:eastAsia="Arial" w:hAnsi="Arial"/>
                <w:color w:val="2A2A28"/>
                <w:sz w:val="22"/>
                <w:szCs w:val="22"/>
              </w:rPr>
              <w:t xml:space="preserve">This document synthesizes the Town of Brookline's structural budget crisis — its causes, scale, and the landscape of possible solutions — drawing primarily from the Expenditures &amp; Revenues Study Committee Final Report (March 13, 2026) and supplementary research. It serves as the research foundation for a comprehensive citizen proposal to solve the structural deficit through long-term, systemic reform.</w:t>
            </w:r>
          </w:p>
          <w:p>
            <w:pPr>
              <w:spacing w:before="60" w:after="60"/>
            </w:pPr>
            <w:r>
              <w:rPr>
                <w:rFonts w:ascii="Arial" w:cs="Arial" w:eastAsia="Arial" w:hAnsi="Arial"/>
                <w:color w:val="888780"/>
                <w:sz w:val="18"/>
                <w:szCs w:val="18"/>
              </w:rPr>
              <w:t xml:space="preserve">Prepared March 2026  |  Based on E&amp;RSC Final Report (162 pages)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FBDEDE" w:val="clear"/>
            <w:tcMar>
              <w:top w:type="dxa" w:w="120"/>
              <w:left w:type="dxa" w:w="140"/>
              <w:bottom w:type="dxa" w:w="120"/>
              <w:right w:type="dxa" w:w="140"/>
            </w:tcMar>
          </w:tcPr>
          <w:p>
            <w:pPr>
              <w:spacing w:before="40" w:after="40"/>
              <w:jc w:val="center"/>
            </w:pPr>
            <w:r>
              <w:rPr>
                <w:rFonts w:ascii="Arial" w:cs="Arial" w:eastAsia="Arial" w:hAnsi="Arial"/>
                <w:b/>
                <w:bCs/>
                <w:color w:val="501313"/>
                <w:sz w:val="48"/>
                <w:szCs w:val="48"/>
              </w:rPr>
              <w:t xml:space="preserve">$25.9M</w:t>
            </w:r>
          </w:p>
          <w:p>
            <w:pPr>
              <w:spacing w:before="0" w:after="40"/>
              <w:jc w:val="center"/>
            </w:pPr>
            <w:r>
              <w:rPr>
                <w:rFonts w:ascii="Arial" w:cs="Arial" w:eastAsia="Arial" w:hAnsi="Arial"/>
                <w:color w:val="555550"/>
                <w:sz w:val="18"/>
                <w:szCs w:val="18"/>
              </w:rPr>
              <w:t xml:space="preserve">Combined 3-year structural deficit (FY27–29)</w:t>
            </w:r>
          </w:p>
        </w:tc>
        <w:tc>
          <w:tcPr>
            <w:tcW w:type="dxa" w:w="2340"/>
            <w:tcBorders>
              <w:top w:val="single" w:color="D3D1C7" w:sz="1"/>
              <w:left w:val="single" w:color="D3D1C7" w:sz="1"/>
              <w:bottom w:val="single" w:color="D3D1C7" w:sz="1"/>
              <w:right w:val="single" w:color="D3D1C7" w:sz="1"/>
            </w:tcBorders>
            <w:shd w:fill="FAE8C8" w:val="clear"/>
            <w:tcMar>
              <w:top w:type="dxa" w:w="120"/>
              <w:left w:type="dxa" w:w="140"/>
              <w:bottom w:type="dxa" w:w="120"/>
              <w:right w:type="dxa" w:w="140"/>
            </w:tcMar>
          </w:tcPr>
          <w:p>
            <w:pPr>
              <w:spacing w:before="40" w:after="40"/>
              <w:jc w:val="center"/>
            </w:pPr>
            <w:r>
              <w:rPr>
                <w:rFonts w:ascii="Arial" w:cs="Arial" w:eastAsia="Arial" w:hAnsi="Arial"/>
                <w:b/>
                <w:bCs/>
                <w:color w:val="412402"/>
                <w:sz w:val="48"/>
                <w:szCs w:val="48"/>
              </w:rPr>
              <w:t xml:space="preserve">+18.3%</w:t>
            </w:r>
          </w:p>
          <w:p>
            <w:pPr>
              <w:spacing w:before="0" w:after="40"/>
              <w:jc w:val="center"/>
            </w:pPr>
            <w:r>
              <w:rPr>
                <w:rFonts w:ascii="Arial" w:cs="Arial" w:eastAsia="Arial" w:hAnsi="Arial"/>
                <w:color w:val="555550"/>
                <w:sz w:val="18"/>
                <w:szCs w:val="18"/>
              </w:rPr>
              <w:t xml:space="preserve">Property tax increase if full override passes</w:t>
            </w:r>
          </w:p>
        </w:tc>
        <w:tc>
          <w:tcPr>
            <w:tcW w:type="dxa" w:w="2340"/>
            <w:tcBorders>
              <w:top w:val="single" w:color="D3D1C7" w:sz="1"/>
              <w:left w:val="single" w:color="D3D1C7" w:sz="1"/>
              <w:bottom w:val="single" w:color="D3D1C7" w:sz="1"/>
              <w:right w:val="single" w:color="D3D1C7" w:sz="1"/>
            </w:tcBorders>
            <w:shd w:fill="F1EFE8" w:val="clear"/>
            <w:tcMar>
              <w:top w:type="dxa" w:w="120"/>
              <w:left w:type="dxa" w:w="140"/>
              <w:bottom w:type="dxa" w:w="120"/>
              <w:right w:type="dxa" w:w="140"/>
            </w:tcMar>
          </w:tcPr>
          <w:p>
            <w:pPr>
              <w:spacing w:before="40" w:after="40"/>
              <w:jc w:val="center"/>
            </w:pPr>
            <w:r>
              <w:rPr>
                <w:rFonts w:ascii="Arial" w:cs="Arial" w:eastAsia="Arial" w:hAnsi="Arial"/>
                <w:b/>
                <w:bCs/>
                <w:color w:val="444441"/>
                <w:sz w:val="48"/>
                <w:szCs w:val="48"/>
              </w:rPr>
              <w:t xml:space="preserve">4th</w:t>
            </w:r>
          </w:p>
          <w:p>
            <w:pPr>
              <w:spacing w:before="0" w:after="40"/>
              <w:jc w:val="center"/>
            </w:pPr>
            <w:r>
              <w:rPr>
                <w:rFonts w:ascii="Arial" w:cs="Arial" w:eastAsia="Arial" w:hAnsi="Arial"/>
                <w:color w:val="555550"/>
                <w:sz w:val="18"/>
                <w:szCs w:val="18"/>
              </w:rPr>
              <w:t xml:space="preserve">Override since 2008 — intervals shrinking</w:t>
            </w:r>
          </w:p>
        </w:tc>
        <w:tc>
          <w:tcPr>
            <w:tcW w:type="dxa" w:w="2340"/>
            <w:tcBorders>
              <w:top w:val="single" w:color="D3D1C7" w:sz="1"/>
              <w:left w:val="single" w:color="D3D1C7" w:sz="1"/>
              <w:bottom w:val="single" w:color="D3D1C7" w:sz="1"/>
              <w:right w:val="single" w:color="D3D1C7" w:sz="1"/>
            </w:tcBorders>
            <w:shd w:fill="D6E8F7" w:val="clear"/>
            <w:tcMar>
              <w:top w:type="dxa" w:w="120"/>
              <w:left w:type="dxa" w:w="140"/>
              <w:bottom w:type="dxa" w:w="120"/>
              <w:right w:type="dxa" w:w="140"/>
            </w:tcMar>
          </w:tcPr>
          <w:p>
            <w:pPr>
              <w:spacing w:before="40" w:after="40"/>
              <w:jc w:val="center"/>
            </w:pPr>
            <w:r>
              <w:rPr>
                <w:rFonts w:ascii="Arial" w:cs="Arial" w:eastAsia="Arial" w:hAnsi="Arial"/>
                <w:b/>
                <w:bCs/>
                <w:color w:val="042C53"/>
                <w:sz w:val="48"/>
                <w:szCs w:val="48"/>
              </w:rPr>
              <w:t xml:space="preserve">Aaa</w:t>
            </w:r>
          </w:p>
          <w:p>
            <w:pPr>
              <w:spacing w:before="0" w:after="40"/>
              <w:jc w:val="center"/>
            </w:pPr>
            <w:r>
              <w:rPr>
                <w:rFonts w:ascii="Arial" w:cs="Arial" w:eastAsia="Arial" w:hAnsi="Arial"/>
                <w:color w:val="555550"/>
                <w:sz w:val="18"/>
                <w:szCs w:val="18"/>
              </w:rPr>
              <w:t xml:space="preserve">Moody’s rating — at risk without resolution</w:t>
            </w:r>
          </w:p>
        </w:tc>
      </w:tr>
    </w:tbl>
    <w:p>
      <w:pPr>
        <w:spacing w:before="60" w:after="60"/>
      </w:pPr>
      <w:r>
        <w:t xml:space="preserve"/>
      </w:r>
    </w:p>
    <w:p>
      <w:pPr>
        <w:pStyle w:val="Heading1"/>
        <w:spacing w:before="360" w:after="120"/>
      </w:pPr>
      <w:r>
        <w:rPr>
          <w:rFonts w:ascii="Arial" w:cs="Arial" w:eastAsia="Arial" w:hAnsi="Arial"/>
          <w:b/>
          <w:bCs/>
          <w:color w:val="042C53"/>
          <w:sz w:val="36"/>
          <w:szCs w:val="36"/>
        </w:rPr>
        <w:t xml:space="preserve">I. Understanding the Structural Deficit</w:t>
      </w:r>
    </w:p>
    <w:p>
      <w:pPr>
        <w:pStyle w:val="Heading2"/>
        <w:pBdr>
          <w:bottom w:val="single" w:color="185FA5" w:sz="4" w:space="4"/>
        </w:pBdr>
        <w:spacing w:before="280" w:after="100"/>
      </w:pPr>
      <w:r>
        <w:rPr>
          <w:rFonts w:ascii="Arial" w:cs="Arial" w:eastAsia="Arial" w:hAnsi="Arial"/>
          <w:b/>
          <w:bCs/>
          <w:color w:val="185FA5"/>
          <w:sz w:val="28"/>
          <w:szCs w:val="28"/>
        </w:rPr>
        <w:t xml:space="preserve">1.1  The Core Problem in Plain English</w:t>
      </w:r>
    </w:p>
    <w:p>
      <w:pPr>
        <w:spacing w:before="60" w:after="100"/>
      </w:pPr>
      <w:r>
        <w:rPr>
          <w:rFonts w:ascii="Arial" w:cs="Arial" w:eastAsia="Arial" w:hAnsi="Arial"/>
          <w:color w:val="1A1A18"/>
          <w:sz w:val="22"/>
          <w:szCs w:val="22"/>
        </w:rPr>
        <w:t xml:space="preserve">Brookline's revenue is legally capped. Property taxes — which constitute 79% of all operating revenue — can only grow by 2.5% per year plus a small 'new growth' increment under Proposition 2½, Massachusetts' 1980 tax limitation law. On average, Brookline's levy grows about 3% annually in real terms.</w:t>
      </w:r>
    </w:p>
    <w:p>
      <w:pPr>
        <w:spacing w:before="60" w:after="100"/>
      </w:pPr>
      <w:r>
        <w:rPr>
          <w:rFonts w:ascii="Arial" w:cs="Arial" w:eastAsia="Arial" w:hAnsi="Arial"/>
          <w:color w:val="1A1A18"/>
          <w:sz w:val="22"/>
          <w:szCs w:val="22"/>
        </w:rPr>
        <w:t xml:space="preserve">Expenses have no such cap. Healthcare benefits, union-negotiated wages, debt service from school construction, special education costs, and inflation all grow materially faster than 3%. The gap between revenues and expenditures compounds every year. The only legal remedies available to the town are: cut services, raise fees, grow the tax base through new development, or ask voters to approve a property tax override above the Prop 2½ cap.</w:t>
      </w:r>
    </w:p>
    <w:p>
      <w:pPr>
        <w:spacing w:before="60" w:after="100"/>
      </w:pPr>
      <w:r>
        <w:rPr>
          <w:rFonts w:ascii="Arial" w:cs="Arial" w:eastAsia="Arial" w:hAnsi="Arial"/>
          <w:color w:val="1A1A18"/>
          <w:sz w:val="22"/>
          <w:szCs w:val="22"/>
        </w:rPr>
        <w:t xml:space="preserve">Brookline has already held four operating overrides (2008, 2015, 2019, 2022). The dollar amounts have grown with each cycle, and the intervals between them have shrunk. This is the pattern the E&amp;RSC was charged with breaking.</w:t>
      </w:r>
    </w:p>
    <w:p>
      <w:pPr>
        <w:spacing w:before="60" w:after="60"/>
      </w:pPr>
      <w:r>
        <w:t xml:space="preserve"/>
      </w:r>
    </w:p>
    <w:p>
      <w:pPr>
        <w:pStyle w:val="Heading2"/>
        <w:pBdr>
          <w:bottom w:val="single" w:color="185FA5" w:sz="4" w:space="4"/>
        </w:pBdr>
        <w:spacing w:before="280" w:after="100"/>
      </w:pPr>
      <w:r>
        <w:rPr>
          <w:rFonts w:ascii="Arial" w:cs="Arial" w:eastAsia="Arial" w:hAnsi="Arial"/>
          <w:b/>
          <w:bCs/>
          <w:color w:val="185FA5"/>
          <w:sz w:val="28"/>
          <w:szCs w:val="28"/>
        </w:rPr>
        <w:t xml:space="preserve">1.2  The Revenue-Expenditure Gap</w:t>
      </w:r>
    </w:p>
    <w:p>
      <w:pPr>
        <w:spacing w:before="60" w:after="100"/>
      </w:pPr>
      <w:r>
        <w:rPr>
          <w:rFonts w:ascii="Arial" w:cs="Arial" w:eastAsia="Arial" w:hAnsi="Arial"/>
          <w:color w:val="1A1A18"/>
          <w:sz w:val="22"/>
          <w:szCs w:val="22"/>
        </w:rPr>
        <w:t xml:space="preserve">The Town-School Partnership (TSP), established in 1994, governs how Brookline's total revenue is divided between municipal operations and the Public Schools of Brookline (PSB). The mechanics work as follows: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D3D1C7" w:sz="1"/>
              <w:left w:val="single" w:color="D3D1C7" w:sz="1"/>
              <w:bottom w:val="single" w:color="D3D1C7" w:sz="1"/>
              <w:right w:val="single" w:color="D3D1C7" w:sz="1"/>
            </w:tcBorders>
            <w:shd w:fill="D6E8F7" w:val="clear"/>
            <w:tcMar>
              <w:top w:type="dxa" w:w="120"/>
              <w:left w:type="dxa" w:w="140"/>
              <w:bottom w:type="dxa" w:w="120"/>
              <w:right w:type="dxa" w:w="140"/>
            </w:tcMar>
          </w:tcPr>
          <w:p>
            <w:pPr>
              <w:spacing w:before="60" w:after="80"/>
            </w:pPr>
            <w:r>
              <w:rPr>
                <w:rFonts w:ascii="Arial" w:cs="Arial" w:eastAsia="Arial" w:hAnsi="Arial"/>
                <w:b/>
                <w:bCs/>
                <w:color w:val="042C53"/>
                <w:sz w:val="20"/>
                <w:szCs w:val="20"/>
              </w:rPr>
              <w:t xml:space="preserve">FY27 Revenue Flow</w:t>
            </w:r>
          </w:p>
          <w:p>
            <w:pPr>
              <w:pStyle w:val="ListParagraph"/>
              <w:numPr>
                <w:ilvl w:val="0"/>
                <w:numId w:val="2"/>
              </w:numPr>
              <w:spacing w:before="40" w:after="40"/>
            </w:pPr>
            <w:r>
              <w:rPr>
                <w:rFonts w:ascii="Arial" w:cs="Arial" w:eastAsia="Arial" w:hAnsi="Arial"/>
                <w:color w:val="1A1A18"/>
                <w:sz w:val="20"/>
                <w:szCs w:val="20"/>
              </w:rPr>
              <w:t xml:space="preserve">Total projected revenue: $440.2M</w:t>
            </w:r>
          </w:p>
          <w:p>
            <w:pPr>
              <w:pStyle w:val="ListParagraph"/>
              <w:numPr>
                <w:ilvl w:val="0"/>
                <w:numId w:val="2"/>
              </w:numPr>
              <w:spacing w:before="40" w:after="40"/>
            </w:pPr>
            <w:r>
              <w:rPr>
                <w:rFonts w:ascii="Arial" w:cs="Arial" w:eastAsia="Arial" w:hAnsi="Arial"/>
                <w:color w:val="501313"/>
                <w:sz w:val="20"/>
                <w:szCs w:val="20"/>
              </w:rPr>
              <w:t xml:space="preserve">Subtract shared fixed costs: -$194.5M</w:t>
            </w:r>
          </w:p>
          <w:p>
            <w:pPr>
              <w:pStyle w:val="ListParagraph"/>
              <w:numPr>
                <w:ilvl w:val="0"/>
                <w:numId w:val="2"/>
              </w:numPr>
              <w:spacing w:before="40" w:after="40"/>
            </w:pPr>
            <w:r>
              <w:rPr>
                <w:rFonts w:ascii="Arial" w:cs="Arial" w:eastAsia="Arial" w:hAnsi="Arial"/>
                <w:color w:val="1A1A18"/>
                <w:sz w:val="20"/>
                <w:szCs w:val="20"/>
              </w:rPr>
              <w:t xml:space="preserve">Available to divide: $245.8M</w:t>
            </w:r>
          </w:p>
          <w:p>
            <w:pPr>
              <w:pStyle w:val="ListParagraph"/>
              <w:numPr>
                <w:ilvl w:val="0"/>
                <w:numId w:val="2"/>
              </w:numPr>
              <w:spacing w:before="40" w:after="40"/>
            </w:pPr>
            <w:r>
              <w:rPr>
                <w:rFonts w:ascii="Arial" w:cs="Arial" w:eastAsia="Arial" w:hAnsi="Arial"/>
                <w:color w:val="1A1A18"/>
                <w:sz w:val="20"/>
                <w:szCs w:val="20"/>
              </w:rPr>
              <w:t xml:space="preserve">Schools (58.8%): $144.5M</w:t>
            </w:r>
          </w:p>
          <w:p>
            <w:pPr>
              <w:pStyle w:val="ListParagraph"/>
              <w:numPr>
                <w:ilvl w:val="0"/>
                <w:numId w:val="2"/>
              </w:numPr>
              <w:spacing w:before="40" w:after="40"/>
            </w:pPr>
            <w:r>
              <w:rPr>
                <w:rFonts w:ascii="Arial" w:cs="Arial" w:eastAsia="Arial" w:hAnsi="Arial"/>
                <w:color w:val="1A1A18"/>
                <w:sz w:val="20"/>
                <w:szCs w:val="20"/>
              </w:rPr>
              <w:t xml:space="preserve">Town (41.2%): $101.3M</w:t>
            </w:r>
          </w:p>
        </w:tc>
        <w:tc>
          <w:tcPr>
            <w:tcW w:type="dxa" w:w="4740"/>
            <w:tcBorders>
              <w:top w:val="single" w:color="D3D1C7" w:sz="1"/>
              <w:left w:val="single" w:color="D3D1C7" w:sz="1"/>
              <w:bottom w:val="single" w:color="D3D1C7" w:sz="1"/>
              <w:right w:val="single" w:color="D3D1C7" w:sz="1"/>
            </w:tcBorders>
            <w:shd w:fill="FFFFFF" w:val="clear"/>
            <w:tcMar>
              <w:top w:type="dxa" w:w="120"/>
              <w:left w:type="dxa" w:w="140"/>
              <w:bottom w:type="dxa" w:w="120"/>
              <w:right w:type="dxa" w:w="140"/>
            </w:tcMar>
          </w:tcPr>
          <w:p>
            <w:pPr>
              <w:spacing w:before="60" w:after="80"/>
            </w:pPr>
            <w:r>
              <w:rPr>
                <w:rFonts w:ascii="Arial" w:cs="Arial" w:eastAsia="Arial" w:hAnsi="Arial"/>
                <w:b/>
                <w:bCs/>
                <w:color w:val="042C53"/>
                <w:sz w:val="20"/>
                <w:szCs w:val="20"/>
              </w:rPr>
              <w:t xml:space="preserve">The critical squeeze in FY27</w:t>
            </w:r>
          </w:p>
          <w:p>
            <w:pPr>
              <w:spacing w:before="60" w:after="100"/>
            </w:pPr>
            <w:r>
              <w:rPr>
                <w:rFonts w:ascii="Arial" w:cs="Arial" w:eastAsia="Arial" w:hAnsi="Arial"/>
                <w:color w:val="1A1A18"/>
                <w:sz w:val="22"/>
                <w:szCs w:val="22"/>
              </w:rPr>
              <w:t xml:space="preserve">Of the $20.6M in new FY27 revenue over FY26, $6.8M immediately goes to excluded debt. Of the remaining $13.8M, shared costs (benefits + debt service) consume $16.5M more — meaning there is actually $4.1M less to divide between Town and Schools than the prior year.</w:t>
            </w:r>
          </w:p>
          <w:p>
            <w:pPr>
              <w:spacing w:before="60" w:after="100"/>
            </w:pPr>
            <w:r>
              <w:rPr>
                <w:rFonts w:ascii="Arial" w:cs="Arial" w:eastAsia="Arial" w:hAnsi="Arial"/>
                <w:color w:val="1A1A18"/>
                <w:sz w:val="22"/>
                <w:szCs w:val="22"/>
              </w:rPr>
              <w:t xml:space="preserve">Benefits alone (pensions + healthcare) are 23% of total revenue in FY27 and consuming virtually the entire Prop 2½ increase each year.</w:t>
            </w:r>
          </w:p>
        </w:tc>
      </w:tr>
    </w:tbl>
    <w:p>
      <w:pPr>
        <w:spacing w:before="60" w:after="60"/>
      </w:pPr>
      <w:r>
        <w:t xml:space="preserve"/>
      </w:r>
    </w:p>
    <w:p>
      <w:pPr>
        <w:pStyle w:val="Heading2"/>
        <w:pBdr>
          <w:bottom w:val="single" w:color="185FA5" w:sz="4" w:space="4"/>
        </w:pBdr>
        <w:spacing w:before="280" w:after="100"/>
      </w:pPr>
      <w:r>
        <w:rPr>
          <w:rFonts w:ascii="Arial" w:cs="Arial" w:eastAsia="Arial" w:hAnsi="Arial"/>
          <w:b/>
          <w:bCs/>
          <w:color w:val="185FA5"/>
          <w:sz w:val="28"/>
          <w:szCs w:val="28"/>
        </w:rPr>
        <w:t xml:space="preserve">1.3  The 3-Year Deficit Picture (FY27–FY29)</w:t>
      </w:r>
    </w:p>
    <w:p>
      <w:pPr>
        <w:spacing w:before="60" w:after="100"/>
      </w:pPr>
      <w:r>
        <w:rPr>
          <w:rFonts w:ascii="Arial" w:cs="Arial" w:eastAsia="Arial" w:hAnsi="Arial"/>
          <w:color w:val="1A1A18"/>
          <w:sz w:val="22"/>
          <w:szCs w:val="22"/>
        </w:rPr>
        <w:t xml:space="preserve">The E&amp;RSC projects the following structural deficits over the next three fiscal years, even after significant planned cuts by both Town and Schools: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3-Year Deficit</w:t>
            </w:r>
          </w:p>
        </w:tc>
        <w:tc>
          <w:tcPr>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Override Ask</w:t>
            </w:r>
          </w:p>
        </w:tc>
        <w:tc>
          <w:tcPr>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Town of Brookline</w:t>
            </w:r>
          </w:p>
        </w:tc>
        <w:tc>
          <w:tcPr>
            <w:tcBorders>
              <w:top w:val="single" w:color="D3D1C7" w:sz="1"/>
              <w:left w:val="single" w:color="D3D1C7" w:sz="1"/>
              <w:bottom w:val="single" w:color="D3D1C7" w:sz="1"/>
              <w:right w:val="single" w:color="D3D1C7" w:sz="1"/>
            </w:tcBorders>
            <w:shd w:fill="FBDEDE" w:val="clear"/>
            <w:tcMar>
              <w:top w:type="dxa" w:w="80"/>
              <w:left w:type="dxa" w:w="120"/>
              <w:bottom w:type="dxa" w:w="80"/>
              <w:right w:type="dxa" w:w="120"/>
            </w:tcMar>
          </w:tcPr>
          <w:p>
            <w:r>
              <w:rPr>
                <w:rFonts w:ascii="Arial" w:cs="Arial" w:eastAsia="Arial" w:hAnsi="Arial"/>
                <w:b/>
                <w:bCs/>
                <w:color w:val="501313"/>
                <w:sz w:val="20"/>
                <w:szCs w:val="20"/>
              </w:rPr>
              <w:t xml:space="preserve">$7.95M</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$5.31M</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0"/>
                <w:sz w:val="18"/>
                <w:szCs w:val="18"/>
              </w:rPr>
              <w:t xml:space="preserve">Lump sum FY27</w:t>
            </w:r>
          </w:p>
        </w:tc>
      </w:tr>
      <w:tr>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Public Schools (PSB)</w:t>
            </w:r>
          </w:p>
        </w:tc>
        <w:tc>
          <w:tcPr>
            <w:tcBorders>
              <w:top w:val="single" w:color="D3D1C7" w:sz="1"/>
              <w:left w:val="single" w:color="D3D1C7" w:sz="1"/>
              <w:bottom w:val="single" w:color="D3D1C7" w:sz="1"/>
              <w:right w:val="single" w:color="D3D1C7" w:sz="1"/>
            </w:tcBorders>
            <w:shd w:fill="FBDEDE" w:val="clear"/>
            <w:tcMar>
              <w:top w:type="dxa" w:w="80"/>
              <w:left w:type="dxa" w:w="120"/>
              <w:bottom w:type="dxa" w:w="80"/>
              <w:right w:type="dxa" w:w="120"/>
            </w:tcMar>
          </w:tcPr>
          <w:p>
            <w:r>
              <w:rPr>
                <w:rFonts w:ascii="Arial" w:cs="Arial" w:eastAsia="Arial" w:hAnsi="Arial"/>
                <w:b/>
                <w:bCs/>
                <w:color w:val="501313"/>
                <w:sz w:val="20"/>
                <w:szCs w:val="20"/>
              </w:rPr>
              <w:t xml:space="preserve">$17.94M</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$17.94M</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0"/>
                <w:sz w:val="18"/>
                <w:szCs w:val="18"/>
              </w:rPr>
              <w:t xml:space="preserve">Phased over 3 years</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8"/>
                <w:sz w:val="20"/>
                <w:szCs w:val="20"/>
              </w:rPr>
              <w:t xml:space="preserve">Combined Total</w:t>
            </w:r>
          </w:p>
        </w:tc>
        <w:tc>
          <w:tcPr>
            <w:tcBorders>
              <w:top w:val="single" w:color="D3D1C7" w:sz="1"/>
              <w:left w:val="single" w:color="D3D1C7" w:sz="1"/>
              <w:bottom w:val="single" w:color="D3D1C7" w:sz="1"/>
              <w:right w:val="single" w:color="D3D1C7" w:sz="1"/>
            </w:tcBorders>
            <w:shd w:fill="FBDEDE" w:val="clear"/>
            <w:tcMar>
              <w:top w:type="dxa" w:w="80"/>
              <w:left w:type="dxa" w:w="120"/>
              <w:bottom w:type="dxa" w:w="80"/>
              <w:right w:type="dxa" w:w="120"/>
            </w:tcMar>
          </w:tcPr>
          <w:p>
            <w:r>
              <w:rPr>
                <w:rFonts w:ascii="Arial" w:cs="Arial" w:eastAsia="Arial" w:hAnsi="Arial"/>
                <w:b/>
                <w:bCs/>
                <w:color w:val="501313"/>
                <w:sz w:val="20"/>
                <w:szCs w:val="20"/>
              </w:rPr>
              <w:t xml:space="preserve">$25.89M</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8"/>
                <w:sz w:val="20"/>
                <w:szCs w:val="20"/>
              </w:rPr>
              <w:t xml:space="preserve">$23.25M</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501313"/>
                <w:sz w:val="18"/>
                <w:szCs w:val="18"/>
              </w:rPr>
              <w:t xml:space="preserve">+18.3% tax increase</w:t>
            </w:r>
          </w:p>
        </w:tc>
      </w:tr>
    </w:tbl>
    <w:p>
      <w:pPr>
        <w:spacing w:before="60" w:after="60"/>
      </w:pPr>
      <w:r>
        <w:t xml:space="preserve"/>
      </w:r>
    </w:p>
    <w:p>
      <w:pPr>
        <w:pStyle w:val="Heading1"/>
        <w:spacing w:before="360" w:after="120"/>
      </w:pPr>
      <w:r>
        <w:rPr>
          <w:rFonts w:ascii="Arial" w:cs="Arial" w:eastAsia="Arial" w:hAnsi="Arial"/>
          <w:b/>
          <w:bCs/>
          <w:color w:val="042C53"/>
          <w:sz w:val="36"/>
          <w:szCs w:val="36"/>
        </w:rPr>
        <w:t xml:space="preserve">II. Cost Drivers — What Is Growing Fastest</w:t>
      </w:r>
    </w:p>
    <w:p>
      <w:pPr>
        <w:pStyle w:val="Heading2"/>
        <w:pBdr>
          <w:bottom w:val="single" w:color="185FA5" w:sz="4" w:space="4"/>
        </w:pBdr>
        <w:spacing w:before="280" w:after="100"/>
      </w:pPr>
      <w:r>
        <w:rPr>
          <w:rFonts w:ascii="Arial" w:cs="Arial" w:eastAsia="Arial" w:hAnsi="Arial"/>
          <w:b/>
          <w:bCs/>
          <w:color w:val="185FA5"/>
          <w:sz w:val="28"/>
          <w:szCs w:val="28"/>
        </w:rPr>
        <w:t xml:space="preserve">2.1  Town Cost Drivers</w:t>
      </w:r>
    </w:p>
    <w:p>
      <w:pPr>
        <w:pStyle w:val="ListParagraph"/>
        <w:numPr>
          <w:ilvl w:val="0"/>
          <w:numId w:val="3"/>
        </w:numPr>
        <w:spacing w:before="40" w:after="40"/>
      </w:pPr>
      <w:r>
        <w:rPr>
          <w:rFonts w:ascii="Arial" w:cs="Arial" w:eastAsia="Arial" w:hAnsi="Arial"/>
          <w:b/>
          <w:bCs/>
          <w:color w:val="1A1A18"/>
          <w:sz w:val="22"/>
          <w:szCs w:val="22"/>
        </w:rPr>
        <w:t xml:space="preserve">Benefits: </w:t>
      </w:r>
      <w:r>
        <w:rPr>
          <w:rFonts w:ascii="Arial" w:cs="Arial" w:eastAsia="Arial" w:hAnsi="Arial"/>
          <w:color w:val="1A1A18"/>
          <w:sz w:val="22"/>
          <w:szCs w:val="22"/>
        </w:rPr>
        <w:t xml:space="preserve">Employee benefits (21.9% of operating budget, rising to 22.8% in FY27) — mainly mandatory pension contributions and health insurance. These are consuming virtually all new property tax revenue each year.</w:t>
      </w:r>
    </w:p>
    <w:p>
      <w:pPr>
        <w:pStyle w:val="ListParagraph"/>
        <w:numPr>
          <w:ilvl w:val="0"/>
          <w:numId w:val="3"/>
        </w:numPr>
        <w:spacing w:before="40" w:after="40"/>
      </w:pPr>
      <w:r>
        <w:rPr>
          <w:rFonts w:ascii="Arial" w:cs="Arial" w:eastAsia="Arial" w:hAnsi="Arial"/>
          <w:b/>
          <w:bCs/>
          <w:color w:val="1A1A18"/>
          <w:sz w:val="22"/>
          <w:szCs w:val="22"/>
        </w:rPr>
        <w:t xml:space="preserve">Fire overtime: </w:t>
      </w:r>
      <w:r>
        <w:rPr>
          <w:rFonts w:ascii="Arial" w:cs="Arial" w:eastAsia="Arial" w:hAnsi="Arial"/>
          <w:color w:val="1A1A18"/>
          <w:sz w:val="22"/>
          <w:szCs w:val="22"/>
        </w:rPr>
        <w:t xml:space="preserve">Fire Department overtime persistently exceeds budget by approximately $800,000 per year. A new collective bargaining agreement will likely worsen this.</w:t>
      </w:r>
    </w:p>
    <w:p>
      <w:pPr>
        <w:pStyle w:val="ListParagraph"/>
        <w:numPr>
          <w:ilvl w:val="0"/>
          <w:numId w:val="3"/>
        </w:numPr>
        <w:spacing w:before="40" w:after="40"/>
      </w:pPr>
      <w:r>
        <w:rPr>
          <w:rFonts w:ascii="Arial" w:cs="Arial" w:eastAsia="Arial" w:hAnsi="Arial"/>
          <w:b/>
          <w:bCs/>
          <w:color w:val="1A1A18"/>
          <w:sz w:val="22"/>
          <w:szCs w:val="22"/>
        </w:rPr>
        <w:t xml:space="preserve">Salaries: </w:t>
      </w:r>
      <w:r>
        <w:rPr>
          <w:rFonts w:ascii="Arial" w:cs="Arial" w:eastAsia="Arial" w:hAnsi="Arial"/>
          <w:color w:val="1A1A18"/>
          <w:sz w:val="22"/>
          <w:szCs w:val="22"/>
        </w:rPr>
        <w:t xml:space="preserve">Staff salaries across departments are driven by union contracts, longevity step increases, and arbitration outcomes — none of which the Town fully controls.</w:t>
      </w:r>
    </w:p>
    <w:p>
      <w:pPr>
        <w:pStyle w:val="ListParagraph"/>
        <w:numPr>
          <w:ilvl w:val="0"/>
          <w:numId w:val="3"/>
        </w:numPr>
        <w:spacing w:before="40" w:after="40"/>
      </w:pPr>
      <w:r>
        <w:rPr>
          <w:rFonts w:ascii="Arial" w:cs="Arial" w:eastAsia="Arial" w:hAnsi="Arial"/>
          <w:b/>
          <w:bCs/>
          <w:color w:val="1A1A18"/>
          <w:sz w:val="22"/>
          <w:szCs w:val="22"/>
        </w:rPr>
        <w:t xml:space="preserve">Debt service: </w:t>
      </w:r>
      <w:r>
        <w:rPr>
          <w:rFonts w:ascii="Arial" w:cs="Arial" w:eastAsia="Arial" w:hAnsi="Arial"/>
          <w:color w:val="1A1A18"/>
          <w:sz w:val="22"/>
          <w:szCs w:val="22"/>
        </w:rPr>
        <w:t xml:space="preserve">Debt service has exploded from $10.6M (FY18) to $49.4M (FY27) — a 37% annual increase — as three decades of school construction bonds come due simultaneously.</w:t>
      </w:r>
    </w:p>
    <w:p>
      <w:pPr>
        <w:pStyle w:val="ListParagraph"/>
        <w:numPr>
          <w:ilvl w:val="0"/>
          <w:numId w:val="3"/>
        </w:numPr>
        <w:spacing w:before="40" w:after="40"/>
      </w:pPr>
      <w:r>
        <w:rPr>
          <w:rFonts w:ascii="Arial" w:cs="Arial" w:eastAsia="Arial" w:hAnsi="Arial"/>
          <w:b/>
          <w:bCs/>
          <w:color w:val="1A1A18"/>
          <w:sz w:val="22"/>
          <w:szCs w:val="22"/>
        </w:rPr>
        <w:t xml:space="preserve">Unfunded mandates: </w:t>
      </w:r>
      <w:r>
        <w:rPr>
          <w:rFonts w:ascii="Arial" w:cs="Arial" w:eastAsia="Arial" w:hAnsi="Arial"/>
          <w:color w:val="1A1A18"/>
          <w:sz w:val="22"/>
          <w:szCs w:val="22"/>
        </w:rPr>
        <w:t xml:space="preserve">Town Meeting has repeatedly passed resolutions that are treated as binding service mandates without identifying revenue sources.</w:t>
      </w:r>
    </w:p>
    <w:p>
      <w:pPr>
        <w:pStyle w:val="ListParagraph"/>
        <w:numPr>
          <w:ilvl w:val="0"/>
          <w:numId w:val="3"/>
        </w:numPr>
        <w:spacing w:before="40" w:after="40"/>
      </w:pPr>
      <w:r>
        <w:rPr>
          <w:rFonts w:ascii="Arial" w:cs="Arial" w:eastAsia="Arial" w:hAnsi="Arial"/>
          <w:b/>
          <w:bCs/>
          <w:color w:val="1A1A18"/>
          <w:sz w:val="22"/>
          <w:szCs w:val="22"/>
        </w:rPr>
        <w:t xml:space="preserve">Expiring revenue: </w:t>
      </w:r>
      <w:r>
        <w:rPr>
          <w:rFonts w:ascii="Arial" w:cs="Arial" w:eastAsia="Arial" w:hAnsi="Arial"/>
          <w:color w:val="1A1A18"/>
          <w:sz w:val="22"/>
          <w:szCs w:val="22"/>
        </w:rPr>
        <w:t xml:space="preserve">Federal ARPA funds have expired. Cannabis tax revenue and permitting fees are declining. Federal grants face active political threat.</w:t>
      </w:r>
    </w:p>
    <w:p>
      <w:pPr>
        <w:spacing w:before="60" w:after="60"/>
      </w:pPr>
      <w:r>
        <w:t xml:space="preserve"/>
      </w:r>
    </w:p>
    <w:p>
      <w:pPr>
        <w:pStyle w:val="Heading2"/>
        <w:pBdr>
          <w:bottom w:val="single" w:color="185FA5" w:sz="4" w:space="4"/>
        </w:pBdr>
        <w:spacing w:before="280" w:after="100"/>
      </w:pPr>
      <w:r>
        <w:rPr>
          <w:rFonts w:ascii="Arial" w:cs="Arial" w:eastAsia="Arial" w:hAnsi="Arial"/>
          <w:b/>
          <w:bCs/>
          <w:color w:val="185FA5"/>
          <w:sz w:val="28"/>
          <w:szCs w:val="28"/>
        </w:rPr>
        <w:t xml:space="preserve">2.2  School Cost Drivers</w:t>
      </w:r>
    </w:p>
    <w:p>
      <w:pPr>
        <w:pStyle w:val="ListParagraph"/>
        <w:numPr>
          <w:ilvl w:val="0"/>
          <w:numId w:val="3"/>
        </w:numPr>
        <w:spacing w:before="40" w:after="40"/>
      </w:pPr>
      <w:r>
        <w:rPr>
          <w:rFonts w:ascii="Arial" w:cs="Arial" w:eastAsia="Arial" w:hAnsi="Arial"/>
          <w:b/>
          <w:bCs/>
          <w:color w:val="1A1A18"/>
          <w:sz w:val="22"/>
          <w:szCs w:val="22"/>
        </w:rPr>
        <w:t xml:space="preserve">Healthcare premiums (83%): </w:t>
      </w:r>
      <w:r>
        <w:rPr>
          <w:rFonts w:ascii="Arial" w:cs="Arial" w:eastAsia="Arial" w:hAnsi="Arial"/>
          <w:color w:val="1A1A18"/>
          <w:sz w:val="22"/>
          <w:szCs w:val="22"/>
        </w:rPr>
        <w:t xml:space="preserve">Brookline pays 83% of employee healthcare premiums — among the highest of comparable communities. The E&amp;RSC's independent auditor called this a 'budget buster.' The comparable-community median is closer to 75–78%.</w:t>
      </w:r>
    </w:p>
    <w:p>
      <w:pPr>
        <w:pStyle w:val="ListParagraph"/>
        <w:numPr>
          <w:ilvl w:val="0"/>
          <w:numId w:val="3"/>
        </w:numPr>
        <w:spacing w:before="40" w:after="40"/>
      </w:pPr>
      <w:r>
        <w:rPr>
          <w:rFonts w:ascii="Arial" w:cs="Arial" w:eastAsia="Arial" w:hAnsi="Arial"/>
          <w:b/>
          <w:bCs/>
          <w:color w:val="1A1A18"/>
          <w:sz w:val="22"/>
          <w:szCs w:val="22"/>
        </w:rPr>
        <w:t xml:space="preserve">Salary steps: </w:t>
      </w:r>
      <w:r>
        <w:rPr>
          <w:rFonts w:ascii="Arial" w:cs="Arial" w:eastAsia="Arial" w:hAnsi="Arial"/>
          <w:color w:val="1A1A18"/>
          <w:sz w:val="22"/>
          <w:szCs w:val="22"/>
        </w:rPr>
        <w:t xml:space="preserve">Approximately 50% of PSB educators receive 'step' increases annually on top of contractual COLA increases. Brookline educator median salaries already exceed comparable districts by thousands of dollars — with the single exception of long-tenured staff with doctorates.</w:t>
      </w:r>
    </w:p>
    <w:p>
      <w:pPr>
        <w:pStyle w:val="ListParagraph"/>
        <w:numPr>
          <w:ilvl w:val="0"/>
          <w:numId w:val="3"/>
        </w:numPr>
        <w:spacing w:before="40" w:after="40"/>
      </w:pPr>
      <w:r>
        <w:rPr>
          <w:rFonts w:ascii="Arial" w:cs="Arial" w:eastAsia="Arial" w:hAnsi="Arial"/>
          <w:b/>
          <w:bCs/>
          <w:color w:val="1A1A18"/>
          <w:sz w:val="22"/>
          <w:szCs w:val="22"/>
        </w:rPr>
        <w:t xml:space="preserve">Special education cross-subsidy: </w:t>
      </w:r>
      <w:r>
        <w:rPr>
          <w:rFonts w:ascii="Arial" w:cs="Arial" w:eastAsia="Arial" w:hAnsi="Arial"/>
          <w:color w:val="1A1A18"/>
          <w:sz w:val="22"/>
          <w:szCs w:val="22"/>
        </w:rPr>
        <w:t xml:space="preserve">Non-resident METCO and Materials Fee students receive special education services at ~$28,000 per student per year with zero reimbursement from their home districts or the State. With 144 non-resident students receiving SpEd services, this represents approximately $4M in unreimbursed annual costs.</w:t>
      </w:r>
    </w:p>
    <w:p>
      <w:pPr>
        <w:pStyle w:val="ListParagraph"/>
        <w:numPr>
          <w:ilvl w:val="0"/>
          <w:numId w:val="3"/>
        </w:numPr>
        <w:spacing w:before="40" w:after="40"/>
      </w:pPr>
      <w:r>
        <w:rPr>
          <w:rFonts w:ascii="Arial" w:cs="Arial" w:eastAsia="Arial" w:hAnsi="Arial"/>
          <w:b/>
          <w:bCs/>
          <w:color w:val="1A1A18"/>
          <w:sz w:val="22"/>
          <w:szCs w:val="22"/>
        </w:rPr>
        <w:t xml:space="preserve">Financial mismanagement: </w:t>
      </w:r>
      <w:r>
        <w:rPr>
          <w:rFonts w:ascii="Arial" w:cs="Arial" w:eastAsia="Arial" w:hAnsi="Arial"/>
          <w:color w:val="1A1A18"/>
          <w:sz w:val="22"/>
          <w:szCs w:val="22"/>
        </w:rPr>
        <w:t xml:space="preserve">An external CliftonLarsonAllen audit (May 2025) confirmed mismanagement: a $1.1M payroll formula error, delayed vendor payments, deficient budget controls, and out-of-district settlements authorized without educator input.</w:t>
      </w:r>
    </w:p>
    <w:p>
      <w:pPr>
        <w:spacing w:before="60" w:after="60"/>
      </w:pPr>
      <w:r>
        <w:t xml:space="preserve"/>
      </w:r>
    </w:p>
    <w:p>
      <w:pPr>
        <w:pStyle w:val="Heading2"/>
        <w:pBdr>
          <w:bottom w:val="single" w:color="185FA5" w:sz="4" w:space="4"/>
        </w:pBdr>
        <w:spacing w:before="280" w:after="100"/>
      </w:pPr>
      <w:r>
        <w:rPr>
          <w:rFonts w:ascii="Arial" w:cs="Arial" w:eastAsia="Arial" w:hAnsi="Arial"/>
          <w:b/>
          <w:bCs/>
          <w:color w:val="185FA5"/>
          <w:sz w:val="28"/>
          <w:szCs w:val="28"/>
        </w:rPr>
        <w:t xml:space="preserve">2.3  Why This Override Feels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C8" w:val="clear"/>
            <w:tcMar>
              <w:top w:type="dxa" w:w="120"/>
              <w:left w:type="dxa" w:w="180"/>
              <w:bottom w:type="dxa" w:w="120"/>
              <w:right w:type="dxa" w:w="180"/>
            </w:tcMar>
          </w:tcPr>
          <w:p>
            <w:pPr>
              <w:spacing w:before="60" w:after="80"/>
            </w:pPr>
            <w:r>
              <w:rPr>
                <w:rFonts w:ascii="Arial" w:cs="Arial" w:eastAsia="Arial" w:hAnsi="Arial"/>
                <w:b/>
                <w:bCs/>
                <w:color w:val="412402"/>
                <w:sz w:val="20"/>
                <w:szCs w:val="20"/>
              </w:rPr>
              <w:t xml:space="preserve">The Capacity to Pay Problem</w:t>
            </w:r>
          </w:p>
          <w:p>
            <w:pPr>
              <w:pStyle w:val="ListParagraph"/>
              <w:numPr>
                <w:ilvl w:val="0"/>
                <w:numId w:val="3"/>
              </w:numPr>
              <w:spacing w:before="40" w:after="40"/>
            </w:pPr>
            <w:r>
              <w:rPr>
                <w:rFonts w:ascii="Arial" w:cs="Arial" w:eastAsia="Arial" w:hAnsi="Arial"/>
                <w:color w:val="1A1A18"/>
                <w:sz w:val="22"/>
                <w:szCs w:val="22"/>
              </w:rPr>
              <w:t xml:space="preserve">Single-family property taxes rose 93% from FY15–FY26 vs. a 64% median increase in comparable communities — 146% of the peer rate of increase.</w:t>
            </w:r>
          </w:p>
          <w:p>
            <w:pPr>
              <w:pStyle w:val="ListParagraph"/>
              <w:numPr>
                <w:ilvl w:val="0"/>
                <w:numId w:val="3"/>
              </w:numPr>
              <w:spacing w:before="40" w:after="40"/>
            </w:pPr>
            <w:r>
              <w:rPr>
                <w:rFonts w:ascii="Arial" w:cs="Arial" w:eastAsia="Arial" w:hAnsi="Arial"/>
                <w:color w:val="1A1A18"/>
                <w:sz w:val="22"/>
                <w:szCs w:val="22"/>
              </w:rPr>
              <w:t xml:space="preserve">Over 6,650 renters (47%) already pay more than 30% of household income on housing. Over 3,300 owners do too.</w:t>
            </w:r>
          </w:p>
          <w:p>
            <w:pPr>
              <w:pStyle w:val="ListParagraph"/>
              <w:numPr>
                <w:ilvl w:val="0"/>
                <w:numId w:val="3"/>
              </w:numPr>
              <w:spacing w:before="40" w:after="40"/>
            </w:pPr>
            <w:r>
              <w:rPr>
                <w:rFonts w:ascii="Arial" w:cs="Arial" w:eastAsia="Arial" w:hAnsi="Arial"/>
                <w:color w:val="1A1A18"/>
                <w:sz w:val="22"/>
                <w:szCs w:val="22"/>
              </w:rPr>
              <w:t xml:space="preserve">1,250 seniors (27.2% of senior owners) pay more than 30% of income on housing costs.</w:t>
            </w:r>
          </w:p>
          <w:p>
            <w:pPr>
              <w:pStyle w:val="ListParagraph"/>
              <w:numPr>
                <w:ilvl w:val="0"/>
                <w:numId w:val="3"/>
              </w:numPr>
              <w:spacing w:before="40" w:after="40"/>
            </w:pPr>
            <w:r>
              <w:rPr>
                <w:rFonts w:ascii="Arial" w:cs="Arial" w:eastAsia="Arial" w:hAnsi="Arial"/>
                <w:color w:val="1A1A18"/>
                <w:sz w:val="22"/>
                <w:szCs w:val="22"/>
              </w:rPr>
              <w:t xml:space="preserve">The E&amp;RSC observed that Brookline’s middle class is 'disappearing' — squeezed out by rising costs on both sides of an override outcome.</w:t>
            </w:r>
          </w:p>
        </w:tc>
      </w:tr>
    </w:tbl>
    <w:p>
      <w:pPr>
        <w:spacing w:before="60" w:after="60"/>
      </w:pPr>
      <w:r>
        <w:t xml:space="preserve"/>
      </w:r>
    </w:p>
    <w:p>
      <w:pPr>
        <w:pStyle w:val="Heading1"/>
        <w:spacing w:before="360" w:after="120"/>
      </w:pPr>
      <w:r>
        <w:rPr>
          <w:rFonts w:ascii="Arial" w:cs="Arial" w:eastAsia="Arial" w:hAnsi="Arial"/>
          <w:b/>
          <w:bCs/>
          <w:color w:val="042C53"/>
          <w:sz w:val="36"/>
          <w:szCs w:val="36"/>
        </w:rPr>
        <w:t xml:space="preserve">III. What the E&amp;RSC Recommended</w:t>
      </w:r>
    </w:p>
    <w:p>
      <w:pPr>
        <w:pStyle w:val="Heading2"/>
        <w:pBdr>
          <w:bottom w:val="single" w:color="185FA5" w:sz="4" w:space="4"/>
        </w:pBdr>
        <w:spacing w:before="280" w:after="100"/>
      </w:pPr>
      <w:r>
        <w:rPr>
          <w:rFonts w:ascii="Arial" w:cs="Arial" w:eastAsia="Arial" w:hAnsi="Arial"/>
          <w:b/>
          <w:bCs/>
          <w:color w:val="185FA5"/>
          <w:sz w:val="28"/>
          <w:szCs w:val="28"/>
        </w:rPr>
        <w:t xml:space="preserve">3.1  Override Recommendation</w:t>
      </w:r>
    </w:p>
    <w:p>
      <w:pPr>
        <w:spacing w:before="60" w:after="100"/>
      </w:pPr>
      <w:r>
        <w:rPr>
          <w:rFonts w:ascii="Arial" w:cs="Arial" w:eastAsia="Arial" w:hAnsi="Arial"/>
          <w:color w:val="1A1A18"/>
          <w:sz w:val="22"/>
          <w:szCs w:val="22"/>
        </w:rPr>
        <w:t xml:space="preserve">The E&amp;RSC strongly recommends placing an override on the May 2026 ballot with a tiered structure (Option 3) — giving voters a choice between 'all,' 'none,' and at least one intermediate funding level. This is designed to maximize the probability that something passes, rather than risking total failure on a binary question.</w:t>
      </w:r>
    </w:p>
    <w:p>
      <w:pPr>
        <w:spacing w:before="60" w:after="100"/>
      </w:pPr>
      <w:r>
        <w:rPr>
          <w:rFonts w:ascii="Arial" w:cs="Arial" w:eastAsia="Arial" w:hAnsi="Arial"/>
          <w:color w:val="1A1A18"/>
          <w:sz w:val="22"/>
          <w:szCs w:val="22"/>
        </w:rPr>
        <w:t xml:space="preserve">The three override options analyzed:</w:t>
      </w:r>
    </w:p>
    <w:p>
      <w:pPr>
        <w:pStyle w:val="ListParagraph"/>
        <w:numPr>
          <w:ilvl w:val="0"/>
          <w:numId w:val="3"/>
        </w:numPr>
        <w:spacing w:before="40" w:after="40"/>
      </w:pPr>
      <w:r>
        <w:rPr>
          <w:rFonts w:ascii="Arial" w:cs="Arial" w:eastAsia="Arial" w:hAnsi="Arial"/>
          <w:b/>
          <w:bCs/>
          <w:color w:val="1A1A18"/>
          <w:sz w:val="22"/>
          <w:szCs w:val="22"/>
        </w:rPr>
        <w:t xml:space="preserve">Option 1: </w:t>
      </w:r>
      <w:r>
        <w:rPr>
          <w:rFonts w:ascii="Arial" w:cs="Arial" w:eastAsia="Arial" w:hAnsi="Arial"/>
          <w:color w:val="1A1A18"/>
          <w:sz w:val="22"/>
          <w:szCs w:val="22"/>
        </w:rPr>
        <w:t xml:space="preserve">Option 1: Full $23.25M ask over three years — binary yes/no. Most expensive; highest political risk.</w:t>
      </w:r>
    </w:p>
    <w:p>
      <w:pPr>
        <w:pStyle w:val="ListParagraph"/>
        <w:numPr>
          <w:ilvl w:val="0"/>
          <w:numId w:val="3"/>
        </w:numPr>
        <w:spacing w:before="40" w:after="40"/>
      </w:pPr>
      <w:r>
        <w:rPr>
          <w:rFonts w:ascii="Arial" w:cs="Arial" w:eastAsia="Arial" w:hAnsi="Arial"/>
          <w:b/>
          <w:bCs/>
          <w:color w:val="1A1A18"/>
          <w:sz w:val="22"/>
          <w:szCs w:val="22"/>
        </w:rPr>
        <w:t xml:space="preserve">Option 2: </w:t>
      </w:r>
      <w:r>
        <w:rPr>
          <w:rFonts w:ascii="Arial" w:cs="Arial" w:eastAsia="Arial" w:hAnsi="Arial"/>
          <w:color w:val="1A1A18"/>
          <w:sz w:val="22"/>
          <w:szCs w:val="22"/>
        </w:rPr>
        <w:t xml:space="preserve">Option 2: Front-load the raise in FY27, reducing total ask to $18.6M. Less expensive but a larger initial shock.</w:t>
      </w:r>
    </w:p>
    <w:p>
      <w:pPr>
        <w:pStyle w:val="ListParagraph"/>
        <w:numPr>
          <w:ilvl w:val="0"/>
          <w:numId w:val="3"/>
        </w:numPr>
        <w:spacing w:before="40" w:after="40"/>
      </w:pPr>
      <w:r>
        <w:rPr>
          <w:rFonts w:ascii="Arial" w:cs="Arial" w:eastAsia="Arial" w:hAnsi="Arial"/>
          <w:b/>
          <w:bCs/>
          <w:color w:val="1A1A18"/>
          <w:sz w:val="22"/>
          <w:szCs w:val="22"/>
        </w:rPr>
        <w:t xml:space="preserve">Option 3: </w:t>
      </w:r>
      <w:r>
        <w:rPr>
          <w:rFonts w:ascii="Arial" w:cs="Arial" w:eastAsia="Arial" w:hAnsi="Arial"/>
          <w:color w:val="1A1A18"/>
          <w:sz w:val="22"/>
          <w:szCs w:val="22"/>
        </w:rPr>
        <w:t xml:space="preserve">Option 3 (Recommended): Tiered ballot question with proportional cuts between Town and Schools at each tier. Gives voters real choice.</w:t>
      </w:r>
    </w:p>
    <w:p>
      <w:pPr>
        <w:spacing w:before="60" w:after="60"/>
      </w:pPr>
      <w:r>
        <w:t xml:space="preserve"/>
      </w:r>
    </w:p>
    <w:p>
      <w:pPr>
        <w:pStyle w:val="Heading2"/>
        <w:pBdr>
          <w:bottom w:val="single" w:color="185FA5" w:sz="4" w:space="4"/>
        </w:pBdr>
        <w:spacing w:before="280" w:after="100"/>
      </w:pPr>
      <w:r>
        <w:rPr>
          <w:rFonts w:ascii="Arial" w:cs="Arial" w:eastAsia="Arial" w:hAnsi="Arial"/>
          <w:b/>
          <w:bCs/>
          <w:color w:val="185FA5"/>
          <w:sz w:val="28"/>
          <w:szCs w:val="28"/>
        </w:rPr>
        <w:t xml:space="preserve">3.2  Key Structural Conditions (Schools)</w:t>
      </w:r>
    </w:p>
    <w:p>
      <w:pPr>
        <w:spacing w:before="60" w:after="100"/>
      </w:pPr>
      <w:r>
        <w:rPr>
          <w:rFonts w:ascii="Arial" w:cs="Arial" w:eastAsia="Arial" w:hAnsi="Arial"/>
          <w:color w:val="1A1A18"/>
          <w:sz w:val="22"/>
          <w:szCs w:val="22"/>
        </w:rPr>
        <w:t xml:space="preserve">The Schools Subcommittee will only support the override if the Town, School Committee, and PSB formally commit — via a Memorandum of Understanding — to nine specific structural reforms:</w:t>
      </w:r>
    </w:p>
    <w:p>
      <w:pPr>
        <w:pStyle w:val="ListParagraph"/>
        <w:numPr>
          <w:ilvl w:val="0"/>
          <w:numId w:val="3"/>
        </w:numPr>
        <w:spacing w:before="40" w:after="40"/>
      </w:pPr>
      <w:r>
        <w:rPr>
          <w:rFonts w:ascii="Arial" w:cs="Arial" w:eastAsia="Arial" w:hAnsi="Arial"/>
          <w:b/>
          <w:bCs/>
          <w:color w:val="1A1A18"/>
          <w:sz w:val="22"/>
          <w:szCs w:val="22"/>
        </w:rPr>
        <w:t xml:space="preserve">1. </w:t>
      </w:r>
      <w:r>
        <w:rPr>
          <w:rFonts w:ascii="Arial" w:cs="Arial" w:eastAsia="Arial" w:hAnsi="Arial"/>
          <w:color w:val="1A1A18"/>
          <w:sz w:val="22"/>
          <w:szCs w:val="22"/>
        </w:rPr>
        <w:t xml:space="preserve">Negotiate healthcare premium employer contribution down from 83% to align with comparable communities by end of calendar year 2028.</w:t>
      </w:r>
    </w:p>
    <w:p>
      <w:pPr>
        <w:pStyle w:val="ListParagraph"/>
        <w:numPr>
          <w:ilvl w:val="0"/>
          <w:numId w:val="3"/>
        </w:numPr>
        <w:spacing w:before="40" w:after="40"/>
      </w:pPr>
      <w:r>
        <w:rPr>
          <w:rFonts w:ascii="Arial" w:cs="Arial" w:eastAsia="Arial" w:hAnsi="Arial"/>
          <w:b/>
          <w:bCs/>
          <w:color w:val="1A1A18"/>
          <w:sz w:val="22"/>
          <w:szCs w:val="22"/>
        </w:rPr>
        <w:t xml:space="preserve">2. </w:t>
      </w:r>
      <w:r>
        <w:rPr>
          <w:rFonts w:ascii="Arial" w:cs="Arial" w:eastAsia="Arial" w:hAnsi="Arial"/>
          <w:color w:val="1A1A18"/>
          <w:sz w:val="22"/>
          <w:szCs w:val="22"/>
        </w:rPr>
        <w:t xml:space="preserve">Create a mechanism to manage wage expense growth to approach year-over-year revenue growth, including possible contractual caps.</w:t>
      </w:r>
    </w:p>
    <w:p>
      <w:pPr>
        <w:pStyle w:val="ListParagraph"/>
        <w:numPr>
          <w:ilvl w:val="0"/>
          <w:numId w:val="3"/>
        </w:numPr>
        <w:spacing w:before="40" w:after="40"/>
      </w:pPr>
      <w:r>
        <w:rPr>
          <w:rFonts w:ascii="Arial" w:cs="Arial" w:eastAsia="Arial" w:hAnsi="Arial"/>
          <w:b/>
          <w:bCs/>
          <w:color w:val="1A1A18"/>
          <w:sz w:val="22"/>
          <w:szCs w:val="22"/>
        </w:rPr>
        <w:t xml:space="preserve">3. </w:t>
      </w:r>
      <w:r>
        <w:rPr>
          <w:rFonts w:ascii="Arial" w:cs="Arial" w:eastAsia="Arial" w:hAnsi="Arial"/>
          <w:color w:val="1A1A18"/>
          <w:sz w:val="22"/>
          <w:szCs w:val="22"/>
        </w:rPr>
        <w:t xml:space="preserve">Commission a formal study of a middle school model and classroom consolidation, beginning in FY27.</w:t>
      </w:r>
    </w:p>
    <w:p>
      <w:pPr>
        <w:pStyle w:val="ListParagraph"/>
        <w:numPr>
          <w:ilvl w:val="0"/>
          <w:numId w:val="3"/>
        </w:numPr>
        <w:spacing w:before="40" w:after="40"/>
      </w:pPr>
      <w:r>
        <w:rPr>
          <w:rFonts w:ascii="Arial" w:cs="Arial" w:eastAsia="Arial" w:hAnsi="Arial"/>
          <w:b/>
          <w:bCs/>
          <w:color w:val="1A1A18"/>
          <w:sz w:val="22"/>
          <w:szCs w:val="22"/>
        </w:rPr>
        <w:t xml:space="preserve">4. </w:t>
      </w:r>
      <w:r>
        <w:rPr>
          <w:rFonts w:ascii="Arial" w:cs="Arial" w:eastAsia="Arial" w:hAnsi="Arial"/>
          <w:color w:val="1A1A18"/>
          <w:sz w:val="22"/>
          <w:szCs w:val="22"/>
        </w:rPr>
        <w:t xml:space="preserve">Complete implementation of MUNIS as the shared town-school financial system by end of FY27.</w:t>
      </w:r>
    </w:p>
    <w:p>
      <w:pPr>
        <w:pStyle w:val="ListParagraph"/>
        <w:numPr>
          <w:ilvl w:val="0"/>
          <w:numId w:val="3"/>
        </w:numPr>
        <w:spacing w:before="40" w:after="40"/>
      </w:pPr>
      <w:r>
        <w:rPr>
          <w:rFonts w:ascii="Arial" w:cs="Arial" w:eastAsia="Arial" w:hAnsi="Arial"/>
          <w:b/>
          <w:bCs/>
          <w:color w:val="1A1A18"/>
          <w:sz w:val="22"/>
          <w:szCs w:val="22"/>
        </w:rPr>
        <w:t xml:space="preserve">5. </w:t>
      </w:r>
      <w:r>
        <w:rPr>
          <w:rFonts w:ascii="Arial" w:cs="Arial" w:eastAsia="Arial" w:hAnsi="Arial"/>
          <w:color w:val="1A1A18"/>
          <w:sz w:val="22"/>
          <w:szCs w:val="22"/>
        </w:rPr>
        <w:t xml:space="preserve">Verify all teaching assignments comply with contractual terms.</w:t>
      </w:r>
    </w:p>
    <w:p>
      <w:pPr>
        <w:pStyle w:val="ListParagraph"/>
        <w:numPr>
          <w:ilvl w:val="0"/>
          <w:numId w:val="3"/>
        </w:numPr>
        <w:spacing w:before="40" w:after="40"/>
      </w:pPr>
      <w:r>
        <w:rPr>
          <w:rFonts w:ascii="Arial" w:cs="Arial" w:eastAsia="Arial" w:hAnsi="Arial"/>
          <w:b/>
          <w:bCs/>
          <w:color w:val="1A1A18"/>
          <w:sz w:val="22"/>
          <w:szCs w:val="22"/>
        </w:rPr>
        <w:t xml:space="preserve">6. </w:t>
      </w:r>
      <w:r>
        <w:rPr>
          <w:rFonts w:ascii="Arial" w:cs="Arial" w:eastAsia="Arial" w:hAnsi="Arial"/>
          <w:color w:val="1A1A18"/>
          <w:sz w:val="22"/>
          <w:szCs w:val="22"/>
        </w:rPr>
        <w:t xml:space="preserve">Audit and reduce technology leases and ed-tech subscriptions, especially in lower grades.</w:t>
      </w:r>
    </w:p>
    <w:p>
      <w:pPr>
        <w:pStyle w:val="ListParagraph"/>
        <w:numPr>
          <w:ilvl w:val="0"/>
          <w:numId w:val="3"/>
        </w:numPr>
        <w:spacing w:before="40" w:after="40"/>
      </w:pPr>
      <w:r>
        <w:rPr>
          <w:rFonts w:ascii="Arial" w:cs="Arial" w:eastAsia="Arial" w:hAnsi="Arial"/>
          <w:b/>
          <w:bCs/>
          <w:color w:val="1A1A18"/>
          <w:sz w:val="22"/>
          <w:szCs w:val="22"/>
        </w:rPr>
        <w:t xml:space="preserve">7. </w:t>
      </w:r>
      <w:r>
        <w:rPr>
          <w:rFonts w:ascii="Arial" w:cs="Arial" w:eastAsia="Arial" w:hAnsi="Arial"/>
          <w:color w:val="1A1A18"/>
          <w:sz w:val="22"/>
          <w:szCs w:val="22"/>
        </w:rPr>
        <w:t xml:space="preserve">Require all third-party users of school space between 7am–5:30pm to pay fair-market rent.</w:t>
      </w:r>
    </w:p>
    <w:p>
      <w:pPr>
        <w:pStyle w:val="ListParagraph"/>
        <w:numPr>
          <w:ilvl w:val="0"/>
          <w:numId w:val="3"/>
        </w:numPr>
        <w:spacing w:before="40" w:after="40"/>
      </w:pPr>
      <w:r>
        <w:rPr>
          <w:rFonts w:ascii="Arial" w:cs="Arial" w:eastAsia="Arial" w:hAnsi="Arial"/>
          <w:b/>
          <w:bCs/>
          <w:color w:val="1A1A18"/>
          <w:sz w:val="22"/>
          <w:szCs w:val="22"/>
        </w:rPr>
        <w:t xml:space="preserve">8. </w:t>
      </w:r>
      <w:r>
        <w:rPr>
          <w:rFonts w:ascii="Arial" w:cs="Arial" w:eastAsia="Arial" w:hAnsi="Arial"/>
          <w:color w:val="1A1A18"/>
          <w:sz w:val="22"/>
          <w:szCs w:val="22"/>
        </w:rPr>
        <w:t xml:space="preserve">Launch a facilities governance and youth athletics coordination pilot in FY27.</w:t>
      </w:r>
    </w:p>
    <w:p>
      <w:pPr>
        <w:pStyle w:val="ListParagraph"/>
        <w:numPr>
          <w:ilvl w:val="0"/>
          <w:numId w:val="3"/>
        </w:numPr>
        <w:spacing w:before="40" w:after="40"/>
      </w:pPr>
      <w:r>
        <w:rPr>
          <w:rFonts w:ascii="Arial" w:cs="Arial" w:eastAsia="Arial" w:hAnsi="Arial"/>
          <w:b/>
          <w:bCs/>
          <w:color w:val="1A1A18"/>
          <w:sz w:val="22"/>
          <w:szCs w:val="22"/>
        </w:rPr>
        <w:t xml:space="preserve">9. </w:t>
      </w:r>
      <w:r>
        <w:rPr>
          <w:rFonts w:ascii="Arial" w:cs="Arial" w:eastAsia="Arial" w:hAnsi="Arial"/>
          <w:color w:val="1A1A18"/>
          <w:sz w:val="22"/>
          <w:szCs w:val="22"/>
        </w:rPr>
        <w:t xml:space="preserve">Move the BEEP (early education) revolving fund toward full-cost break-even.</w:t>
      </w:r>
    </w:p>
    <w:p>
      <w:pPr>
        <w:spacing w:before="60" w:after="60"/>
      </w:pPr>
      <w:r>
        <w:t xml:space="preserve"/>
      </w:r>
    </w:p>
    <w:p>
      <w:pPr>
        <w:pStyle w:val="Heading2"/>
        <w:pBdr>
          <w:bottom w:val="single" w:color="185FA5" w:sz="4" w:space="4"/>
        </w:pBdr>
        <w:spacing w:before="280" w:after="100"/>
      </w:pPr>
      <w:r>
        <w:rPr>
          <w:rFonts w:ascii="Arial" w:cs="Arial" w:eastAsia="Arial" w:hAnsi="Arial"/>
          <w:b/>
          <w:bCs/>
          <w:color w:val="185FA5"/>
          <w:sz w:val="28"/>
          <w:szCs w:val="28"/>
        </w:rPr>
        <w:t xml:space="preserve">3.3  Future Subcommittee — Longer-Term Recommendations</w:t>
      </w:r>
    </w:p>
    <w:p>
      <w:pPr>
        <w:pStyle w:val="ListParagraph"/>
        <w:numPr>
          <w:ilvl w:val="0"/>
          <w:numId w:val="3"/>
        </w:numPr>
        <w:spacing w:before="40" w:after="40"/>
      </w:pPr>
      <w:r>
        <w:rPr>
          <w:rFonts w:ascii="Arial" w:cs="Arial" w:eastAsia="Arial" w:hAnsi="Arial"/>
          <w:b/>
          <w:bCs/>
          <w:color w:val="1A1A18"/>
          <w:sz w:val="22"/>
          <w:szCs w:val="22"/>
        </w:rPr>
        <w:t xml:space="preserve">Solar: </w:t>
      </w:r>
      <w:r>
        <w:rPr>
          <w:rFonts w:ascii="Arial" w:cs="Arial" w:eastAsia="Arial" w:hAnsi="Arial"/>
          <w:color w:val="1A1A18"/>
          <w:sz w:val="22"/>
          <w:szCs w:val="22"/>
        </w:rPr>
        <w:t xml:space="preserve">Solar Initiative ($3.2M capital): 5 rooftop sites targeting $390K/year in avoided electricity costs. Full $25M program could cover 82% of town electricity needs.</w:t>
      </w:r>
    </w:p>
    <w:p>
      <w:pPr>
        <w:pStyle w:val="ListParagraph"/>
        <w:numPr>
          <w:ilvl w:val="0"/>
          <w:numId w:val="3"/>
        </w:numPr>
        <w:spacing w:before="40" w:after="40"/>
      </w:pPr>
      <w:r>
        <w:rPr>
          <w:rFonts w:ascii="Arial" w:cs="Arial" w:eastAsia="Arial" w:hAnsi="Arial"/>
          <w:b/>
          <w:bCs/>
          <w:color w:val="1A1A18"/>
          <w:sz w:val="22"/>
          <w:szCs w:val="22"/>
        </w:rPr>
        <w:t xml:space="preserve">Demand management: </w:t>
      </w:r>
      <w:r>
        <w:rPr>
          <w:rFonts w:ascii="Arial" w:cs="Arial" w:eastAsia="Arial" w:hAnsi="Arial"/>
          <w:color w:val="1A1A18"/>
          <w:sz w:val="22"/>
          <w:szCs w:val="22"/>
        </w:rPr>
        <w:t xml:space="preserve">Electric demand management: Battery storage PPAs to cut peak-load electricity charges (which represent 25–40% of Eversource bills).</w:t>
      </w:r>
    </w:p>
    <w:p>
      <w:pPr>
        <w:pStyle w:val="ListParagraph"/>
        <w:numPr>
          <w:ilvl w:val="0"/>
          <w:numId w:val="3"/>
        </w:numPr>
        <w:spacing w:before="40" w:after="40"/>
      </w:pPr>
      <w:r>
        <w:rPr>
          <w:rFonts w:ascii="Arial" w:cs="Arial" w:eastAsia="Arial" w:hAnsi="Arial"/>
          <w:b/>
          <w:bCs/>
          <w:color w:val="1A1A18"/>
          <w:sz w:val="22"/>
          <w:szCs w:val="22"/>
        </w:rPr>
        <w:t xml:space="preserve">School model: </w:t>
      </w:r>
      <w:r>
        <w:rPr>
          <w:rFonts w:ascii="Arial" w:cs="Arial" w:eastAsia="Arial" w:hAnsi="Arial"/>
          <w:color w:val="1A1A18"/>
          <w:sz w:val="22"/>
          <w:szCs w:val="22"/>
        </w:rPr>
        <w:t xml:space="preserve">School model consolidation: 5 scenarios modeled that could free building space, increase class sizes, and reduce teacher headcount.</w:t>
      </w:r>
    </w:p>
    <w:p>
      <w:pPr>
        <w:pStyle w:val="ListParagraph"/>
        <w:numPr>
          <w:ilvl w:val="0"/>
          <w:numId w:val="3"/>
        </w:numPr>
        <w:spacing w:before="40" w:after="40"/>
      </w:pPr>
      <w:r>
        <w:rPr>
          <w:rFonts w:ascii="Arial" w:cs="Arial" w:eastAsia="Arial" w:hAnsi="Arial"/>
          <w:b/>
          <w:bCs/>
          <w:color w:val="1A1A18"/>
          <w:sz w:val="22"/>
          <w:szCs w:val="22"/>
        </w:rPr>
        <w:t xml:space="preserve">Econ dev: </w:t>
      </w:r>
      <w:r>
        <w:rPr>
          <w:rFonts w:ascii="Arial" w:cs="Arial" w:eastAsia="Arial" w:hAnsi="Arial"/>
          <w:color w:val="1A1A18"/>
          <w:sz w:val="22"/>
          <w:szCs w:val="22"/>
        </w:rPr>
        <w:t xml:space="preserve">Economic development overhaul: Dedicate a Select Board member to economic development, elevate the planning division, streamline zoning, engage major landowners proactively.</w:t>
      </w:r>
    </w:p>
    <w:p>
      <w:pPr>
        <w:pStyle w:val="ListParagraph"/>
        <w:numPr>
          <w:ilvl w:val="0"/>
          <w:numId w:val="3"/>
        </w:numPr>
        <w:spacing w:before="40" w:after="40"/>
      </w:pPr>
      <w:r>
        <w:rPr>
          <w:rFonts w:ascii="Arial" w:cs="Arial" w:eastAsia="Arial" w:hAnsi="Arial"/>
          <w:b/>
          <w:bCs/>
          <w:color w:val="1A1A18"/>
          <w:sz w:val="22"/>
          <w:szCs w:val="22"/>
        </w:rPr>
        <w:t xml:space="preserve">2030 OPEB pivot: </w:t>
      </w:r>
      <w:r>
        <w:rPr>
          <w:rFonts w:ascii="Arial" w:cs="Arial" w:eastAsia="Arial" w:hAnsi="Arial"/>
          <w:color w:val="1A1A18"/>
          <w:sz w:val="22"/>
          <w:szCs w:val="22"/>
        </w:rPr>
        <w:t xml:space="preserve">OPEB policy review: The $40M freed from pension funding in 2030 needs a carefully designed reallocation strategy — one that balances OPEB obligations against structural deficit relief.</w:t>
      </w:r>
    </w:p>
    <w:p>
      <w:pPr>
        <w:spacing w:before="60" w:after="60"/>
      </w:pPr>
      <w:r>
        <w:t xml:space="preserve"/>
      </w:r>
    </w:p>
    <w:p>
      <w:pPr>
        <w:pStyle w:val="Heading1"/>
        <w:spacing w:before="360" w:after="120"/>
      </w:pPr>
      <w:r>
        <w:rPr>
          <w:rFonts w:ascii="Arial" w:cs="Arial" w:eastAsia="Arial" w:hAnsi="Arial"/>
          <w:b/>
          <w:bCs/>
          <w:color w:val="042C53"/>
          <w:sz w:val="36"/>
          <w:szCs w:val="36"/>
        </w:rPr>
        <w:t xml:space="preserve">IV. Gaps in the E&amp;RSC Report — Our Proposal Territory</w:t>
      </w:r>
    </w:p>
    <w:p>
      <w:pPr>
        <w:spacing w:before="60" w:after="100"/>
      </w:pPr>
      <w:r>
        <w:rPr>
          <w:rFonts w:ascii="Arial" w:cs="Arial" w:eastAsia="Arial" w:hAnsi="Arial"/>
          <w:color w:val="1A1A18"/>
          <w:sz w:val="22"/>
          <w:szCs w:val="22"/>
        </w:rPr>
        <w:t xml:space="preserve">The E&amp;RSC did serious, honest work under significant time and political constraints. But their mandate was partly to recommend an override amount — not to build a 10-year structural fix. The following areas represent white space where a citizen proposal can go further: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D3D1C7" w:sz="1"/>
              <w:left w:val="single" w:color="D3D1C7" w:sz="1"/>
              <w:bottom w:val="single" w:color="D3D1C7" w:sz="1"/>
              <w:right w:val="single" w:color="D3D1C7" w:sz="1"/>
            </w:tcBorders>
            <w:shd w:fill="D4EFE7" w:val="clear"/>
            <w:tcMar>
              <w:top w:type="dxa" w:w="120"/>
              <w:left w:type="dxa" w:w="140"/>
              <w:bottom w:type="dxa" w:w="120"/>
              <w:right w:type="dxa" w:w="140"/>
            </w:tcMar>
          </w:tcPr>
          <w:p>
            <w:pPr>
              <w:spacing w:before="60" w:after="80"/>
            </w:pPr>
            <w:r>
              <w:rPr>
                <w:rFonts w:ascii="Arial" w:cs="Arial" w:eastAsia="Arial" w:hAnsi="Arial"/>
                <w:b/>
                <w:bCs/>
                <w:color w:val="04342C"/>
                <w:sz w:val="20"/>
                <w:szCs w:val="20"/>
              </w:rPr>
              <w:t xml:space="preserve">Underexplored Revenue Levers</w:t>
            </w:r>
          </w:p>
          <w:p>
            <w:pPr>
              <w:pStyle w:val="ListParagraph"/>
              <w:numPr>
                <w:ilvl w:val="0"/>
                <w:numId w:val="3"/>
              </w:numPr>
              <w:spacing w:before="40" w:after="40"/>
            </w:pPr>
            <w:r>
              <w:rPr>
                <w:rFonts w:ascii="Arial" w:cs="Arial" w:eastAsia="Arial" w:hAnsi="Arial"/>
                <w:color w:val="1A1A18"/>
                <w:sz w:val="22"/>
                <w:szCs w:val="22"/>
              </w:rPr>
              <w:t xml:space="preserve">Systematic PILOT program targeting Brookline's large non-profit landholders</w:t>
            </w:r>
          </w:p>
          <w:p>
            <w:pPr>
              <w:pStyle w:val="ListParagraph"/>
              <w:numPr>
                <w:ilvl w:val="0"/>
                <w:numId w:val="3"/>
              </w:numPr>
              <w:spacing w:before="40" w:after="40"/>
            </w:pPr>
            <w:r>
              <w:rPr>
                <w:rFonts w:ascii="Arial" w:cs="Arial" w:eastAsia="Arial" w:hAnsi="Arial"/>
                <w:color w:val="1A1A18"/>
                <w:sz w:val="22"/>
                <w:szCs w:val="22"/>
              </w:rPr>
              <w:t xml:space="preserve">State legislation requiring METCO SpEd reimbursement (~$4M/year)</w:t>
            </w:r>
          </w:p>
          <w:p>
            <w:pPr>
              <w:pStyle w:val="ListParagraph"/>
              <w:numPr>
                <w:ilvl w:val="0"/>
                <w:numId w:val="3"/>
              </w:numPr>
              <w:spacing w:before="40" w:after="40"/>
            </w:pPr>
            <w:r>
              <w:rPr>
                <w:rFonts w:ascii="Arial" w:cs="Arial" w:eastAsia="Arial" w:hAnsi="Arial"/>
                <w:color w:val="1A1A18"/>
                <w:sz w:val="22"/>
                <w:szCs w:val="22"/>
              </w:rPr>
              <w:t xml:space="preserve">Regional purchasing and shared services with Newton, Wellesley, Lexington</w:t>
            </w:r>
          </w:p>
          <w:p>
            <w:pPr>
              <w:pStyle w:val="ListParagraph"/>
              <w:numPr>
                <w:ilvl w:val="0"/>
                <w:numId w:val="3"/>
              </w:numPr>
              <w:spacing w:before="40" w:after="40"/>
            </w:pPr>
            <w:r>
              <w:rPr>
                <w:rFonts w:ascii="Arial" w:cs="Arial" w:eastAsia="Arial" w:hAnsi="Arial"/>
                <w:color w:val="1A1A18"/>
                <w:sz w:val="22"/>
                <w:szCs w:val="22"/>
              </w:rPr>
              <w:t xml:space="preserve">Asset monetization: parking lots, golf course, school buildings, rooftops</w:t>
            </w:r>
          </w:p>
          <w:p>
            <w:pPr>
              <w:pStyle w:val="ListParagraph"/>
              <w:numPr>
                <w:ilvl w:val="0"/>
                <w:numId w:val="3"/>
              </w:numPr>
              <w:spacing w:before="40" w:after="40"/>
            </w:pPr>
            <w:r>
              <w:rPr>
                <w:rFonts w:ascii="Arial" w:cs="Arial" w:eastAsia="Arial" w:hAnsi="Arial"/>
                <w:color w:val="1A1A18"/>
                <w:sz w:val="22"/>
                <w:szCs w:val="22"/>
              </w:rPr>
              <w:t xml:space="preserve">Out-of-district special education enrollment as a revenue stream ($67K–$110K/student)</w:t>
            </w:r>
          </w:p>
          <w:p>
            <w:pPr>
              <w:pStyle w:val="ListParagraph"/>
              <w:numPr>
                <w:ilvl w:val="0"/>
                <w:numId w:val="3"/>
              </w:numPr>
              <w:spacing w:before="40" w:after="40"/>
            </w:pPr>
            <w:r>
              <w:rPr>
                <w:rFonts w:ascii="Arial" w:cs="Arial" w:eastAsia="Arial" w:hAnsi="Arial"/>
                <w:color w:val="1A1A18"/>
                <w:sz w:val="22"/>
                <w:szCs w:val="22"/>
              </w:rPr>
              <w:t xml:space="preserve">Hotel and meals tax optimization + new hotel development pipeline</w:t>
            </w:r>
          </w:p>
        </w:tc>
        <w:tc>
          <w:tcPr>
            <w:tcW w:type="dxa" w:w="4740"/>
            <w:tcBorders>
              <w:top w:val="single" w:color="D3D1C7" w:sz="1"/>
              <w:left w:val="single" w:color="D3D1C7" w:sz="1"/>
              <w:bottom w:val="single" w:color="D3D1C7" w:sz="1"/>
              <w:right w:val="single" w:color="D3D1C7" w:sz="1"/>
            </w:tcBorders>
            <w:shd w:fill="D6E8F7" w:val="clear"/>
            <w:tcMar>
              <w:top w:type="dxa" w:w="120"/>
              <w:left w:type="dxa" w:w="140"/>
              <w:bottom w:type="dxa" w:w="120"/>
              <w:right w:type="dxa" w:w="140"/>
            </w:tcMar>
          </w:tcPr>
          <w:p>
            <w:pPr>
              <w:spacing w:before="60" w:after="80"/>
            </w:pPr>
            <w:r>
              <w:rPr>
                <w:rFonts w:ascii="Arial" w:cs="Arial" w:eastAsia="Arial" w:hAnsi="Arial"/>
                <w:b/>
                <w:bCs/>
                <w:color w:val="042C53"/>
                <w:sz w:val="20"/>
                <w:szCs w:val="20"/>
              </w:rPr>
              <w:t xml:space="preserve">Structural Reforms Not Modeled</w:t>
            </w:r>
          </w:p>
          <w:p>
            <w:pPr>
              <w:pStyle w:val="ListParagraph"/>
              <w:numPr>
                <w:ilvl w:val="0"/>
                <w:numId w:val="3"/>
              </w:numPr>
              <w:spacing w:before="40" w:after="40"/>
            </w:pPr>
            <w:r>
              <w:rPr>
                <w:rFonts w:ascii="Arial" w:cs="Arial" w:eastAsia="Arial" w:hAnsi="Arial"/>
                <w:color w:val="1A1A18"/>
                <w:sz w:val="22"/>
                <w:szCs w:val="22"/>
              </w:rPr>
              <w:t xml:space="preserve">Healthcare: modeling a shift to the MA Group Insurance Commission (GIC)</w:t>
            </w:r>
          </w:p>
          <w:p>
            <w:pPr>
              <w:pStyle w:val="ListParagraph"/>
              <w:numPr>
                <w:ilvl w:val="0"/>
                <w:numId w:val="3"/>
              </w:numPr>
              <w:spacing w:before="40" w:after="40"/>
            </w:pPr>
            <w:r>
              <w:rPr>
                <w:rFonts w:ascii="Arial" w:cs="Arial" w:eastAsia="Arial" w:hAnsi="Arial"/>
                <w:color w:val="1A1A18"/>
                <w:sz w:val="22"/>
                <w:szCs w:val="22"/>
              </w:rPr>
              <w:t xml:space="preserve">Town Meeting warrant reform to prevent unfunded mandates</w:t>
            </w:r>
          </w:p>
          <w:p>
            <w:pPr>
              <w:pStyle w:val="ListParagraph"/>
              <w:numPr>
                <w:ilvl w:val="0"/>
                <w:numId w:val="3"/>
              </w:numPr>
              <w:spacing w:before="40" w:after="40"/>
            </w:pPr>
            <w:r>
              <w:rPr>
                <w:rFonts w:ascii="Arial" w:cs="Arial" w:eastAsia="Arial" w:hAnsi="Arial"/>
                <w:color w:val="1A1A18"/>
                <w:sz w:val="22"/>
                <w:szCs w:val="22"/>
              </w:rPr>
              <w:t xml:space="preserve">Middle school consolidation + building disposition for revenue/savings</w:t>
            </w:r>
          </w:p>
          <w:p>
            <w:pPr>
              <w:pStyle w:val="ListParagraph"/>
              <w:numPr>
                <w:ilvl w:val="0"/>
                <w:numId w:val="3"/>
              </w:numPr>
              <w:spacing w:before="40" w:after="40"/>
            </w:pPr>
            <w:r>
              <w:rPr>
                <w:rFonts w:ascii="Arial" w:cs="Arial" w:eastAsia="Arial" w:hAnsi="Arial"/>
                <w:color w:val="1A1A18"/>
                <w:sz w:val="22"/>
                <w:szCs w:val="22"/>
              </w:rPr>
              <w:t xml:space="preserve">Zoning reform to unlock 10+ development sites as-of-right</w:t>
            </w:r>
          </w:p>
          <w:p>
            <w:pPr>
              <w:pStyle w:val="ListParagraph"/>
              <w:numPr>
                <w:ilvl w:val="0"/>
                <w:numId w:val="3"/>
              </w:numPr>
              <w:spacing w:before="40" w:after="40"/>
            </w:pPr>
            <w:r>
              <w:rPr>
                <w:rFonts w:ascii="Arial" w:cs="Arial" w:eastAsia="Arial" w:hAnsi="Arial"/>
                <w:color w:val="1A1A18"/>
                <w:sz w:val="22"/>
                <w:szCs w:val="22"/>
              </w:rPr>
              <w:t xml:space="preserve">Governance: full consolidation of Town/School financial management</w:t>
            </w:r>
          </w:p>
          <w:p>
            <w:pPr>
              <w:pStyle w:val="ListParagraph"/>
              <w:numPr>
                <w:ilvl w:val="0"/>
                <w:numId w:val="3"/>
              </w:numPr>
              <w:spacing w:before="40" w:after="40"/>
            </w:pPr>
            <w:r>
              <w:rPr>
                <w:rFonts w:ascii="Arial" w:cs="Arial" w:eastAsia="Arial" w:hAnsi="Arial"/>
                <w:color w:val="1A1A18"/>
                <w:sz w:val="22"/>
                <w:szCs w:val="22"/>
              </w:rPr>
              <w:t xml:space="preserve">2030 OPEB pivot: comprehensive modeling of the $40M reallocation decision</w:t>
            </w:r>
          </w:p>
        </w:tc>
      </w:tr>
    </w:tbl>
    <w:p>
      <w:pPr>
        <w:spacing w:before="60" w:after="60"/>
      </w:pPr>
      <w:r>
        <w:t xml:space="preserve"/>
      </w:r>
    </w:p>
    <w:p>
      <w:pPr>
        <w:pStyle w:val="Heading1"/>
        <w:spacing w:before="360" w:after="120"/>
      </w:pPr>
      <w:r>
        <w:rPr>
          <w:rFonts w:ascii="Arial" w:cs="Arial" w:eastAsia="Arial" w:hAnsi="Arial"/>
          <w:b/>
          <w:bCs/>
          <w:color w:val="042C53"/>
          <w:sz w:val="36"/>
          <w:szCs w:val="36"/>
        </w:rPr>
        <w:t xml:space="preserve">V. The Three-Branch Proposal Framework</w:t>
      </w:r>
    </w:p>
    <w:p>
      <w:pPr>
        <w:spacing w:before="60" w:after="100"/>
      </w:pPr>
      <w:r>
        <w:rPr>
          <w:rFonts w:ascii="Arial" w:cs="Arial" w:eastAsia="Arial" w:hAnsi="Arial"/>
          <w:color w:val="1A1A18"/>
          <w:sz w:val="22"/>
          <w:szCs w:val="22"/>
        </w:rPr>
        <w:t xml:space="preserve">Our proposal addresses the structural deficit through three mutually reinforcing branches. Together, they represent a credible path to closing the $25.9M gap — not through a single override cycle, but through permanent structural improvement.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pPr>
              <w:spacing w:before="60" w:after="60"/>
            </w:pPr>
            <w:r>
              <w:rPr>
                <w:rFonts w:ascii="Arial" w:cs="Arial" w:eastAsia="Arial" w:hAnsi="Arial"/>
                <w:b/>
                <w:bCs/>
                <w:color w:val="042C53"/>
                <w:sz w:val="22"/>
                <w:szCs w:val="22"/>
              </w:rPr>
              <w:t xml:space="preserve">Branch 1 — Economic Development Strategy</w:t>
            </w:r>
          </w:p>
          <w:p>
            <w:pPr>
              <w:spacing w:before="40" w:after="40"/>
            </w:pPr>
            <w:r>
              <w:rPr>
                <w:rFonts w:ascii="Arial" w:cs="Arial" w:eastAsia="Arial" w:hAnsi="Arial"/>
                <w:color w:val="185FA5"/>
                <w:sz w:val="20"/>
                <w:szCs w:val="20"/>
              </w:rPr>
              <w:t xml:space="preserve">Estimated impact: $5–15M/year (5–10 year horizon)</w:t>
            </w:r>
          </w:p>
          <w:p>
            <w:pPr>
              <w:spacing w:before="60" w:after="100"/>
            </w:pPr>
            <w:r>
              <w:rPr>
                <w:rFonts w:ascii="Arial" w:cs="Arial" w:eastAsia="Arial" w:hAnsi="Arial"/>
                <w:color w:val="1A1A18"/>
                <w:sz w:val="22"/>
                <w:szCs w:val="22"/>
              </w:rPr>
              <w:t xml:space="preserve">Build a comprehensive, site-specific commercial development pipeline. Reform zoning to enable as-of-right development. Establish a systematic PILOT program. Monetize underutilized town assets. The Chestnut Hill Commercial Area alone could generate ~$5.6M/year when stabilized — equal to the entire Town override ask.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E7" w:val="clear"/>
            <w:tcMar>
              <w:top w:type="dxa" w:w="120"/>
              <w:left w:type="dxa" w:w="180"/>
              <w:bottom w:type="dxa" w:w="120"/>
              <w:right w:type="dxa" w:w="180"/>
            </w:tcMar>
          </w:tcPr>
          <w:p>
            <w:pPr>
              <w:spacing w:before="60" w:after="60"/>
            </w:pPr>
            <w:r>
              <w:rPr>
                <w:rFonts w:ascii="Arial" w:cs="Arial" w:eastAsia="Arial" w:hAnsi="Arial"/>
                <w:b/>
                <w:bCs/>
                <w:color w:val="04342C"/>
                <w:sz w:val="22"/>
                <w:szCs w:val="22"/>
              </w:rPr>
              <w:t xml:space="preserve">Branch 2 — State Legislative &amp; METCO Strategy</w:t>
            </w:r>
          </w:p>
          <w:p>
            <w:pPr>
              <w:spacing w:before="40" w:after="40"/>
            </w:pPr>
            <w:r>
              <w:rPr>
                <w:rFonts w:ascii="Arial" w:cs="Arial" w:eastAsia="Arial" w:hAnsi="Arial"/>
                <w:color w:val="04342C"/>
                <w:sz w:val="20"/>
                <w:szCs w:val="20"/>
              </w:rPr>
              <w:t xml:space="preserve">Estimated impact: $4–8M/year (2–6 year horizon, pending legislation)</w:t>
            </w:r>
          </w:p>
          <w:p>
            <w:pPr>
              <w:spacing w:before="60" w:after="100"/>
            </w:pPr>
            <w:r>
              <w:rPr>
                <w:rFonts w:ascii="Arial" w:cs="Arial" w:eastAsia="Arial" w:hAnsi="Arial"/>
                <w:color w:val="1A1A18"/>
                <w:sz w:val="22"/>
                <w:szCs w:val="22"/>
              </w:rPr>
              <w:t xml:space="preserve">Organize a multi-town coalition (Brookline, Newton, Wellesley, Lexington) to win state reimbursement for non-resident special education costs. Simultaneously advocate for Chapter 70 reform, Prop 2½ modernization, and new local option revenue tools. This is the most morally clear-cut opportunity: Brookline is subsidizing other districts by millions annually.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C8" w:val="clear"/>
            <w:tcMar>
              <w:top w:type="dxa" w:w="120"/>
              <w:left w:type="dxa" w:w="180"/>
              <w:bottom w:type="dxa" w:w="120"/>
              <w:right w:type="dxa" w:w="180"/>
            </w:tcMar>
          </w:tcPr>
          <w:p>
            <w:pPr>
              <w:spacing w:before="60" w:after="60"/>
            </w:pPr>
            <w:r>
              <w:rPr>
                <w:rFonts w:ascii="Arial" w:cs="Arial" w:eastAsia="Arial" w:hAnsi="Arial"/>
                <w:b/>
                <w:bCs/>
                <w:color w:val="412402"/>
                <w:sz w:val="22"/>
                <w:szCs w:val="22"/>
              </w:rPr>
              <w:t xml:space="preserve">Branch 3 — The 2030 OPEB Pivot</w:t>
            </w:r>
          </w:p>
          <w:p>
            <w:pPr>
              <w:spacing w:before="40" w:after="40"/>
            </w:pPr>
            <w:r>
              <w:rPr>
                <w:rFonts w:ascii="Arial" w:cs="Arial" w:eastAsia="Arial" w:hAnsi="Arial"/>
                <w:color w:val="412402"/>
                <w:sz w:val="20"/>
                <w:szCs w:val="20"/>
              </w:rPr>
              <w:t xml:space="preserve">Estimated impact: $10–25M/year (2030+ horizon)</w:t>
            </w:r>
          </w:p>
          <w:p>
            <w:pPr>
              <w:spacing w:before="60" w:after="100"/>
            </w:pPr>
            <w:r>
              <w:rPr>
                <w:rFonts w:ascii="Arial" w:cs="Arial" w:eastAsia="Arial" w:hAnsi="Arial"/>
                <w:color w:val="1A1A18"/>
                <w:sz w:val="22"/>
                <w:szCs w:val="22"/>
              </w:rPr>
              <w:t xml:space="preserve">Model the single biggest financial decision Brookline will face this decade: what happens to the ~$40M per year freed when the pension liability is fully funded in 2030. The current default (redirect everything to OPEB funding) may not be optimal. A carefully designed reallocation strategy — balancing OPEB obligations, reserves, and structural deficit relief — could permanently change Brookline's fiscal trajectory.</w:t>
            </w:r>
          </w:p>
        </w:tc>
      </w:tr>
    </w:tbl>
    <w:p>
      <w:pPr>
        <w:spacing w:before="60" w:after="60"/>
      </w:pPr>
      <w:r>
        <w:t xml:space="preserve"/>
      </w:r>
    </w:p>
    <w:p>
      <w:pPr>
        <w:pStyle w:val="Heading2"/>
        <w:pBdr>
          <w:bottom w:val="single" w:color="185FA5" w:sz="4" w:space="4"/>
        </w:pBdr>
        <w:spacing w:before="280" w:after="100"/>
      </w:pPr>
      <w:r>
        <w:rPr>
          <w:rFonts w:ascii="Arial" w:cs="Arial" w:eastAsia="Arial" w:hAnsi="Arial"/>
          <w:b/>
          <w:bCs/>
          <w:color w:val="185FA5"/>
          <w:sz w:val="28"/>
          <w:szCs w:val="28"/>
        </w:rPr>
        <w:t xml:space="preserve">5.1  Combined Impact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2100"/>
        <w:gridCol w:w="1360"/>
      </w:tblGrid>
      <w:tr>
        <w:tc>
          <w:tcPr>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Annual Impact (est.)</w:t>
            </w:r>
          </w:p>
        </w:tc>
        <w:tc>
          <w:tcPr>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Time to Realize</w:t>
            </w:r>
          </w:p>
        </w:tc>
        <w:tc>
          <w:tcPr>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Certainty</w:t>
            </w:r>
          </w:p>
        </w:tc>
      </w:tr>
      <w:tr>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Branch 1: Economic Development</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85FA5"/>
                <w:sz w:val="20"/>
                <w:szCs w:val="20"/>
              </w:rPr>
              <w:t xml:space="preserve">$5–15M/yr</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5–10 years</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12402"/>
                <w:sz w:val="20"/>
                <w:szCs w:val="20"/>
              </w:rPr>
              <w:t xml:space="preserve">Medium</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Branch 2: Legislative Strategy</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04342C"/>
                <w:sz w:val="20"/>
                <w:szCs w:val="20"/>
              </w:rPr>
              <w:t xml:space="preserve">$4–8M/yr</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2–6 years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12402"/>
                <w:sz w:val="20"/>
                <w:szCs w:val="20"/>
              </w:rPr>
              <w:t xml:space="preserve">Variable</w:t>
            </w:r>
          </w:p>
        </w:tc>
      </w:tr>
      <w:tr>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Branch 3: 2030 OPEB Pivot</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412402"/>
                <w:sz w:val="20"/>
                <w:szCs w:val="20"/>
              </w:rPr>
              <w:t xml:space="preserve">$10–25M/yr</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2030+</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04342C"/>
                <w:sz w:val="20"/>
                <w:szCs w:val="20"/>
              </w:rPr>
              <w:t xml:space="preserve">High (policy)</w:t>
            </w:r>
          </w:p>
        </w:tc>
      </w:tr>
      <w:tr>
        <w:tc>
          <w:tcPr>
            <w:tcBorders>
              <w:top w:val="single" w:color="D3D1C7" w:sz="1"/>
              <w:left w:val="single" w:color="D3D1C7" w:sz="1"/>
              <w:bottom w:val="single" w:color="D3D1C7" w:sz="1"/>
              <w:right w:val="single" w:color="D3D1C7" w:sz="1"/>
            </w:tcBorders>
            <w:shd w:fill="042C53" w:val="clear"/>
            <w:tcMar>
              <w:top w:type="dxa" w:w="80"/>
              <w:left w:type="dxa" w:w="120"/>
              <w:bottom w:type="dxa" w:w="80"/>
              <w:right w:type="dxa" w:w="120"/>
            </w:tcMar>
          </w:tcPr>
          <w:p>
            <w:r>
              <w:rPr>
                <w:rFonts w:ascii="Arial" w:cs="Arial" w:eastAsia="Arial" w:hAnsi="Arial"/>
                <w:b/>
                <w:bCs/>
                <w:color w:val="FFFFFF"/>
                <w:sz w:val="20"/>
                <w:szCs w:val="20"/>
              </w:rPr>
              <w:t xml:space="preserve">Combined Potential</w:t>
            </w:r>
          </w:p>
        </w:tc>
        <w:tc>
          <w:tcPr>
            <w:tcBorders>
              <w:top w:val="single" w:color="D3D1C7" w:sz="1"/>
              <w:left w:val="single" w:color="D3D1C7" w:sz="1"/>
              <w:bottom w:val="single" w:color="D3D1C7" w:sz="1"/>
              <w:right w:val="single" w:color="D3D1C7" w:sz="1"/>
            </w:tcBorders>
            <w:shd w:fill="042C53" w:val="clear"/>
            <w:tcMar>
              <w:top w:type="dxa" w:w="80"/>
              <w:left w:type="dxa" w:w="120"/>
              <w:bottom w:type="dxa" w:w="80"/>
              <w:right w:type="dxa" w:w="120"/>
            </w:tcMar>
          </w:tcPr>
          <w:p>
            <w:r>
              <w:rPr>
                <w:rFonts w:ascii="Arial" w:cs="Arial" w:eastAsia="Arial" w:hAnsi="Arial"/>
                <w:b/>
                <w:bCs/>
                <w:color w:val="FFFFFF"/>
                <w:sz w:val="20"/>
                <w:szCs w:val="20"/>
              </w:rPr>
              <w:t xml:space="preserve">$19–48M/yr</w:t>
            </w:r>
          </w:p>
        </w:tc>
        <w:tc>
          <w:tcPr>
            <w:tcBorders>
              <w:top w:val="single" w:color="D3D1C7" w:sz="1"/>
              <w:left w:val="single" w:color="D3D1C7" w:sz="1"/>
              <w:bottom w:val="single" w:color="D3D1C7" w:sz="1"/>
              <w:right w:val="single" w:color="D3D1C7" w:sz="1"/>
            </w:tcBorders>
            <w:shd w:fill="042C53" w:val="clear"/>
            <w:tcMar>
              <w:top w:type="dxa" w:w="80"/>
              <w:left w:type="dxa" w:w="120"/>
              <w:bottom w:type="dxa" w:w="80"/>
              <w:right w:type="dxa" w:w="120"/>
            </w:tcMar>
          </w:tcPr>
          <w:p>
            <w:r>
              <w:rPr>
                <w:rFonts w:ascii="Arial" w:cs="Arial" w:eastAsia="Arial" w:hAnsi="Arial"/>
                <w:color w:val="D6E8F7"/>
                <w:sz w:val="20"/>
                <w:szCs w:val="20"/>
              </w:rPr>
              <w:t xml:space="preserve">Phased over decade</w:t>
            </w:r>
          </w:p>
        </w:tc>
        <w:tc>
          <w:tcPr>
            <w:tcBorders>
              <w:top w:val="single" w:color="D3D1C7" w:sz="1"/>
              <w:left w:val="single" w:color="D3D1C7" w:sz="1"/>
              <w:bottom w:val="single" w:color="D3D1C7" w:sz="1"/>
              <w:right w:val="single" w:color="D3D1C7" w:sz="1"/>
            </w:tcBorders>
            <w:shd w:fill="042C53" w:val="clear"/>
            <w:tcMar>
              <w:top w:type="dxa" w:w="80"/>
              <w:left w:type="dxa" w:w="120"/>
              <w:bottom w:type="dxa" w:w="80"/>
              <w:right w:type="dxa" w:w="120"/>
            </w:tcMar>
          </w:tcPr>
          <w:p>
            <w:r>
              <w:rPr>
                <w:rFonts w:ascii="Arial" w:cs="Arial" w:eastAsia="Arial" w:hAnsi="Arial"/>
                <w:color w:val="D6E8F7"/>
                <w:sz w:val="20"/>
                <w:szCs w:val="20"/>
              </w:rPr>
              <w:t xml:space="preserve">vs. $25.9M gap</w:t>
            </w:r>
          </w:p>
        </w:tc>
      </w:tr>
    </w:tbl>
    <w:p>
      <w:pPr>
        <w:spacing w:before="60" w:after="60"/>
      </w:pPr>
      <w:r>
        <w:t xml:space="preserve"/>
      </w:r>
    </w:p>
    <w:p>
      <w:pPr>
        <w:pStyle w:val="Heading1"/>
        <w:spacing w:before="360" w:after="120"/>
      </w:pPr>
      <w:r>
        <w:rPr>
          <w:rFonts w:ascii="Arial" w:cs="Arial" w:eastAsia="Arial" w:hAnsi="Arial"/>
          <w:b/>
          <w:bCs/>
          <w:color w:val="042C53"/>
          <w:sz w:val="36"/>
          <w:szCs w:val="36"/>
        </w:rPr>
        <w:t xml:space="preserve">VI. Next Steps &amp; Research Agenda</w:t>
      </w:r>
    </w:p>
    <w:p>
      <w:pPr>
        <w:pStyle w:val="Heading2"/>
        <w:pBdr>
          <w:bottom w:val="single" w:color="185FA5" w:sz="4" w:space="4"/>
        </w:pBdr>
        <w:spacing w:before="280" w:after="100"/>
      </w:pPr>
      <w:r>
        <w:rPr>
          <w:rFonts w:ascii="Arial" w:cs="Arial" w:eastAsia="Arial" w:hAnsi="Arial"/>
          <w:b/>
          <w:bCs/>
          <w:color w:val="185FA5"/>
          <w:sz w:val="28"/>
          <w:szCs w:val="28"/>
        </w:rPr>
        <w:t xml:space="preserve">6.1  Immediate Research Priorities</w:t>
      </w:r>
    </w:p>
    <w:p>
      <w:pPr>
        <w:pStyle w:val="ListParagraph"/>
        <w:numPr>
          <w:ilvl w:val="0"/>
          <w:numId w:val="3"/>
        </w:numPr>
        <w:spacing w:before="40" w:after="40"/>
      </w:pPr>
      <w:r>
        <w:rPr>
          <w:rFonts w:ascii="Arial" w:cs="Arial" w:eastAsia="Arial" w:hAnsi="Arial"/>
          <w:b/>
          <w:bCs/>
          <w:color w:val="1A1A18"/>
          <w:sz w:val="22"/>
          <w:szCs w:val="22"/>
        </w:rPr>
        <w:t xml:space="preserve">Priority 1: </w:t>
      </w:r>
      <w:r>
        <w:rPr>
          <w:rFonts w:ascii="Arial" w:cs="Arial" w:eastAsia="Arial" w:hAnsi="Arial"/>
          <w:color w:val="1A1A18"/>
          <w:sz w:val="22"/>
          <w:szCs w:val="22"/>
        </w:rPr>
        <w:t xml:space="preserve">Branch 2 first: METCO SpEd enrollment data from DESE, comparable district costs, existing State House legislative proposals on Prop 2½ and Chapter 70.</w:t>
      </w:r>
    </w:p>
    <w:p>
      <w:pPr>
        <w:pStyle w:val="ListParagraph"/>
        <w:numPr>
          <w:ilvl w:val="0"/>
          <w:numId w:val="3"/>
        </w:numPr>
        <w:spacing w:before="40" w:after="40"/>
      </w:pPr>
      <w:r>
        <w:rPr>
          <w:rFonts w:ascii="Arial" w:cs="Arial" w:eastAsia="Arial" w:hAnsi="Arial"/>
          <w:b/>
          <w:bCs/>
          <w:color w:val="1A1A18"/>
          <w:sz w:val="22"/>
          <w:szCs w:val="22"/>
        </w:rPr>
        <w:t xml:space="preserve">Priority 2: </w:t>
      </w:r>
      <w:r>
        <w:rPr>
          <w:rFonts w:ascii="Arial" w:cs="Arial" w:eastAsia="Arial" w:hAnsi="Arial"/>
          <w:color w:val="1A1A18"/>
          <w:sz w:val="22"/>
          <w:szCs w:val="22"/>
        </w:rPr>
        <w:t xml:space="preserve">Branch 1: Current commercial property tax data from Brookline Assessor, RKG Fiscal Impact Model methodology, CHCA and Waldo-Durgin project timelines.</w:t>
      </w:r>
    </w:p>
    <w:p>
      <w:pPr>
        <w:pStyle w:val="ListParagraph"/>
        <w:numPr>
          <w:ilvl w:val="0"/>
          <w:numId w:val="3"/>
        </w:numPr>
        <w:spacing w:before="40" w:after="40"/>
      </w:pPr>
      <w:r>
        <w:rPr>
          <w:rFonts w:ascii="Arial" w:cs="Arial" w:eastAsia="Arial" w:hAnsi="Arial"/>
          <w:b/>
          <w:bCs/>
          <w:color w:val="1A1A18"/>
          <w:sz w:val="22"/>
          <w:szCs w:val="22"/>
        </w:rPr>
        <w:t xml:space="preserve">Priority 3: </w:t>
      </w:r>
      <w:r>
        <w:rPr>
          <w:rFonts w:ascii="Arial" w:cs="Arial" w:eastAsia="Arial" w:hAnsi="Arial"/>
          <w:color w:val="1A1A18"/>
          <w:sz w:val="22"/>
          <w:szCs w:val="22"/>
        </w:rPr>
        <w:t xml:space="preserve">Branch 3: Brookline GASB 74/75 actuarial report (already in E&amp;RSC appendix), MA GIC rate schedules, Moody’s OPEB scoring criteria.</w:t>
      </w:r>
    </w:p>
    <w:p>
      <w:pPr>
        <w:pStyle w:val="Heading2"/>
        <w:pBdr>
          <w:bottom w:val="single" w:color="185FA5" w:sz="4" w:space="4"/>
        </w:pBdr>
        <w:spacing w:before="280" w:after="100"/>
      </w:pPr>
      <w:r>
        <w:rPr>
          <w:rFonts w:ascii="Arial" w:cs="Arial" w:eastAsia="Arial" w:hAnsi="Arial"/>
          <w:b/>
          <w:bCs/>
          <w:color w:val="185FA5"/>
          <w:sz w:val="28"/>
          <w:szCs w:val="28"/>
        </w:rPr>
        <w:t xml:space="preserve">6.2  Key Questions Each Branch Must Answer</w:t>
      </w:r>
    </w:p>
    <w:p>
      <w:pPr>
        <w:pStyle w:val="Heading3"/>
        <w:spacing w:before="200" w:after="80"/>
      </w:pPr>
      <w:r>
        <w:rPr>
          <w:rFonts w:ascii="Arial" w:cs="Arial" w:eastAsia="Arial" w:hAnsi="Arial"/>
          <w:b/>
          <w:bCs/>
          <w:color w:val="1A1A18"/>
          <w:sz w:val="24"/>
          <w:szCs w:val="24"/>
        </w:rPr>
        <w:t xml:space="preserve">Branch 1 — Economic Development</w:t>
      </w:r>
    </w:p>
    <w:p>
      <w:pPr>
        <w:pStyle w:val="ListParagraph"/>
        <w:numPr>
          <w:ilvl w:val="0"/>
          <w:numId w:val="3"/>
        </w:numPr>
        <w:spacing w:before="40" w:after="40"/>
      </w:pPr>
      <w:r>
        <w:rPr>
          <w:rFonts w:ascii="Arial" w:cs="Arial" w:eastAsia="Arial" w:hAnsi="Arial"/>
          <w:color w:val="1A1A18"/>
          <w:sz w:val="22"/>
          <w:szCs w:val="22"/>
        </w:rPr>
        <w:t xml:space="preserve">What is Brookline's current commercial tax base, and which specific parcels/sites represent the highest-value development opportunity?</w:t>
      </w:r>
    </w:p>
    <w:p>
      <w:pPr>
        <w:pStyle w:val="ListParagraph"/>
        <w:numPr>
          <w:ilvl w:val="0"/>
          <w:numId w:val="3"/>
        </w:numPr>
        <w:spacing w:before="40" w:after="40"/>
      </w:pPr>
      <w:r>
        <w:rPr>
          <w:rFonts w:ascii="Arial" w:cs="Arial" w:eastAsia="Arial" w:hAnsi="Arial"/>
          <w:color w:val="1A1A18"/>
          <w:sz w:val="22"/>
          <w:szCs w:val="22"/>
        </w:rPr>
        <w:t xml:space="preserve">What zoning changes are necessary and politically achievable to unlock the top 5–10 sites?</w:t>
      </w:r>
    </w:p>
    <w:p>
      <w:pPr>
        <w:pStyle w:val="ListParagraph"/>
        <w:numPr>
          <w:ilvl w:val="0"/>
          <w:numId w:val="3"/>
        </w:numPr>
        <w:spacing w:before="40" w:after="40"/>
      </w:pPr>
      <w:r>
        <w:rPr>
          <w:rFonts w:ascii="Arial" w:cs="Arial" w:eastAsia="Arial" w:hAnsi="Arial"/>
          <w:color w:val="1A1A18"/>
          <w:sz w:val="22"/>
          <w:szCs w:val="22"/>
        </w:rPr>
        <w:t xml:space="preserve">What is the realistic revenue timeline for CHCA, Waldo-Durgin, and the Harvard Street MBTA corridor?</w:t>
      </w:r>
    </w:p>
    <w:p>
      <w:pPr>
        <w:pStyle w:val="ListParagraph"/>
        <w:numPr>
          <w:ilvl w:val="0"/>
          <w:numId w:val="3"/>
        </w:numPr>
        <w:spacing w:before="40" w:after="40"/>
      </w:pPr>
      <w:r>
        <w:rPr>
          <w:rFonts w:ascii="Arial" w:cs="Arial" w:eastAsia="Arial" w:hAnsi="Arial"/>
          <w:color w:val="1A1A18"/>
          <w:sz w:val="22"/>
          <w:szCs w:val="22"/>
        </w:rPr>
        <w:t xml:space="preserve">How much could a structured PILOT program recover from non-profit landholders?</w:t>
      </w:r>
    </w:p>
    <w:p>
      <w:pPr>
        <w:pStyle w:val="Heading3"/>
        <w:spacing w:before="200" w:after="80"/>
      </w:pPr>
      <w:r>
        <w:rPr>
          <w:rFonts w:ascii="Arial" w:cs="Arial" w:eastAsia="Arial" w:hAnsi="Arial"/>
          <w:b/>
          <w:bCs/>
          <w:color w:val="1A1A18"/>
          <w:sz w:val="24"/>
          <w:szCs w:val="24"/>
        </w:rPr>
        <w:t xml:space="preserve">Branch 2 — State Legislative</w:t>
      </w:r>
    </w:p>
    <w:p>
      <w:pPr>
        <w:pStyle w:val="ListParagraph"/>
        <w:numPr>
          <w:ilvl w:val="0"/>
          <w:numId w:val="3"/>
        </w:numPr>
        <w:spacing w:before="40" w:after="40"/>
      </w:pPr>
      <w:r>
        <w:rPr>
          <w:rFonts w:ascii="Arial" w:cs="Arial" w:eastAsia="Arial" w:hAnsi="Arial"/>
          <w:color w:val="1A1A18"/>
          <w:sz w:val="22"/>
          <w:szCs w:val="22"/>
        </w:rPr>
        <w:t xml:space="preserve">Which communities are similarly burdened by non-resident SpEd costs without reimbursement, and what is the total statewide fiscal impact?</w:t>
      </w:r>
    </w:p>
    <w:p>
      <w:pPr>
        <w:pStyle w:val="ListParagraph"/>
        <w:numPr>
          <w:ilvl w:val="0"/>
          <w:numId w:val="3"/>
        </w:numPr>
        <w:spacing w:before="40" w:after="40"/>
      </w:pPr>
      <w:r>
        <w:rPr>
          <w:rFonts w:ascii="Arial" w:cs="Arial" w:eastAsia="Arial" w:hAnsi="Arial"/>
          <w:color w:val="1A1A18"/>
          <w:sz w:val="22"/>
          <w:szCs w:val="22"/>
        </w:rPr>
        <w:t xml:space="preserve">What is the legislative path to mandate reimbursement — Home Rule petition, amendment to Education Reform Act, or budget line item?</w:t>
      </w:r>
    </w:p>
    <w:p>
      <w:pPr>
        <w:pStyle w:val="ListParagraph"/>
        <w:numPr>
          <w:ilvl w:val="0"/>
          <w:numId w:val="3"/>
        </w:numPr>
        <w:spacing w:before="40" w:after="40"/>
      </w:pPr>
      <w:r>
        <w:rPr>
          <w:rFonts w:ascii="Arial" w:cs="Arial" w:eastAsia="Arial" w:hAnsi="Arial"/>
          <w:color w:val="1A1A18"/>
          <w:sz w:val="22"/>
          <w:szCs w:val="22"/>
        </w:rPr>
        <w:t xml:space="preserve">Which State House champions might sponsor this? What is the political landscape?</w:t>
      </w:r>
    </w:p>
    <w:p>
      <w:pPr>
        <w:pStyle w:val="ListParagraph"/>
        <w:numPr>
          <w:ilvl w:val="0"/>
          <w:numId w:val="3"/>
        </w:numPr>
        <w:spacing w:before="40" w:after="40"/>
      </w:pPr>
      <w:r>
        <w:rPr>
          <w:rFonts w:ascii="Arial" w:cs="Arial" w:eastAsia="Arial" w:hAnsi="Arial"/>
          <w:color w:val="1A1A18"/>
          <w:sz w:val="22"/>
          <w:szCs w:val="22"/>
        </w:rPr>
        <w:t xml:space="preserve">Are there viable Prop 2½ reform bills currently alive at the State House?</w:t>
      </w:r>
    </w:p>
    <w:p>
      <w:pPr>
        <w:pStyle w:val="Heading3"/>
        <w:spacing w:before="200" w:after="80"/>
      </w:pPr>
      <w:r>
        <w:rPr>
          <w:rFonts w:ascii="Arial" w:cs="Arial" w:eastAsia="Arial" w:hAnsi="Arial"/>
          <w:b/>
          <w:bCs/>
          <w:color w:val="1A1A18"/>
          <w:sz w:val="24"/>
          <w:szCs w:val="24"/>
        </w:rPr>
        <w:t xml:space="preserve">Branch 3 — 2030 OPEB</w:t>
      </w:r>
    </w:p>
    <w:p>
      <w:pPr>
        <w:pStyle w:val="ListParagraph"/>
        <w:numPr>
          <w:ilvl w:val="0"/>
          <w:numId w:val="3"/>
        </w:numPr>
        <w:spacing w:before="40" w:after="40"/>
      </w:pPr>
      <w:r>
        <w:rPr>
          <w:rFonts w:ascii="Arial" w:cs="Arial" w:eastAsia="Arial" w:hAnsi="Arial"/>
          <w:color w:val="1A1A18"/>
          <w:sz w:val="22"/>
          <w:szCs w:val="22"/>
        </w:rPr>
        <w:t xml:space="preserve">What is the current OPEB unfunded liability and the projected growth rate of retiree healthcare costs?</w:t>
      </w:r>
    </w:p>
    <w:p>
      <w:pPr>
        <w:pStyle w:val="ListParagraph"/>
        <w:numPr>
          <w:ilvl w:val="0"/>
          <w:numId w:val="3"/>
        </w:numPr>
        <w:spacing w:before="40" w:after="40"/>
      </w:pPr>
      <w:r>
        <w:rPr>
          <w:rFonts w:ascii="Arial" w:cs="Arial" w:eastAsia="Arial" w:hAnsi="Arial"/>
          <w:color w:val="1A1A18"/>
          <w:sz w:val="22"/>
          <w:szCs w:val="22"/>
        </w:rPr>
        <w:t xml:space="preserve">What would a 'modified' OPEB funding schedule look like — one that funds adequately without diverting the entire $40M from operating relief?</w:t>
      </w:r>
    </w:p>
    <w:p>
      <w:pPr>
        <w:pStyle w:val="ListParagraph"/>
        <w:numPr>
          <w:ilvl w:val="0"/>
          <w:numId w:val="3"/>
        </w:numPr>
        <w:spacing w:before="40" w:after="40"/>
      </w:pPr>
      <w:r>
        <w:rPr>
          <w:rFonts w:ascii="Arial" w:cs="Arial" w:eastAsia="Arial" w:hAnsi="Arial"/>
          <w:color w:val="1A1A18"/>
          <w:sz w:val="22"/>
          <w:szCs w:val="22"/>
        </w:rPr>
        <w:t xml:space="preserve">What are the Moody’s rating implications of different OPEB scenarios?</w:t>
      </w:r>
    </w:p>
    <w:p>
      <w:pPr>
        <w:pStyle w:val="ListParagraph"/>
        <w:numPr>
          <w:ilvl w:val="0"/>
          <w:numId w:val="3"/>
        </w:numPr>
        <w:spacing w:before="40" w:after="40"/>
      </w:pPr>
      <w:r>
        <w:rPr>
          <w:rFonts w:ascii="Arial" w:cs="Arial" w:eastAsia="Arial" w:hAnsi="Arial"/>
          <w:color w:val="1A1A18"/>
          <w:sz w:val="22"/>
          <w:szCs w:val="22"/>
        </w:rPr>
        <w:t xml:space="preserve">How have other Aaa Massachusetts communities (Newton, Wellesley, Lexington) handled this transition?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pPr>
              <w:spacing w:before="60" w:after="60"/>
            </w:pPr>
            <w:r>
              <w:rPr>
                <w:rFonts w:ascii="Arial" w:cs="Arial" w:eastAsia="Arial" w:hAnsi="Arial"/>
                <w:b/>
                <w:bCs/>
                <w:color w:val="042C53"/>
                <w:sz w:val="20"/>
                <w:szCs w:val="20"/>
              </w:rPr>
              <w:t xml:space="preserve">A Note on Ambition vs. Realism</w:t>
            </w:r>
          </w:p>
          <w:p>
            <w:pPr>
              <w:spacing w:before="60" w:after="100"/>
            </w:pPr>
            <w:r>
              <w:rPr>
                <w:rFonts w:ascii="Arial" w:cs="Arial" w:eastAsia="Arial" w:hAnsi="Arial"/>
                <w:color w:val="1A1A18"/>
                <w:sz w:val="22"/>
                <w:szCs w:val="22"/>
              </w:rPr>
              <w:t xml:space="preserve">This proposal is intentionally ambitious. The three branches, fully realized, could generate $19–48M per year in structural relief against a $25.9M deficit. But many of these ideas require years to materialize, political will that may not yet exist, and external decisions (at the State House, in development markets) that Brookline cannot fully control.</w:t>
            </w:r>
          </w:p>
          <w:p>
            <w:pPr>
              <w:spacing w:before="60" w:after="100"/>
            </w:pPr>
            <w:r>
              <w:rPr>
                <w:rFonts w:ascii="Arial" w:cs="Arial" w:eastAsia="Arial" w:hAnsi="Arial"/>
                <w:color w:val="1A1A18"/>
                <w:sz w:val="22"/>
                <w:szCs w:val="22"/>
              </w:rPr>
              <w:t xml:space="preserve">The goal of this proposal is not to claim we have solved the problem on paper — it is to present a rigorous, data-backed case that the structural deficit CAN be solved through means other than perpetual property tax overrides, and to give Brookline's leaders and citizens the intellectual framework to pursue it.</w:t>
            </w:r>
          </w:p>
        </w:tc>
      </w:tr>
    </w:tbl>
    <w:p>
      <w:pPr>
        <w:spacing w:before="60" w:after="60"/>
      </w:pPr>
      <w:r>
        <w:t xml:space="preserve"/>
      </w:r>
    </w:p>
    <w:p>
      <w:pPr>
        <w:pBdr>
          <w:top w:val="single" w:color="D3D1C7" w:sz="4" w:space="4"/>
        </w:pBdr>
        <w:spacing w:before="80" w:after="40"/>
      </w:pPr>
      <w:r>
        <w:rPr>
          <w:rFonts w:ascii="Arial" w:cs="Arial" w:eastAsia="Arial" w:hAnsi="Arial"/>
          <w:color w:val="888780"/>
          <w:sz w:val="18"/>
          <w:szCs w:val="18"/>
        </w:rPr>
        <w:t xml:space="preserve">Document Status: Working Draft  |  Last Updated: March 2026  |  Based on E&amp;RSC Final Report (March 13,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026"/>
      </w:tabs>
      <w:spacing w:before="80"/>
    </w:pPr>
    <w:r>
      <w:rPr>
        <w:rFonts w:ascii="Arial" w:cs="Arial" w:eastAsia="Arial" w:hAnsi="Arial"/>
        <w:color w:val="888780"/>
        <w:sz w:val="16"/>
        <w:szCs w:val="16"/>
      </w:rPr>
      <w:t xml:space="preserve">Confidential — Working Document  |  March 2026</w:t>
    </w:r>
    <w:r>
      <w:rPr>
        <w:rFonts w:ascii="Arial" w:cs="Arial" w:eastAsia="Arial" w:hAnsi="Arial"/>
        <w:color w:val="8887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spacing w:after="100"/>
    </w:pPr>
    <w:r>
      <w:rPr>
        <w:rFonts w:ascii="Arial" w:cs="Arial" w:eastAsia="Arial" w:hAnsi="Arial"/>
        <w:b/>
        <w:bCs/>
        <w:color w:val="185FA5"/>
        <w:sz w:val="18"/>
        <w:szCs w:val="18"/>
      </w:rPr>
      <w:t xml:space="preserve">BROOKLINE BUDGET CRISIS — MASTER BRIEFING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42C53"/>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85FA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2026-03-21T22:11:43.107Z</dcterms:created>
  <dcterms:modified xsi:type="dcterms:W3CDTF">2026-03-21T22:11:43.108Z</dcterms:modified>
</cp:coreProperties>
</file>

<file path=docProps/custom.xml><?xml version="1.0" encoding="utf-8"?>
<Properties xmlns="http://schemas.openxmlformats.org/officeDocument/2006/custom-properties" xmlns:vt="http://schemas.openxmlformats.org/officeDocument/2006/docPropsVTypes"/>
</file>