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200"/>
      </w:pPr>
      <w:r>
        <w:rPr>
          <w:rFonts w:ascii="Arial" w:cs="Arial" w:eastAsia="Arial" w:hAnsi="Arial"/>
          <w:b/>
          <w:bCs/>
          <w:color w:val="185FA5"/>
          <w:sz w:val="22"/>
          <w:szCs w:val="22"/>
        </w:rPr>
        <w:t xml:space="preserve">TOWN OF BROOKLINE</w:t>
      </w:r>
    </w:p>
    <w:p>
      <w:pPr>
        <w:spacing w:before="0" w:after="80"/>
      </w:pPr>
      <w:r>
        <w:rPr>
          <w:rFonts w:ascii="Arial" w:cs="Arial" w:eastAsia="Arial" w:hAnsi="Arial"/>
          <w:b/>
          <w:bCs/>
          <w:color w:val="042C53"/>
          <w:sz w:val="60"/>
          <w:szCs w:val="60"/>
        </w:rPr>
        <w:t xml:space="preserve">How to Fix the Budget</w:t>
      </w:r>
    </w:p>
    <w:p>
      <w:pPr>
        <w:spacing w:before="0" w:after="80"/>
      </w:pPr>
      <w:r>
        <w:rPr>
          <w:rFonts w:ascii="Arial" w:cs="Arial" w:eastAsia="Arial" w:hAnsi="Arial"/>
          <w:color w:val="444441"/>
          <w:sz w:val="32"/>
          <w:szCs w:val="32"/>
        </w:rPr>
        <w:t xml:space="preserve">A Three-Branch Proposal for Structural Reform</w:t>
      </w:r>
    </w:p>
    <w:p>
      <w:pPr>
        <w:spacing w:before="0" w:after="400"/>
      </w:pPr>
      <w:r>
        <w:rPr>
          <w:rFonts w:ascii="Arial" w:cs="Arial" w:eastAsia="Arial" w:hAnsi="Arial"/>
          <w:color w:val="888780"/>
          <w:sz w:val="22"/>
          <w:szCs w:val="22"/>
        </w:rPr>
        <w:t xml:space="preserve">Blueprint &amp; Workplan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D6E8F7" w:val="clear"/>
            <w:tcMar>
              <w:top w:type="dxa" w:w="160"/>
              <w:left w:type="dxa" w:w="160"/>
              <w:bottom w:type="dxa" w:w="160"/>
              <w:right w:type="dxa" w:w="160"/>
            </w:tcMar>
          </w:tcPr>
          <w:p>
            <w:pPr>
              <w:jc w:val="center"/>
            </w:pPr>
            <w:r>
              <w:rPr>
                <w:rFonts w:ascii="Arial" w:cs="Arial" w:eastAsia="Arial" w:hAnsi="Arial"/>
                <w:b/>
                <w:bCs/>
                <w:color w:val="185FA5"/>
                <w:sz w:val="18"/>
                <w:szCs w:val="18"/>
              </w:rPr>
              <w:t xml:space="preserve">Branch 1</w:t>
            </w:r>
          </w:p>
          <w:p>
            <w:pPr>
              <w:spacing w:before="40"/>
              <w:jc w:val="center"/>
            </w:pPr>
            <w:r>
              <w:rPr>
                <w:rFonts w:ascii="Arial" w:cs="Arial" w:eastAsia="Arial" w:hAnsi="Arial"/>
                <w:b/>
                <w:bCs/>
                <w:color w:val="042C53"/>
                <w:sz w:val="22"/>
                <w:szCs w:val="22"/>
              </w:rPr>
              <w:t xml:space="preserve">Economic Development</w:t>
            </w:r>
          </w:p>
          <w:p>
            <w:pPr>
              <w:spacing w:before="40"/>
              <w:jc w:val="center"/>
            </w:pPr>
            <w:r>
              <w:rPr>
                <w:rFonts w:ascii="Arial" w:cs="Arial" w:eastAsia="Arial" w:hAnsi="Arial"/>
                <w:color w:val="185FA5"/>
                <w:sz w:val="20"/>
                <w:szCs w:val="20"/>
              </w:rPr>
              <w:t xml:space="preserve">$5–15M/year</w:t>
            </w:r>
          </w:p>
        </w:tc>
        <w:tc>
          <w:tcPr>
            <w:tcW w:type="dxa" w:w="3120"/>
            <w:tcBorders>
              <w:top w:val="single" w:color="D3D1C7" w:sz="1"/>
              <w:left w:val="single" w:color="D3D1C7" w:sz="1"/>
              <w:bottom w:val="single" w:color="D3D1C7" w:sz="1"/>
              <w:right w:val="single" w:color="D3D1C7" w:sz="1"/>
            </w:tcBorders>
            <w:shd w:fill="D4EFE7" w:val="clear"/>
            <w:tcMar>
              <w:top w:type="dxa" w:w="160"/>
              <w:left w:type="dxa" w:w="160"/>
              <w:bottom w:type="dxa" w:w="160"/>
              <w:right w:type="dxa" w:w="160"/>
            </w:tcMar>
          </w:tcPr>
          <w:p>
            <w:pPr>
              <w:jc w:val="center"/>
            </w:pPr>
            <w:r>
              <w:rPr>
                <w:rFonts w:ascii="Arial" w:cs="Arial" w:eastAsia="Arial" w:hAnsi="Arial"/>
                <w:b/>
                <w:bCs/>
                <w:color w:val="0F6E56"/>
                <w:sz w:val="18"/>
                <w:szCs w:val="18"/>
              </w:rPr>
              <w:t xml:space="preserve">Branch 2</w:t>
            </w:r>
          </w:p>
          <w:p>
            <w:pPr>
              <w:spacing w:before="40"/>
              <w:jc w:val="center"/>
            </w:pPr>
            <w:r>
              <w:rPr>
                <w:rFonts w:ascii="Arial" w:cs="Arial" w:eastAsia="Arial" w:hAnsi="Arial"/>
                <w:b/>
                <w:bCs/>
                <w:color w:val="04342C"/>
                <w:sz w:val="22"/>
                <w:szCs w:val="22"/>
              </w:rPr>
              <w:t xml:space="preserve">State Legislative Strategy</w:t>
            </w:r>
          </w:p>
          <w:p>
            <w:pPr>
              <w:spacing w:before="40"/>
              <w:jc w:val="center"/>
            </w:pPr>
            <w:r>
              <w:rPr>
                <w:rFonts w:ascii="Arial" w:cs="Arial" w:eastAsia="Arial" w:hAnsi="Arial"/>
                <w:color w:val="0F6E56"/>
                <w:sz w:val="20"/>
                <w:szCs w:val="20"/>
              </w:rPr>
              <w:t xml:space="preserve">$4–8M/year</w:t>
            </w:r>
          </w:p>
        </w:tc>
        <w:tc>
          <w:tcPr>
            <w:tcW w:type="dxa" w:w="3120"/>
            <w:tcBorders>
              <w:top w:val="single" w:color="D3D1C7" w:sz="1"/>
              <w:left w:val="single" w:color="D3D1C7" w:sz="1"/>
              <w:bottom w:val="single" w:color="D3D1C7" w:sz="1"/>
              <w:right w:val="single" w:color="D3D1C7" w:sz="1"/>
            </w:tcBorders>
            <w:shd w:fill="FAE8C8" w:val="clear"/>
            <w:tcMar>
              <w:top w:type="dxa" w:w="160"/>
              <w:left w:type="dxa" w:w="160"/>
              <w:bottom w:type="dxa" w:w="160"/>
              <w:right w:type="dxa" w:w="160"/>
            </w:tcMar>
          </w:tcPr>
          <w:p>
            <w:pPr>
              <w:jc w:val="center"/>
            </w:pPr>
            <w:r>
              <w:rPr>
                <w:rFonts w:ascii="Arial" w:cs="Arial" w:eastAsia="Arial" w:hAnsi="Arial"/>
                <w:b/>
                <w:bCs/>
                <w:color w:val="854F0B"/>
                <w:sz w:val="18"/>
                <w:szCs w:val="18"/>
              </w:rPr>
              <w:t xml:space="preserve">Branch 3</w:t>
            </w:r>
          </w:p>
          <w:p>
            <w:pPr>
              <w:spacing w:before="40"/>
              <w:jc w:val="center"/>
            </w:pPr>
            <w:r>
              <w:rPr>
                <w:rFonts w:ascii="Arial" w:cs="Arial" w:eastAsia="Arial" w:hAnsi="Arial"/>
                <w:b/>
                <w:bCs/>
                <w:color w:val="412402"/>
                <w:sz w:val="22"/>
                <w:szCs w:val="22"/>
              </w:rPr>
              <w:t xml:space="preserve">2030 OPEB Pivot</w:t>
            </w:r>
          </w:p>
          <w:p>
            <w:pPr>
              <w:spacing w:before="40"/>
              <w:jc w:val="center"/>
            </w:pPr>
            <w:r>
              <w:rPr>
                <w:rFonts w:ascii="Arial" w:cs="Arial" w:eastAsia="Arial" w:hAnsi="Arial"/>
                <w:color w:val="854F0B"/>
                <w:sz w:val="20"/>
                <w:szCs w:val="20"/>
              </w:rPr>
              <w:t xml:space="preserve">$10–25M/year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180"/>
            </w:tcMar>
          </w:tcPr>
          <w:p>
            <w:pPr>
              <w:spacing w:before="60" w:after="60"/>
            </w:pPr>
            <w:r>
              <w:rPr>
                <w:rFonts w:ascii="Arial" w:cs="Arial" w:eastAsia="Arial" w:hAnsi="Arial"/>
                <w:b/>
                <w:bCs/>
                <w:color w:val="042C53"/>
                <w:sz w:val="20"/>
                <w:szCs w:val="20"/>
              </w:rPr>
              <w:t xml:space="preserve">The Core Argument</w:t>
            </w:r>
          </w:p>
          <w:p>
            <w:pPr>
              <w:spacing w:before="60" w:after="100"/>
            </w:pPr>
            <w:r>
              <w:rPr>
                <w:rFonts w:ascii="Arial" w:cs="Arial" w:eastAsia="Arial" w:hAnsi="Arial"/>
                <w:color w:val="1A1A18"/>
                <w:sz w:val="22"/>
                <w:szCs w:val="22"/>
              </w:rPr>
              <w:t xml:space="preserve">Brookline faces a structural deficit of $25.9M over the next three fiscal years, driven by expenses that grow faster than property tax revenue capped under Proposition 2½. The town has addressed this through four operating overrides since 2008, with each cycle requiring more money and shorter intervals between votes.</w:t>
            </w:r>
          </w:p>
          <w:p>
            <w:pPr>
              <w:spacing w:before="60" w:after="100"/>
            </w:pPr>
            <w:r>
              <w:rPr>
                <w:rFonts w:ascii="Arial" w:cs="Arial" w:eastAsia="Arial" w:hAnsi="Arial"/>
                <w:color w:val="1A1A18"/>
                <w:sz w:val="22"/>
                <w:szCs w:val="22"/>
              </w:rPr>
              <w:t xml:space="preserve">This proposal argues that the deficit can be sustainably closed — not through perpetual property tax overrides — but through three structural changes: aggressively growing the commercial tax base, winning back state funds Brookline is owed, and strategically deploying the $40M in pension funds that become free in 2030. Together, these branches could generate $19–48M per year in structural relief on a phased basis over the next decade.</w:t>
            </w:r>
          </w:p>
        </w:tc>
      </w:tr>
    </w:tbl>
    <w:p>
      <w:pPr>
        <w:spacing w:before="40" w:after="40"/>
      </w:pPr>
      <w:r>
        <w:t xml:space="preserve"/>
      </w:r>
    </w:p>
    <w:p>
      <w:pPr>
        <w:pStyle w:val="Heading1"/>
        <w:spacing w:before="400" w:after="140"/>
      </w:pPr>
      <w:r>
        <w:rPr>
          <w:rFonts w:ascii="Arial" w:cs="Arial" w:eastAsia="Arial" w:hAnsi="Arial"/>
          <w:b/>
          <w:bCs/>
          <w:color w:val="042C53"/>
          <w:sz w:val="40"/>
          <w:szCs w:val="40"/>
        </w:rPr>
        <w:t xml:space="preserve">The Problem We Are Solving</w:t>
      </w:r>
    </w:p>
    <w:p>
      <w:pPr>
        <w:pStyle w:val="Heading2"/>
        <w:pBdr>
          <w:bottom w:val="single" w:color="185FA5" w:sz="6" w:space="4"/>
        </w:pBdr>
        <w:spacing w:before="280" w:after="100"/>
      </w:pPr>
      <w:r>
        <w:rPr>
          <w:rFonts w:ascii="Arial" w:cs="Arial" w:eastAsia="Arial" w:hAnsi="Arial"/>
          <w:b/>
          <w:bCs/>
          <w:color w:val="185FA5"/>
          <w:sz w:val="30"/>
          <w:szCs w:val="30"/>
        </w:rPr>
        <w:t xml:space="preserve">Why overrides alone are not a solution</w:t>
      </w:r>
    </w:p>
    <w:p>
      <w:pPr>
        <w:spacing w:before="60" w:after="100"/>
      </w:pPr>
      <w:r>
        <w:rPr>
          <w:rFonts w:ascii="Arial" w:cs="Arial" w:eastAsia="Arial" w:hAnsi="Arial"/>
          <w:color w:val="1A1A18"/>
          <w:sz w:val="22"/>
          <w:szCs w:val="22"/>
        </w:rPr>
        <w:t xml:space="preserve">Brookline has held four operating overrides since 2008. Each one has been larger than the last. The intervals between them have shrunk from seven years (2008–2015) to four years (2019–2022) to now three years (2022–2025). The E&amp;RSC projects the operating deficit will reach $22M by FY29 even after significant planned cuts to Town and School services.</w:t>
      </w:r>
    </w:p>
    <w:p>
      <w:pPr>
        <w:spacing w:before="60" w:after="100"/>
      </w:pPr>
      <w:r>
        <w:rPr>
          <w:rFonts w:ascii="Arial" w:cs="Arial" w:eastAsia="Arial" w:hAnsi="Arial"/>
          <w:color w:val="1A1A18"/>
          <w:sz w:val="22"/>
          <w:szCs w:val="22"/>
        </w:rPr>
        <w:t xml:space="preserve">This is not a spending discipline problem — the E&amp;RSC confirms both Town and Schools have made real, painful cuts. It is a structural mismatch: legally capped revenue growing at ~3%/year, while healthcare benefits, debt service, and union wages grow at 5–8%/year. No amount of belt-tightening closes a gap that compounds annually.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DEDE" w:val="clear"/>
            <w:tcMar>
              <w:top w:type="dxa" w:w="120"/>
              <w:left w:type="dxa" w:w="200"/>
              <w:bottom w:type="dxa" w:w="120"/>
              <w:right w:type="dxa" w:w="180"/>
            </w:tcMar>
          </w:tcPr>
          <w:p>
            <w:pPr>
              <w:spacing w:before="40" w:after="60"/>
            </w:pPr>
            <w:r>
              <w:rPr>
                <w:rFonts w:ascii="Arial" w:cs="Arial" w:eastAsia="Arial" w:hAnsi="Arial"/>
                <w:b/>
                <w:bCs/>
                <w:color w:val="501313"/>
                <w:sz w:val="20"/>
                <w:szCs w:val="20"/>
              </w:rPr>
              <w:t xml:space="preserve">The override treadmill — by the numbers</w:t>
            </w:r>
          </w:p>
          <w:p>
            <w:pPr>
              <w:pStyle w:val="ListParagraph"/>
              <w:numPr>
                <w:ilvl w:val="0"/>
                <w:numId w:val="2"/>
              </w:numPr>
              <w:spacing w:before="40" w:after="40"/>
            </w:pPr>
            <w:r>
              <w:rPr>
                <w:rFonts w:ascii="Arial" w:cs="Arial" w:eastAsia="Arial" w:hAnsi="Arial"/>
                <w:color w:val="1A1A18"/>
                <w:sz w:val="22"/>
                <w:szCs w:val="22"/>
              </w:rPr>
              <w:t xml:space="preserve">FY26 total budget: ~$450M</w:t>
            </w:r>
          </w:p>
          <w:p>
            <w:pPr>
              <w:pStyle w:val="ListParagraph"/>
              <w:numPr>
                <w:ilvl w:val="0"/>
                <w:numId w:val="2"/>
              </w:numPr>
              <w:spacing w:before="40" w:after="40"/>
            </w:pPr>
            <w:r>
              <w:rPr>
                <w:rFonts w:ascii="Arial" w:cs="Arial" w:eastAsia="Arial" w:hAnsi="Arial"/>
                <w:color w:val="1A1A18"/>
                <w:sz w:val="22"/>
                <w:szCs w:val="22"/>
              </w:rPr>
              <w:t xml:space="preserve">Property taxes (79% of revenue): capped at +2.5%/year under Prop 2½</w:t>
            </w:r>
          </w:p>
          <w:p>
            <w:pPr>
              <w:pStyle w:val="ListParagraph"/>
              <w:numPr>
                <w:ilvl w:val="0"/>
                <w:numId w:val="2"/>
              </w:numPr>
              <w:spacing w:before="40" w:after="40"/>
            </w:pPr>
            <w:r>
              <w:rPr>
                <w:rFonts w:ascii="Arial" w:cs="Arial" w:eastAsia="Arial" w:hAnsi="Arial"/>
                <w:color w:val="1A1A18"/>
                <w:sz w:val="22"/>
                <w:szCs w:val="22"/>
              </w:rPr>
              <w:t xml:space="preserve">Benefits alone (health + pension): 21.9% of budget, growing to 22.8% in FY27</w:t>
            </w:r>
          </w:p>
          <w:p>
            <w:pPr>
              <w:pStyle w:val="ListParagraph"/>
              <w:numPr>
                <w:ilvl w:val="0"/>
                <w:numId w:val="2"/>
              </w:numPr>
              <w:spacing w:before="40" w:after="40"/>
            </w:pPr>
            <w:r>
              <w:rPr>
                <w:rFonts w:ascii="Arial" w:cs="Arial" w:eastAsia="Arial" w:hAnsi="Arial"/>
                <w:color w:val="1A1A18"/>
                <w:sz w:val="22"/>
                <w:szCs w:val="22"/>
              </w:rPr>
              <w:t xml:space="preserve">Debt service: $49.4M in FY27, up from $10.6M in FY18 (37% annual increase)</w:t>
            </w:r>
          </w:p>
          <w:p>
            <w:pPr>
              <w:pStyle w:val="ListParagraph"/>
              <w:numPr>
                <w:ilvl w:val="0"/>
                <w:numId w:val="2"/>
              </w:numPr>
              <w:spacing w:before="40" w:after="40"/>
            </w:pPr>
            <w:r>
              <w:rPr>
                <w:rFonts w:ascii="Arial" w:cs="Arial" w:eastAsia="Arial" w:hAnsi="Arial"/>
                <w:color w:val="1A1A18"/>
                <w:sz w:val="22"/>
                <w:szCs w:val="22"/>
              </w:rPr>
              <w:t xml:space="preserve">Override #5 needed: May 2026, asking $23.25M over 3 years (+18.3% in property taxes)</w:t>
            </w:r>
          </w:p>
          <w:p>
            <w:pPr>
              <w:pStyle w:val="ListParagraph"/>
              <w:numPr>
                <w:ilvl w:val="0"/>
                <w:numId w:val="2"/>
              </w:numPr>
              <w:spacing w:before="40" w:after="40"/>
            </w:pPr>
            <w:r>
              <w:rPr>
                <w:rFonts w:ascii="Arial" w:cs="Arial" w:eastAsia="Arial" w:hAnsi="Arial"/>
                <w:color w:val="1A1A18"/>
                <w:sz w:val="22"/>
                <w:szCs w:val="22"/>
              </w:rPr>
              <w:t xml:space="preserve">Projected gap by FY29 without structural reform: $22M+ annually</w:t>
            </w:r>
          </w:p>
        </w:tc>
      </w:tr>
    </w:tbl>
    <w:p>
      <w:pPr>
        <w:spacing w:before="40" w:after="40"/>
      </w:pPr>
      <w:r>
        <w:t xml:space="preserve"/>
      </w:r>
    </w:p>
    <w:p>
      <w:pPr>
        <w:pStyle w:val="Heading2"/>
        <w:pBdr>
          <w:bottom w:val="single" w:color="185FA5" w:sz="6" w:space="4"/>
        </w:pBdr>
        <w:spacing w:before="280" w:after="100"/>
      </w:pPr>
      <w:r>
        <w:rPr>
          <w:rFonts w:ascii="Arial" w:cs="Arial" w:eastAsia="Arial" w:hAnsi="Arial"/>
          <w:b/>
          <w:bCs/>
          <w:color w:val="185FA5"/>
          <w:sz w:val="30"/>
          <w:szCs w:val="30"/>
        </w:rPr>
        <w:t xml:space="preserve">What the E&amp;RSC Got Right — and What It Left Unfinished</w:t>
      </w:r>
    </w:p>
    <w:p>
      <w:pPr>
        <w:spacing w:before="60" w:after="100"/>
      </w:pPr>
      <w:r>
        <w:rPr>
          <w:rFonts w:ascii="Arial" w:cs="Arial" w:eastAsia="Arial" w:hAnsi="Arial"/>
          <w:color w:val="1A1A18"/>
          <w:sz w:val="22"/>
          <w:szCs w:val="22"/>
        </w:rPr>
        <w:t xml:space="preserve">The Expenditures &amp; Revenues Study Committee (E&amp;RSC) published its 162-page final report on March 13, 2026, after a year of intensive work. It correctly diagnosed the structural deficit, identified healthcare costs and salary steps as the primary school cost drivers, and issued nine concrete conditions the schools must meet to earn override support.</w:t>
      </w:r>
    </w:p>
    <w:p>
      <w:pPr>
        <w:spacing w:before="60" w:after="100"/>
      </w:pPr>
      <w:r>
        <w:rPr>
          <w:rFonts w:ascii="Arial" w:cs="Arial" w:eastAsia="Arial" w:hAnsi="Arial"/>
          <w:color w:val="1A1A18"/>
          <w:sz w:val="22"/>
          <w:szCs w:val="22"/>
        </w:rPr>
        <w:t xml:space="preserve">But the committee was constrained. It was charged with recommending an override amount for May 2026 — not designing a 10-year fiscal reform. It explicitly noted several areas it could not fully explore, including economic development strategy, state legislative options, and the 2030 OPEB reallocation decision. Those gaps are where this proposal lives.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200"/>
              <w:left w:type="dxa" w:w="240"/>
              <w:bottom w:type="dxa" w:w="200"/>
              <w:right w:type="dxa" w:w="240"/>
            </w:tcMar>
          </w:tcPr>
          <w:p>
            <w:pPr>
              <w:spacing w:before="0" w:after="60"/>
            </w:pPr>
            <w:r>
              <w:rPr>
                <w:rFonts w:ascii="Arial" w:cs="Arial" w:eastAsia="Arial" w:hAnsi="Arial"/>
                <w:b/>
                <w:bCs/>
                <w:color w:val="185FA5"/>
                <w:spacing w:val="120"/>
                <w:sz w:val="18"/>
                <w:szCs w:val="18"/>
              </w:rPr>
              <w:t xml:space="preserve">BRANCH 1</w:t>
            </w:r>
          </w:p>
          <w:p>
            <w:pPr>
              <w:spacing w:before="0" w:after="80"/>
            </w:pPr>
            <w:r>
              <w:rPr>
                <w:rFonts w:ascii="Arial" w:cs="Arial" w:eastAsia="Arial" w:hAnsi="Arial"/>
                <w:b/>
                <w:bCs/>
                <w:color w:val="1A1A18"/>
                <w:sz w:val="36"/>
                <w:szCs w:val="36"/>
              </w:rPr>
              <w:t xml:space="preserve">Economic Development Strategy</w:t>
            </w:r>
          </w:p>
          <w:p>
            <w:pPr>
              <w:spacing w:before="0" w:after="100"/>
            </w:pPr>
            <w:r>
              <w:rPr>
                <w:rFonts w:ascii="Arial" w:cs="Arial" w:eastAsia="Arial" w:hAnsi="Arial"/>
                <w:color w:val="555550"/>
                <w:sz w:val="22"/>
                <w:szCs w:val="22"/>
              </w:rPr>
              <w:t xml:space="preserve">Growing the tax base permanently — so residents don't have to keep making up the difference</w:t>
            </w:r>
          </w:p>
          <w:p>
            <w:pPr>
              <w:spacing w:before="0" w:after="0"/>
            </w:pPr>
            <w:r>
              <w:rPr>
                <w:rFonts w:ascii="Arial" w:cs="Arial" w:eastAsia="Arial" w:hAnsi="Arial"/>
                <w:b/>
                <w:bCs/>
                <w:color w:val="185FA5"/>
                <w:sz w:val="20"/>
                <w:szCs w:val="20"/>
              </w:rPr>
              <w:t xml:space="preserve">Estimated impact: $5–15M per year (5–10 year horizon)</w:t>
            </w:r>
          </w:p>
        </w:tc>
      </w:tr>
    </w:tbl>
    <w:p>
      <w:pPr>
        <w:spacing w:before="40" w:after="40"/>
      </w:pPr>
      <w:r>
        <w:t xml:space="preserve"/>
      </w:r>
    </w:p>
    <w:p>
      <w:pPr>
        <w:pStyle w:val="Heading2"/>
        <w:pBdr>
          <w:bottom w:val="single" w:color="185FA5" w:sz="6" w:space="4"/>
        </w:pBdr>
        <w:spacing w:before="280" w:after="100"/>
      </w:pPr>
      <w:r>
        <w:rPr>
          <w:rFonts w:ascii="Arial" w:cs="Arial" w:eastAsia="Arial" w:hAnsi="Arial"/>
          <w:b/>
          <w:bCs/>
          <w:color w:val="185FA5"/>
          <w:sz w:val="30"/>
          <w:szCs w:val="30"/>
        </w:rPr>
        <w:t xml:space="preserve">The Opportunity</w:t>
      </w:r>
    </w:p>
    <w:p>
      <w:pPr>
        <w:spacing w:before="60" w:after="100"/>
      </w:pPr>
      <w:r>
        <w:rPr>
          <w:rFonts w:ascii="Arial" w:cs="Arial" w:eastAsia="Arial" w:hAnsi="Arial"/>
          <w:color w:val="1A1A18"/>
          <w:sz w:val="22"/>
          <w:szCs w:val="22"/>
        </w:rPr>
        <w:t xml:space="preserve">Commercial property in Brookline is taxed at up to 175% of the residential rate. New commercial development generates tax revenue without adding school-age children or proportional demand for town services. It is the single most powerful lever a municipality has for long-term fiscal relief — and Brookline has dramatically underperformed its potential for decades.</w:t>
      </w:r>
    </w:p>
    <w:p>
      <w:pPr>
        <w:spacing w:before="60" w:after="100"/>
      </w:pPr>
      <w:r>
        <w:rPr>
          <w:rFonts w:ascii="Arial" w:cs="Arial" w:eastAsia="Arial" w:hAnsi="Arial"/>
          <w:color w:val="1A1A18"/>
          <w:sz w:val="22"/>
          <w:szCs w:val="22"/>
        </w:rPr>
        <w:t xml:space="preserve">The E&amp;RSC's Future Subcommittee noted that the Chestnut Hill Commercial Area (CHCA) project alone, when fully built out and stabilized (estimated 7+ years), could generate approximately $5.6M per year in net new tax revenue — roughly equal to the entire FY27 Town override request. And that is one project. A systematic strategy across the town's developable commercial sites could be transformative.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200"/>
              <w:bottom w:type="dxa" w:w="120"/>
              <w:right w:type="dxa" w:w="180"/>
            </w:tcMar>
          </w:tcPr>
          <w:p>
            <w:pPr>
              <w:spacing w:before="40" w:after="60"/>
            </w:pPr>
            <w:r>
              <w:rPr>
                <w:rFonts w:ascii="Arial" w:cs="Arial" w:eastAsia="Arial" w:hAnsi="Arial"/>
                <w:b/>
                <w:bCs/>
                <w:color w:val="042C53"/>
                <w:sz w:val="20"/>
                <w:szCs w:val="20"/>
              </w:rPr>
              <w:t xml:space="preserve">Why Brookline has underperformed</w:t>
            </w:r>
          </w:p>
          <w:p>
            <w:pPr>
              <w:pStyle w:val="ListParagraph"/>
              <w:numPr>
                <w:ilvl w:val="0"/>
                <w:numId w:val="2"/>
              </w:numPr>
              <w:spacing w:before="40" w:after="40"/>
            </w:pPr>
            <w:r>
              <w:rPr>
                <w:rFonts w:ascii="Arial" w:cs="Arial" w:eastAsia="Arial" w:hAnsi="Arial"/>
                <w:color w:val="1A1A18"/>
                <w:sz w:val="22"/>
                <w:szCs w:val="22"/>
              </w:rPr>
              <w:t xml:space="preserve">Zoning code dating to 1920 with floor-area ratios as low as 0.5 — effectively locking single-story 'taxpayer' buildings in place along major commercial streets</w:t>
            </w:r>
          </w:p>
          <w:p>
            <w:pPr>
              <w:pStyle w:val="ListParagraph"/>
              <w:numPr>
                <w:ilvl w:val="0"/>
                <w:numId w:val="2"/>
              </w:numPr>
              <w:spacing w:before="40" w:after="40"/>
            </w:pPr>
            <w:r>
              <w:rPr>
                <w:rFonts w:ascii="Arial" w:cs="Arial" w:eastAsia="Arial" w:hAnsi="Arial"/>
                <w:color w:val="1A1A18"/>
                <w:sz w:val="22"/>
                <w:szCs w:val="22"/>
              </w:rPr>
              <w:t xml:space="preserve">All large-scale development requires a bespoke zoning overlay process averaging 2+ years and requiring a two-thirds Town Meeting vote — deterring most developers</w:t>
            </w:r>
          </w:p>
          <w:p>
            <w:pPr>
              <w:pStyle w:val="ListParagraph"/>
              <w:numPr>
                <w:ilvl w:val="0"/>
                <w:numId w:val="2"/>
              </w:numPr>
              <w:spacing w:before="40" w:after="40"/>
            </w:pPr>
            <w:r>
              <w:rPr>
                <w:rFonts w:ascii="Arial" w:cs="Arial" w:eastAsia="Arial" w:hAnsi="Arial"/>
                <w:color w:val="1A1A18"/>
                <w:sz w:val="22"/>
                <w:szCs w:val="22"/>
              </w:rPr>
              <w:t xml:space="preserve">No proactive economic development strategy; the town is consistently reactive</w:t>
            </w:r>
          </w:p>
          <w:p>
            <w:pPr>
              <w:pStyle w:val="ListParagraph"/>
              <w:numPr>
                <w:ilvl w:val="0"/>
                <w:numId w:val="2"/>
              </w:numPr>
              <w:spacing w:before="40" w:after="40"/>
            </w:pPr>
            <w:r>
              <w:rPr>
                <w:rFonts w:ascii="Arial" w:cs="Arial" w:eastAsia="Arial" w:hAnsi="Arial"/>
                <w:color w:val="1A1A18"/>
                <w:sz w:val="22"/>
                <w:szCs w:val="22"/>
              </w:rPr>
              <w:t xml:space="preserve">Economic Development function under-resourced and organizationally buried</w:t>
            </w:r>
          </w:p>
          <w:p>
            <w:pPr>
              <w:pStyle w:val="ListParagraph"/>
              <w:numPr>
                <w:ilvl w:val="0"/>
                <w:numId w:val="2"/>
              </w:numPr>
              <w:spacing w:before="40" w:after="40"/>
            </w:pPr>
            <w:r>
              <w:rPr>
                <w:rFonts w:ascii="Arial" w:cs="Arial" w:eastAsia="Arial" w:hAnsi="Arial"/>
                <w:color w:val="1A1A18"/>
                <w:sz w:val="22"/>
                <w:szCs w:val="22"/>
              </w:rPr>
              <w:t xml:space="preserve">Comprehensive Plan process has 'frozen' zoning reform for 18+ months</w:t>
            </w:r>
          </w:p>
          <w:p>
            <w:pPr>
              <w:pStyle w:val="ListParagraph"/>
              <w:numPr>
                <w:ilvl w:val="0"/>
                <w:numId w:val="2"/>
              </w:numPr>
              <w:spacing w:before="40" w:after="40"/>
            </w:pPr>
            <w:r>
              <w:rPr>
                <w:rFonts w:ascii="Arial" w:cs="Arial" w:eastAsia="Arial" w:hAnsi="Arial"/>
                <w:color w:val="1A1A18"/>
                <w:sz w:val="22"/>
                <w:szCs w:val="22"/>
              </w:rPr>
              <w:t xml:space="preserve">No dedicated Select Board member with economic development as primary responsibility</w:t>
            </w:r>
          </w:p>
        </w:tc>
      </w:tr>
    </w:tbl>
    <w:p>
      <w:pPr>
        <w:spacing w:before="40" w:after="40"/>
      </w:pPr>
      <w:r>
        <w:t xml:space="preserve"/>
      </w:r>
    </w:p>
    <w:p>
      <w:pPr>
        <w:pStyle w:val="Heading2"/>
        <w:pBdr>
          <w:bottom w:val="single" w:color="185FA5" w:sz="6" w:space="4"/>
        </w:pBdr>
        <w:spacing w:before="280" w:after="100"/>
      </w:pPr>
      <w:r>
        <w:rPr>
          <w:rFonts w:ascii="Arial" w:cs="Arial" w:eastAsia="Arial" w:hAnsi="Arial"/>
          <w:b/>
          <w:bCs/>
          <w:color w:val="185FA5"/>
          <w:sz w:val="30"/>
          <w:szCs w:val="30"/>
        </w:rPr>
        <w:t xml:space="preserve">The Six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2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What We Need to Build</w:t>
            </w:r>
          </w:p>
        </w:tc>
        <w:tc>
          <w:tcPr>
            <w:tcW w:type="dxa" w:w="296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Key Data Sources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Site inventory &amp; pipeline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Map every developable commercial parcel. Apply the RKG Fiscal Impact Model to estimate net new revenue per site. Build a prioritized 10-year pipeline.</w:t>
            </w:r>
          </w:p>
        </w:tc>
        <w:tc>
          <w:tcPr>
            <w:tcW w:type="dxa" w:w="2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Brookline Assessor parcel data; RKG model (already exists); EDAB Development Scorecard</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Zoning reform roadmap</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Identify specific changes (FAR increases, by-right development, permit streamlining) that unlock the top 10 sites. Model revenue impact per change.</w:t>
            </w:r>
          </w:p>
        </w:tc>
        <w:tc>
          <w:tcPr>
            <w:tcW w:type="dxa" w:w="2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Brookline Zoning By-Law; comparable community zoning codes (Newton, Cambridge, Somerville)</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PILOT program</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Catalog non-profit landholders (hospitals, universities, religious institutions). Design a structured PILOT with incentives and consequences. Estimate recoverable revenue.</w:t>
            </w:r>
          </w:p>
        </w:tc>
        <w:tc>
          <w:tcPr>
            <w:tcW w:type="dxa" w:w="2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Assessor non-profit exemption list; MA GL c.59 PILOT framework; existing Brookline PILOT agreements</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Asset monetization</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Audit underutilized town assets: parking lots, golf course, school buildings off-hours, rooftops. Model lease/concession/partnership revenue.</w:t>
            </w:r>
          </w:p>
        </w:tc>
        <w:tc>
          <w:tcPr>
            <w:tcW w:type="dxa" w:w="2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DPW inventory; Recreation Dept financials; school facilities data; comparable golf course and parking revenues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OOD SpEd expansion</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PSB has specialized programs worth $67K–$110K/student/year to other districts. Model revenue from systematic out-of-district enrollment given facility capacity.</w:t>
            </w:r>
          </w:p>
        </w:tc>
        <w:tc>
          <w:tcPr>
            <w:tcW w:type="dxa" w:w="2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PSB FY27 budget; DESE SpEd tuition tables; existing OOD program enrollment data</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Governance &amp; staffing</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Propose concrete org structure: dedicated SB econ dev lead, elevated planning division reporting to Town Administrator, reformed EDAB role.</w:t>
            </w:r>
          </w:p>
        </w:tc>
        <w:tc>
          <w:tcPr>
            <w:tcW w:type="dxa" w:w="2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E&amp;RSC recommendations; comparable community org charts; current Brookline Planning Dept structure</w:t>
            </w:r>
          </w:p>
        </w:tc>
      </w:tr>
    </w:tbl>
    <w:p>
      <w:pPr>
        <w:spacing w:before="40" w:after="40"/>
      </w:pPr>
      <w:r>
        <w:t xml:space="preserve"/>
      </w:r>
    </w:p>
    <w:p>
      <w:pPr>
        <w:pStyle w:val="Heading2"/>
        <w:pBdr>
          <w:bottom w:val="single" w:color="185FA5" w:sz="6" w:space="4"/>
        </w:pBdr>
        <w:spacing w:before="280" w:after="100"/>
      </w:pPr>
      <w:r>
        <w:rPr>
          <w:rFonts w:ascii="Arial" w:cs="Arial" w:eastAsia="Arial" w:hAnsi="Arial"/>
          <w:b/>
          <w:bCs/>
          <w:color w:val="185FA5"/>
          <w:sz w:val="30"/>
          <w:szCs w:val="30"/>
        </w:rPr>
        <w:t xml:space="preserve">Revenue Impact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600"/>
        <w:gridCol w:w="1360"/>
      </w:tblGrid>
      <w:tr>
        <w:tc>
          <w:tcPr>
            <w:tcW w:type="dxa" w:w="2800"/>
            <w:tcBorders>
              <w:top w:val="single" w:color="D3D1C7" w:sz="1"/>
              <w:left w:val="single" w:color="D3D1C7" w:sz="1"/>
              <w:bottom w:val="single" w:color="D3D1C7" w:sz="1"/>
              <w:right w:val="single" w:color="D3D1C7" w:sz="1"/>
            </w:tcBorders>
            <w:shd w:fill="185FA5" w:val="clear"/>
            <w:tcMar>
              <w:top w:type="dxa" w:w="80"/>
              <w:left w:type="dxa" w:w="100"/>
              <w:bottom w:type="dxa" w:w="80"/>
              <w:right w:type="dxa" w:w="100"/>
            </w:tcMar>
          </w:tcPr>
          <w:p>
            <w:r>
              <w:rPr>
                <w:rFonts w:ascii="Arial" w:cs="Arial" w:eastAsia="Arial" w:hAnsi="Arial"/>
                <w:b/>
                <w:bCs/>
                <w:color w:val="FFFFFF"/>
                <w:sz w:val="19"/>
                <w:szCs w:val="19"/>
              </w:rPr>
              <w:t xml:space="preserve">Initiative</w:t>
            </w:r>
          </w:p>
        </w:tc>
        <w:tc>
          <w:tcPr>
            <w:tcW w:type="dxa" w:w="1800"/>
            <w:tcBorders>
              <w:top w:val="single" w:color="D3D1C7" w:sz="1"/>
              <w:left w:val="single" w:color="D3D1C7" w:sz="1"/>
              <w:bottom w:val="single" w:color="D3D1C7" w:sz="1"/>
              <w:right w:val="single" w:color="D3D1C7" w:sz="1"/>
            </w:tcBorders>
            <w:shd w:fill="185FA5" w:val="clear"/>
            <w:tcMar>
              <w:top w:type="dxa" w:w="80"/>
              <w:left w:type="dxa" w:w="100"/>
              <w:bottom w:type="dxa" w:w="80"/>
              <w:right w:type="dxa" w:w="100"/>
            </w:tcMar>
          </w:tcPr>
          <w:p>
            <w:r>
              <w:rPr>
                <w:rFonts w:ascii="Arial" w:cs="Arial" w:eastAsia="Arial" w:hAnsi="Arial"/>
                <w:b/>
                <w:bCs/>
                <w:color w:val="FFFFFF"/>
                <w:sz w:val="19"/>
                <w:szCs w:val="19"/>
              </w:rPr>
              <w:t xml:space="preserve">Annual Impact</w:t>
            </w:r>
          </w:p>
        </w:tc>
        <w:tc>
          <w:tcPr>
            <w:tcW w:type="dxa" w:w="1800"/>
            <w:tcBorders>
              <w:top w:val="single" w:color="D3D1C7" w:sz="1"/>
              <w:left w:val="single" w:color="D3D1C7" w:sz="1"/>
              <w:bottom w:val="single" w:color="D3D1C7" w:sz="1"/>
              <w:right w:val="single" w:color="D3D1C7" w:sz="1"/>
            </w:tcBorders>
            <w:shd w:fill="185FA5" w:val="clear"/>
            <w:tcMar>
              <w:top w:type="dxa" w:w="80"/>
              <w:left w:type="dxa" w:w="100"/>
              <w:bottom w:type="dxa" w:w="80"/>
              <w:right w:type="dxa" w:w="100"/>
            </w:tcMar>
          </w:tcPr>
          <w:p>
            <w:r>
              <w:rPr>
                <w:rFonts w:ascii="Arial" w:cs="Arial" w:eastAsia="Arial" w:hAnsi="Arial"/>
                <w:b/>
                <w:bCs/>
                <w:color w:val="FFFFFF"/>
                <w:sz w:val="19"/>
                <w:szCs w:val="19"/>
              </w:rPr>
              <w:t xml:space="preserve">Timeline</w:t>
            </w:r>
          </w:p>
        </w:tc>
        <w:tc>
          <w:tcPr>
            <w:tcW w:type="dxa" w:w="1600"/>
            <w:tcBorders>
              <w:top w:val="single" w:color="D3D1C7" w:sz="1"/>
              <w:left w:val="single" w:color="D3D1C7" w:sz="1"/>
              <w:bottom w:val="single" w:color="D3D1C7" w:sz="1"/>
              <w:right w:val="single" w:color="D3D1C7" w:sz="1"/>
            </w:tcBorders>
            <w:shd w:fill="185FA5" w:val="clear"/>
            <w:tcMar>
              <w:top w:type="dxa" w:w="80"/>
              <w:left w:type="dxa" w:w="100"/>
              <w:bottom w:type="dxa" w:w="80"/>
              <w:right w:type="dxa" w:w="100"/>
            </w:tcMar>
          </w:tcPr>
          <w:p>
            <w:r>
              <w:rPr>
                <w:rFonts w:ascii="Arial" w:cs="Arial" w:eastAsia="Arial" w:hAnsi="Arial"/>
                <w:b/>
                <w:bCs/>
                <w:color w:val="FFFFFF"/>
                <w:sz w:val="19"/>
                <w:szCs w:val="19"/>
              </w:rPr>
              <w:t xml:space="preserve">Certainty</w:t>
            </w:r>
          </w:p>
        </w:tc>
        <w:tc>
          <w:tcPr>
            <w:tcW w:type="dxa" w:w="1360"/>
            <w:tcBorders>
              <w:top w:val="single" w:color="D3D1C7" w:sz="1"/>
              <w:left w:val="single" w:color="D3D1C7" w:sz="1"/>
              <w:bottom w:val="single" w:color="D3D1C7" w:sz="1"/>
              <w:right w:val="single" w:color="D3D1C7" w:sz="1"/>
            </w:tcBorders>
            <w:shd w:fill="185FA5" w:val="clear"/>
            <w:tcMar>
              <w:top w:type="dxa" w:w="80"/>
              <w:left w:type="dxa" w:w="100"/>
              <w:bottom w:type="dxa" w:w="80"/>
              <w:right w:type="dxa" w:w="100"/>
            </w:tcMar>
          </w:tcPr>
          <w:p>
            <w:r>
              <w:rPr>
                <w:rFonts w:ascii="Arial" w:cs="Arial" w:eastAsia="Arial" w:hAnsi="Arial"/>
                <w:b/>
                <w:bCs/>
                <w:color w:val="FFFFFF"/>
                <w:sz w:val="19"/>
                <w:szCs w:val="19"/>
              </w:rPr>
              <w:t xml:space="preserve">Dependency</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CHCA (Chestnut Hill Commercial Area)</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$5.6M/yr at stabilization</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7–10 years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Medium-High</w:t>
            </w:r>
          </w:p>
        </w:tc>
        <w:tc>
          <w:tcPr>
            <w:tcW w:type="dxa" w:w="13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Town Meeting vote May 2026</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Waldo-Durgin redevelopment</w:t>
            </w:r>
          </w:p>
        </w:tc>
        <w:tc>
          <w:tcPr>
            <w:tcW w:type="dxa" w:w="1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$2–3M/yr (est.)</w:t>
            </w:r>
          </w:p>
        </w:tc>
        <w:tc>
          <w:tcPr>
            <w:tcW w:type="dxa" w:w="1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6–8 years</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Medium</w:t>
            </w:r>
          </w:p>
        </w:tc>
        <w:tc>
          <w:tcPr>
            <w:tcW w:type="dxa" w:w="13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Developer timeline uncertain</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Harvard St. MBTA corridor (mixed-use)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$1–3M/yr (est.)</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5–8 years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Medium</w:t>
            </w:r>
          </w:p>
        </w:tc>
        <w:tc>
          <w:tcPr>
            <w:tcW w:type="dxa" w:w="13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Zoning passed; feasibility uncertain</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PILOT program expansion</w:t>
            </w:r>
          </w:p>
        </w:tc>
        <w:tc>
          <w:tcPr>
            <w:tcW w:type="dxa" w:w="1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$1–2M/yr</w:t>
            </w:r>
          </w:p>
        </w:tc>
        <w:tc>
          <w:tcPr>
            <w:tcW w:type="dxa" w:w="1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2–3 years</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Medium</w:t>
            </w:r>
          </w:p>
        </w:tc>
        <w:tc>
          <w:tcPr>
            <w:tcW w:type="dxa" w:w="13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Select Board action</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Asset monetization (parking, golf, etc.)</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$0.5–1.5M/yr</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1–2 years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Medium-High</w:t>
            </w:r>
          </w:p>
        </w:tc>
        <w:tc>
          <w:tcPr>
            <w:tcW w:type="dxa" w:w="13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DPW + Recreation coordination</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OOD SpEd tuition revenue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$1–3M/yr</w:t>
            </w:r>
          </w:p>
        </w:tc>
        <w:tc>
          <w:tcPr>
            <w:tcW w:type="dxa" w:w="1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2–4 years</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High</w:t>
            </w:r>
          </w:p>
        </w:tc>
        <w:tc>
          <w:tcPr>
            <w:tcW w:type="dxa" w:w="13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PSB capacity + program design</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Zoning reform (future sites)</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$3–5M/yr (long-term)</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10+ years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Low-Medium</w:t>
            </w:r>
          </w:p>
        </w:tc>
        <w:tc>
          <w:tcPr>
            <w:tcW w:type="dxa" w:w="13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Comprehensive Plan + TM votes</w:t>
            </w:r>
          </w:p>
        </w:tc>
      </w:tr>
    </w:tbl>
    <w:p>
      <w:pPr>
        <w:pStyle w:val="Heading2"/>
        <w:pBdr>
          <w:bottom w:val="single" w:color="185FA5" w:sz="6" w:space="4"/>
        </w:pBdr>
        <w:spacing w:before="280" w:after="100"/>
      </w:pPr>
      <w:r>
        <w:rPr>
          <w:rFonts w:ascii="Arial" w:cs="Arial" w:eastAsia="Arial" w:hAnsi="Arial"/>
          <w:b/>
          <w:bCs/>
          <w:color w:val="185FA5"/>
          <w:sz w:val="30"/>
          <w:szCs w:val="30"/>
        </w:rPr>
        <w:t xml:space="preserve">Key Questions to Answer in Research Phase</w:t>
      </w:r>
    </w:p>
    <w:p>
      <w:pPr>
        <w:pStyle w:val="ListParagraph"/>
        <w:numPr>
          <w:ilvl w:val="0"/>
          <w:numId w:val="3"/>
        </w:numPr>
        <w:spacing w:before="40" w:after="40"/>
      </w:pPr>
      <w:r>
        <w:rPr>
          <w:rFonts w:ascii="Arial" w:cs="Arial" w:eastAsia="Arial" w:hAnsi="Arial"/>
          <w:color w:val="1A1A18"/>
          <w:sz w:val="22"/>
          <w:szCs w:val="22"/>
        </w:rPr>
        <w:t xml:space="preserve">What is Brookline's current commercial assessed value as a percentage of total assessed value, and how does this compare to Newton, Wellesley, and Lexington?</w:t>
      </w:r>
    </w:p>
    <w:p>
      <w:pPr>
        <w:pStyle w:val="ListParagraph"/>
        <w:numPr>
          <w:ilvl w:val="0"/>
          <w:numId w:val="3"/>
        </w:numPr>
        <w:spacing w:before="40" w:after="40"/>
      </w:pPr>
      <w:r>
        <w:rPr>
          <w:rFonts w:ascii="Arial" w:cs="Arial" w:eastAsia="Arial" w:hAnsi="Arial"/>
          <w:color w:val="1A1A18"/>
          <w:sz w:val="22"/>
          <w:szCs w:val="22"/>
        </w:rPr>
        <w:t xml:space="preserve">Which specific parcels represent the highest-value near-term development opportunities, and what zoning changes does each require?</w:t>
      </w:r>
    </w:p>
    <w:p>
      <w:pPr>
        <w:pStyle w:val="ListParagraph"/>
        <w:numPr>
          <w:ilvl w:val="0"/>
          <w:numId w:val="3"/>
        </w:numPr>
        <w:spacing w:before="40" w:after="40"/>
      </w:pPr>
      <w:r>
        <w:rPr>
          <w:rFonts w:ascii="Arial" w:cs="Arial" w:eastAsia="Arial" w:hAnsi="Arial"/>
          <w:color w:val="1A1A18"/>
          <w:sz w:val="22"/>
          <w:szCs w:val="22"/>
        </w:rPr>
        <w:t xml:space="preserve">What is the realistic capacity of PSB's specialized SpEd programs to absorb out-of-district students without compromising service quality?</w:t>
      </w:r>
    </w:p>
    <w:p>
      <w:pPr>
        <w:pStyle w:val="ListParagraph"/>
        <w:numPr>
          <w:ilvl w:val="0"/>
          <w:numId w:val="3"/>
        </w:numPr>
        <w:spacing w:before="40" w:after="40"/>
      </w:pPr>
      <w:r>
        <w:rPr>
          <w:rFonts w:ascii="Arial" w:cs="Arial" w:eastAsia="Arial" w:hAnsi="Arial"/>
          <w:color w:val="1A1A18"/>
          <w:sz w:val="22"/>
          <w:szCs w:val="22"/>
        </w:rPr>
        <w:t xml:space="preserve">What is the full inventory of non-profit-held real property in Brookline, and what would fair PILOTs look like for the top 20 holders?</w:t>
      </w:r>
    </w:p>
    <w:p>
      <w:pPr>
        <w:pStyle w:val="ListParagraph"/>
        <w:numPr>
          <w:ilvl w:val="0"/>
          <w:numId w:val="3"/>
        </w:numPr>
        <w:spacing w:before="40" w:after="40"/>
      </w:pPr>
      <w:r>
        <w:rPr>
          <w:rFonts w:ascii="Arial" w:cs="Arial" w:eastAsia="Arial" w:hAnsi="Arial"/>
          <w:color w:val="1A1A18"/>
          <w:sz w:val="22"/>
          <w:szCs w:val="22"/>
        </w:rPr>
        <w:t xml:space="preserve">What have Cambridge and Somerville done with as-of-right zoning that Brookline could replicate, and what was the revenue impact?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E7" w:val="clear"/>
            <w:tcMar>
              <w:top w:type="dxa" w:w="200"/>
              <w:left w:type="dxa" w:w="240"/>
              <w:bottom w:type="dxa" w:w="200"/>
              <w:right w:type="dxa" w:w="240"/>
            </w:tcMar>
          </w:tcPr>
          <w:p>
            <w:pPr>
              <w:spacing w:before="0" w:after="60"/>
            </w:pPr>
            <w:r>
              <w:rPr>
                <w:rFonts w:ascii="Arial" w:cs="Arial" w:eastAsia="Arial" w:hAnsi="Arial"/>
                <w:b/>
                <w:bCs/>
                <w:color w:val="0F6E56"/>
                <w:spacing w:val="120"/>
                <w:sz w:val="18"/>
                <w:szCs w:val="18"/>
              </w:rPr>
              <w:t xml:space="preserve">BRANCH 2</w:t>
            </w:r>
          </w:p>
          <w:p>
            <w:pPr>
              <w:spacing w:before="0" w:after="80"/>
            </w:pPr>
            <w:r>
              <w:rPr>
                <w:rFonts w:ascii="Arial" w:cs="Arial" w:eastAsia="Arial" w:hAnsi="Arial"/>
                <w:b/>
                <w:bCs/>
                <w:color w:val="1A1A18"/>
                <w:sz w:val="36"/>
                <w:szCs w:val="36"/>
              </w:rPr>
              <w:t xml:space="preserve">State Legislative &amp; METCO Strategy</w:t>
            </w:r>
          </w:p>
          <w:p>
            <w:pPr>
              <w:spacing w:before="0" w:after="100"/>
            </w:pPr>
            <w:r>
              <w:rPr>
                <w:rFonts w:ascii="Arial" w:cs="Arial" w:eastAsia="Arial" w:hAnsi="Arial"/>
                <w:color w:val="555550"/>
                <w:sz w:val="22"/>
                <w:szCs w:val="22"/>
              </w:rPr>
              <w:t xml:space="preserve">Recovering what Brookline is owed — and changing the rules that constrain it</w:t>
            </w:r>
          </w:p>
          <w:p>
            <w:pPr>
              <w:spacing w:before="0" w:after="0"/>
            </w:pPr>
            <w:r>
              <w:rPr>
                <w:rFonts w:ascii="Arial" w:cs="Arial" w:eastAsia="Arial" w:hAnsi="Arial"/>
                <w:b/>
                <w:bCs/>
                <w:color w:val="0F6E56"/>
                <w:sz w:val="20"/>
                <w:szCs w:val="20"/>
              </w:rPr>
              <w:t xml:space="preserve">Estimated impact: $4–8M per year (2–6 year horizon, pending legislation)</w:t>
            </w:r>
          </w:p>
        </w:tc>
      </w:tr>
    </w:tbl>
    <w:p>
      <w:pPr>
        <w:spacing w:before="40" w:after="40"/>
      </w:pPr>
      <w:r>
        <w:t xml:space="preserve"/>
      </w:r>
    </w:p>
    <w:p>
      <w:pPr>
        <w:pStyle w:val="Heading2"/>
        <w:pBdr>
          <w:bottom w:val="single" w:color="0F6E56" w:sz="6" w:space="4"/>
        </w:pBdr>
        <w:spacing w:before="280" w:after="100"/>
      </w:pPr>
      <w:r>
        <w:rPr>
          <w:rFonts w:ascii="Arial" w:cs="Arial" w:eastAsia="Arial" w:hAnsi="Arial"/>
          <w:b/>
          <w:bCs/>
          <w:color w:val="0F6E56"/>
          <w:sz w:val="30"/>
          <w:szCs w:val="30"/>
        </w:rPr>
        <w:t xml:space="preserve">The Opportunity</w:t>
      </w:r>
    </w:p>
    <w:p>
      <w:pPr>
        <w:spacing w:before="60" w:after="100"/>
      </w:pPr>
      <w:r>
        <w:rPr>
          <w:rFonts w:ascii="Arial" w:cs="Arial" w:eastAsia="Arial" w:hAnsi="Arial"/>
          <w:color w:val="1A1A18"/>
          <w:sz w:val="22"/>
          <w:szCs w:val="22"/>
        </w:rPr>
        <w:t xml:space="preserve">Brookline participates in the METCO program, receiving students from Boston and other urban communities into its public schools. This is a mission Brookline is proud of. But there is a serious, unaddressed inequity embedded in the program: when non-resident students (METCO and Materials Fee) require special education services, Brookline bears the full cost — approximately $28,000 per student per year in direct costs — with zero reimbursement from the student's home district or from the State.</w:t>
      </w:r>
    </w:p>
    <w:p>
      <w:pPr>
        <w:spacing w:before="60" w:after="100"/>
      </w:pPr>
      <w:r>
        <w:rPr>
          <w:rFonts w:ascii="Arial" w:cs="Arial" w:eastAsia="Arial" w:hAnsi="Arial"/>
          <w:color w:val="1A1A18"/>
          <w:sz w:val="22"/>
          <w:szCs w:val="22"/>
        </w:rPr>
        <w:t xml:space="preserve">The E&amp;RSC identified 144 non-resident students currently receiving SpEd services in Brookline schools. At $28,000 per student, this represents approximately $4M per year in unreimbursed costs Brookline is effectively subsidizing for other municipalities. Newton, Wellesley, and Lexington face the exact same problem. Together, these four communities have a compelling, data-backed case to bring to the State House.</w:t>
      </w:r>
    </w:p>
    <w:p>
      <w:pPr>
        <w:spacing w:before="60" w:after="100"/>
      </w:pPr>
      <w:r>
        <w:rPr>
          <w:rFonts w:ascii="Arial" w:cs="Arial" w:eastAsia="Arial" w:hAnsi="Arial"/>
          <w:color w:val="1A1A18"/>
          <w:sz w:val="22"/>
          <w:szCs w:val="22"/>
        </w:rPr>
        <w:t xml:space="preserve">Beyond METCO, Branch 2 examines the full landscape of state legislative opportunities: Chapter 70 education aid reform, Proposition 2½ modernization, and new local option revenue tools that could provide Brookline fiscal flexibility without relying on property tax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E7" w:val="clear"/>
            <w:tcMar>
              <w:top w:type="dxa" w:w="120"/>
              <w:left w:type="dxa" w:w="200"/>
              <w:bottom w:type="dxa" w:w="120"/>
              <w:right w:type="dxa" w:w="180"/>
            </w:tcMar>
          </w:tcPr>
          <w:p>
            <w:pPr>
              <w:spacing w:before="40" w:after="60"/>
            </w:pPr>
            <w:r>
              <w:rPr>
                <w:rFonts w:ascii="Arial" w:cs="Arial" w:eastAsia="Arial" w:hAnsi="Arial"/>
                <w:b/>
                <w:bCs/>
                <w:color w:val="04342C"/>
                <w:sz w:val="20"/>
                <w:szCs w:val="20"/>
              </w:rPr>
              <w:t xml:space="preserve">The METCO SpEd cost problem — in numbers</w:t>
            </w:r>
          </w:p>
          <w:p>
            <w:pPr>
              <w:pStyle w:val="ListParagraph"/>
              <w:numPr>
                <w:ilvl w:val="0"/>
                <w:numId w:val="2"/>
              </w:numPr>
              <w:spacing w:before="40" w:after="40"/>
            </w:pPr>
            <w:r>
              <w:rPr>
                <w:rFonts w:ascii="Arial" w:cs="Arial" w:eastAsia="Arial" w:hAnsi="Arial"/>
                <w:color w:val="1A1A18"/>
                <w:sz w:val="22"/>
                <w:szCs w:val="22"/>
              </w:rPr>
              <w:t xml:space="preserve">Non-resident students receiving SpEd: ~144 (METCO + Materials Fee combined)</w:t>
            </w:r>
          </w:p>
          <w:p>
            <w:pPr>
              <w:pStyle w:val="ListParagraph"/>
              <w:numPr>
                <w:ilvl w:val="0"/>
                <w:numId w:val="2"/>
              </w:numPr>
              <w:spacing w:before="40" w:after="40"/>
            </w:pPr>
            <w:r>
              <w:rPr>
                <w:rFonts w:ascii="Arial" w:cs="Arial" w:eastAsia="Arial" w:hAnsi="Arial"/>
                <w:color w:val="1A1A18"/>
                <w:sz w:val="22"/>
                <w:szCs w:val="22"/>
              </w:rPr>
              <w:t xml:space="preserve">Direct per-student SpEd cost: ~$28,000/year (FY24 figures; likely higher in FY26)</w:t>
            </w:r>
          </w:p>
          <w:p>
            <w:pPr>
              <w:pStyle w:val="ListParagraph"/>
              <w:numPr>
                <w:ilvl w:val="0"/>
                <w:numId w:val="2"/>
              </w:numPr>
              <w:spacing w:before="40" w:after="40"/>
            </w:pPr>
            <w:r>
              <w:rPr>
                <w:rFonts w:ascii="Arial" w:cs="Arial" w:eastAsia="Arial" w:hAnsi="Arial"/>
                <w:color w:val="1A1A18"/>
                <w:sz w:val="22"/>
                <w:szCs w:val="22"/>
              </w:rPr>
              <w:t xml:space="preserve">Estimated unreimbursed annual cost: ~$4M</w:t>
            </w:r>
          </w:p>
          <w:p>
            <w:pPr>
              <w:pStyle w:val="ListParagraph"/>
              <w:numPr>
                <w:ilvl w:val="0"/>
                <w:numId w:val="2"/>
              </w:numPr>
              <w:spacing w:before="40" w:after="40"/>
            </w:pPr>
            <w:r>
              <w:rPr>
                <w:rFonts w:ascii="Arial" w:cs="Arial" w:eastAsia="Arial" w:hAnsi="Arial"/>
                <w:color w:val="1A1A18"/>
                <w:sz w:val="22"/>
                <w:szCs w:val="22"/>
              </w:rPr>
              <w:t xml:space="preserve">State reimbursement for METCO SpEd: $0</w:t>
            </w:r>
          </w:p>
          <w:p>
            <w:pPr>
              <w:pStyle w:val="ListParagraph"/>
              <w:numPr>
                <w:ilvl w:val="0"/>
                <w:numId w:val="2"/>
              </w:numPr>
              <w:spacing w:before="40" w:after="40"/>
            </w:pPr>
            <w:r>
              <w:rPr>
                <w:rFonts w:ascii="Arial" w:cs="Arial" w:eastAsia="Arial" w:hAnsi="Arial"/>
                <w:color w:val="1A1A18"/>
                <w:sz w:val="22"/>
                <w:szCs w:val="22"/>
              </w:rPr>
              <w:t xml:space="preserve">Home district reimbursement: $0</w:t>
            </w:r>
          </w:p>
          <w:p>
            <w:pPr>
              <w:pStyle w:val="ListParagraph"/>
              <w:numPr>
                <w:ilvl w:val="0"/>
                <w:numId w:val="2"/>
              </w:numPr>
              <w:spacing w:before="40" w:after="40"/>
            </w:pPr>
            <w:r>
              <w:rPr>
                <w:rFonts w:ascii="Arial" w:cs="Arial" w:eastAsia="Arial" w:hAnsi="Arial"/>
                <w:color w:val="1A1A18"/>
                <w:sz w:val="22"/>
                <w:szCs w:val="22"/>
              </w:rPr>
              <w:t xml:space="preserve">Comparable Newton, Wellesley, Lexington burden: similar scale (to be quantified)</w:t>
            </w:r>
          </w:p>
          <w:p>
            <w:pPr>
              <w:pStyle w:val="ListParagraph"/>
              <w:numPr>
                <w:ilvl w:val="0"/>
                <w:numId w:val="2"/>
              </w:numPr>
              <w:spacing w:before="40" w:after="40"/>
            </w:pPr>
            <w:r>
              <w:rPr>
                <w:rFonts w:ascii="Arial" w:cs="Arial" w:eastAsia="Arial" w:hAnsi="Arial"/>
                <w:color w:val="1A1A18"/>
                <w:sz w:val="22"/>
                <w:szCs w:val="22"/>
              </w:rPr>
              <w:t xml:space="preserve">Coalition potential: 4 communities, potentially $12–16M+ combined in unreimbursed costs</w:t>
            </w:r>
          </w:p>
        </w:tc>
      </w:tr>
    </w:tbl>
    <w:p>
      <w:pPr>
        <w:spacing w:before="40" w:after="40"/>
      </w:pPr>
      <w:r>
        <w:t xml:space="preserve"/>
      </w:r>
    </w:p>
    <w:p>
      <w:pPr>
        <w:pStyle w:val="Heading2"/>
        <w:pBdr>
          <w:bottom w:val="single" w:color="0F6E56" w:sz="6" w:space="4"/>
        </w:pBdr>
        <w:spacing w:before="280" w:after="100"/>
      </w:pPr>
      <w:r>
        <w:rPr>
          <w:rFonts w:ascii="Arial" w:cs="Arial" w:eastAsia="Arial" w:hAnsi="Arial"/>
          <w:b/>
          <w:bCs/>
          <w:color w:val="0F6E56"/>
          <w:sz w:val="30"/>
          <w:szCs w:val="30"/>
        </w:rPr>
        <w:t xml:space="preserve">The Six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2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What We Need to Build</w:t>
            </w:r>
          </w:p>
        </w:tc>
        <w:tc>
          <w:tcPr>
            <w:tcW w:type="dxa" w:w="296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Key Data Sources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METCO SpEd cost quantification</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Build the rigorous evidence base: non-resident SpEd enrollment by year, per-pupil cost breakdown, total unreimbursed burden, and trend line.</w:t>
            </w:r>
          </w:p>
        </w:tc>
        <w:tc>
          <w:tcPr>
            <w:tcW w:type="dxa" w:w="2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PSB enrollment data; DESE SY24 in-district per-pupil costs; E&amp;RSC appendix data</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Coalition mapping</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Identify all METCO receiving communities, quantify their SpEd burden, and assess appetite for joint advocacy. Target Newton, Wellesley, Lexington as anchor partners.</w:t>
            </w:r>
          </w:p>
        </w:tc>
        <w:tc>
          <w:tcPr>
            <w:tcW w:type="dxa" w:w="2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DESE METCO program data; comparable district budget reports; outreach to district CFOs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Legislative strategy</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Identify the best vehicle: amendment to Education Reform Act, budget line item, or Home Rule petition. Map the State House delegation. Identify bill sponsors.</w:t>
            </w:r>
          </w:p>
        </w:tc>
        <w:tc>
          <w:tcPr>
            <w:tcW w:type="dxa" w:w="2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MA Legislature website; MMA legislative tracker; Brookline State Rep and Senator offices</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Chapter 70 reform</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Analyze whether Brookline receives its fair share of Ch. 70 education aid relative to its actual costs. Identify specific formula changes that would benefit high-cost receiving districts.</w:t>
            </w:r>
          </w:p>
        </w:tc>
        <w:tc>
          <w:tcPr>
            <w:tcW w:type="dxa" w:w="2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DESE Foundation Budget data; MA Dept of Revenue Chapter 70 calculations; MMA research</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Prop 2½ modernization</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Inventory existing legislative proposals to reform Prop 2½ (inflation indexing, healthcare carve-out, etc.). Assess political viability and Brookline's stance.</w:t>
            </w:r>
          </w:p>
        </w:tc>
        <w:tc>
          <w:tcPr>
            <w:tcW w:type="dxa" w:w="2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MA Legislature current session bills; MMA 'Weathering the Storm' report; comparable state tax limit reforms</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New local option revenue tools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Research what new revenue tools are available or could be made available to MA municipalities: transfer tax, commercial linkage fee, vacancy tax, etc.</w:t>
            </w:r>
          </w:p>
        </w:tc>
        <w:tc>
          <w:tcPr>
            <w:tcW w:type="dxa" w:w="2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MA GL Home Rule authority; Boston and Cambridge transfer tax efforts; national municipal revenue tool survey</w:t>
            </w:r>
          </w:p>
        </w:tc>
      </w:tr>
    </w:tbl>
    <w:p>
      <w:pPr>
        <w:spacing w:before="40" w:after="40"/>
      </w:pPr>
      <w:r>
        <w:t xml:space="preserve"/>
      </w:r>
    </w:p>
    <w:p>
      <w:pPr>
        <w:pStyle w:val="Heading2"/>
        <w:pBdr>
          <w:bottom w:val="single" w:color="0F6E56" w:sz="6" w:space="4"/>
        </w:pBdr>
        <w:spacing w:before="280" w:after="100"/>
      </w:pPr>
      <w:r>
        <w:rPr>
          <w:rFonts w:ascii="Arial" w:cs="Arial" w:eastAsia="Arial" w:hAnsi="Arial"/>
          <w:b/>
          <w:bCs/>
          <w:color w:val="0F6E56"/>
          <w:sz w:val="30"/>
          <w:szCs w:val="30"/>
        </w:rPr>
        <w:t xml:space="preserve">Revenue Impact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600"/>
        <w:gridCol w:w="1360"/>
      </w:tblGrid>
      <w:tr>
        <w:tc>
          <w:tcPr>
            <w:tcW w:type="dxa" w:w="2800"/>
            <w:tcBorders>
              <w:top w:val="single" w:color="D3D1C7" w:sz="1"/>
              <w:left w:val="single" w:color="D3D1C7" w:sz="1"/>
              <w:bottom w:val="single" w:color="D3D1C7" w:sz="1"/>
              <w:right w:val="single" w:color="D3D1C7" w:sz="1"/>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Initiative</w:t>
            </w:r>
          </w:p>
        </w:tc>
        <w:tc>
          <w:tcPr>
            <w:tcW w:type="dxa" w:w="1800"/>
            <w:tcBorders>
              <w:top w:val="single" w:color="D3D1C7" w:sz="1"/>
              <w:left w:val="single" w:color="D3D1C7" w:sz="1"/>
              <w:bottom w:val="single" w:color="D3D1C7" w:sz="1"/>
              <w:right w:val="single" w:color="D3D1C7" w:sz="1"/>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Annual Impact</w:t>
            </w:r>
          </w:p>
        </w:tc>
        <w:tc>
          <w:tcPr>
            <w:tcW w:type="dxa" w:w="1800"/>
            <w:tcBorders>
              <w:top w:val="single" w:color="D3D1C7" w:sz="1"/>
              <w:left w:val="single" w:color="D3D1C7" w:sz="1"/>
              <w:bottom w:val="single" w:color="D3D1C7" w:sz="1"/>
              <w:right w:val="single" w:color="D3D1C7" w:sz="1"/>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Timeline</w:t>
            </w:r>
          </w:p>
        </w:tc>
        <w:tc>
          <w:tcPr>
            <w:tcW w:type="dxa" w:w="1600"/>
            <w:tcBorders>
              <w:top w:val="single" w:color="D3D1C7" w:sz="1"/>
              <w:left w:val="single" w:color="D3D1C7" w:sz="1"/>
              <w:bottom w:val="single" w:color="D3D1C7" w:sz="1"/>
              <w:right w:val="single" w:color="D3D1C7" w:sz="1"/>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Certainty</w:t>
            </w:r>
          </w:p>
        </w:tc>
        <w:tc>
          <w:tcPr>
            <w:tcW w:type="dxa" w:w="1360"/>
            <w:tcBorders>
              <w:top w:val="single" w:color="D3D1C7" w:sz="1"/>
              <w:left w:val="single" w:color="D3D1C7" w:sz="1"/>
              <w:bottom w:val="single" w:color="D3D1C7" w:sz="1"/>
              <w:right w:val="single" w:color="D3D1C7" w:sz="1"/>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Dependency</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METCO/non-resident SpEd reimbursement (state legislation)</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$3–4M/yr</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3–6 years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Medium</w:t>
            </w:r>
          </w:p>
        </w:tc>
        <w:tc>
          <w:tcPr>
            <w:tcW w:type="dxa" w:w="13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Requires State House majority</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Chapter 70 reform (increased state education aid)</w:t>
            </w:r>
          </w:p>
        </w:tc>
        <w:tc>
          <w:tcPr>
            <w:tcW w:type="dxa" w:w="1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$1–3M/yr</w:t>
            </w:r>
          </w:p>
        </w:tc>
        <w:tc>
          <w:tcPr>
            <w:tcW w:type="dxa" w:w="1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3–5 years</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Low-Medium</w:t>
            </w:r>
          </w:p>
        </w:tc>
        <w:tc>
          <w:tcPr>
            <w:tcW w:type="dxa" w:w="13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Complex formula politics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New local option revenue tool (e.g. transfer tax)</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$2–5M/yr</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2–4 years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Medium</w:t>
            </w:r>
          </w:p>
        </w:tc>
        <w:tc>
          <w:tcPr>
            <w:tcW w:type="dxa" w:w="13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Home Rule or general law</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Prop 2½ modernization (inflation indexing)</w:t>
            </w:r>
          </w:p>
        </w:tc>
        <w:tc>
          <w:tcPr>
            <w:tcW w:type="dxa" w:w="1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$2–4M/yr ongoing</w:t>
            </w:r>
          </w:p>
        </w:tc>
        <w:tc>
          <w:tcPr>
            <w:tcW w:type="dxa" w:w="18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5–10 years</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Low</w:t>
            </w:r>
          </w:p>
        </w:tc>
        <w:tc>
          <w:tcPr>
            <w:tcW w:type="dxa" w:w="13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1A1A18"/>
                <w:sz w:val="19"/>
                <w:szCs w:val="19"/>
              </w:rPr>
              <w:t xml:space="preserve">Statewide ballot question</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PILOT recovery (legislative clarification)</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$0.5–1M/yr</w:t>
            </w:r>
          </w:p>
        </w:tc>
        <w:tc>
          <w:tcPr>
            <w:tcW w:type="dxa" w:w="18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2–3 years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Medium-High</w:t>
            </w:r>
          </w:p>
        </w:tc>
        <w:tc>
          <w:tcPr>
            <w:tcW w:type="dxa" w:w="13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1A1A18"/>
                <w:sz w:val="19"/>
                <w:szCs w:val="19"/>
              </w:rPr>
              <w:t xml:space="preserve">Select Board + Assessor action</w:t>
            </w:r>
          </w:p>
        </w:tc>
      </w:tr>
    </w:tbl>
    <w:p>
      <w:pPr>
        <w:pStyle w:val="Heading2"/>
        <w:pBdr>
          <w:bottom w:val="single" w:color="0F6E56" w:sz="6" w:space="4"/>
        </w:pBdr>
        <w:spacing w:before="280" w:after="100"/>
      </w:pPr>
      <w:r>
        <w:rPr>
          <w:rFonts w:ascii="Arial" w:cs="Arial" w:eastAsia="Arial" w:hAnsi="Arial"/>
          <w:b/>
          <w:bCs/>
          <w:color w:val="0F6E56"/>
          <w:sz w:val="30"/>
          <w:szCs w:val="30"/>
        </w:rPr>
        <w:t xml:space="preserve">Key Questions to Answer in Research Phase</w:t>
      </w:r>
    </w:p>
    <w:p>
      <w:pPr>
        <w:pStyle w:val="ListParagraph"/>
        <w:numPr>
          <w:ilvl w:val="0"/>
          <w:numId w:val="3"/>
        </w:numPr>
        <w:spacing w:before="40" w:after="40"/>
      </w:pPr>
      <w:r>
        <w:rPr>
          <w:rFonts w:ascii="Arial" w:cs="Arial" w:eastAsia="Arial" w:hAnsi="Arial"/>
          <w:color w:val="1A1A18"/>
          <w:sz w:val="22"/>
          <w:szCs w:val="22"/>
        </w:rPr>
        <w:t xml:space="preserve">How many METCO-receiving communities exist in Massachusetts, and what is the aggregate unreimbursed SpEd cost statewide? This is the foundation of the legislative argument.</w:t>
      </w:r>
    </w:p>
    <w:p>
      <w:pPr>
        <w:pStyle w:val="ListParagraph"/>
        <w:numPr>
          <w:ilvl w:val="0"/>
          <w:numId w:val="3"/>
        </w:numPr>
        <w:spacing w:before="40" w:after="40"/>
      </w:pPr>
      <w:r>
        <w:rPr>
          <w:rFonts w:ascii="Arial" w:cs="Arial" w:eastAsia="Arial" w:hAnsi="Arial"/>
          <w:color w:val="1A1A18"/>
          <w:sz w:val="22"/>
          <w:szCs w:val="22"/>
        </w:rPr>
        <w:t xml:space="preserve">What bills are currently alive at the State House addressing Prop 2½, Chapter 70, or METCO reimbursement — and who are the champions?</w:t>
      </w:r>
    </w:p>
    <w:p>
      <w:pPr>
        <w:pStyle w:val="ListParagraph"/>
        <w:numPr>
          <w:ilvl w:val="0"/>
          <w:numId w:val="3"/>
        </w:numPr>
        <w:spacing w:before="40" w:after="40"/>
      </w:pPr>
      <w:r>
        <w:rPr>
          <w:rFonts w:ascii="Arial" w:cs="Arial" w:eastAsia="Arial" w:hAnsi="Arial"/>
          <w:color w:val="1A1A18"/>
          <w:sz w:val="22"/>
          <w:szCs w:val="22"/>
        </w:rPr>
        <w:t xml:space="preserve">What is the Home Rule petition process, and has Brookline used it successfully for revenue-enabling legislation in the past?</w:t>
      </w:r>
    </w:p>
    <w:p>
      <w:pPr>
        <w:pStyle w:val="ListParagraph"/>
        <w:numPr>
          <w:ilvl w:val="0"/>
          <w:numId w:val="3"/>
        </w:numPr>
        <w:spacing w:before="40" w:after="40"/>
      </w:pPr>
      <w:r>
        <w:rPr>
          <w:rFonts w:ascii="Arial" w:cs="Arial" w:eastAsia="Arial" w:hAnsi="Arial"/>
          <w:color w:val="1A1A18"/>
          <w:sz w:val="22"/>
          <w:szCs w:val="22"/>
        </w:rPr>
        <w:t xml:space="preserve">Have Boston or Cambridge succeeded in passing a real estate transfer tax locally, and what was the legislative pathway?</w:t>
      </w:r>
    </w:p>
    <w:p>
      <w:pPr>
        <w:pStyle w:val="ListParagraph"/>
        <w:numPr>
          <w:ilvl w:val="0"/>
          <w:numId w:val="3"/>
        </w:numPr>
        <w:spacing w:before="40" w:after="40"/>
      </w:pPr>
      <w:r>
        <w:rPr>
          <w:rFonts w:ascii="Arial" w:cs="Arial" w:eastAsia="Arial" w:hAnsi="Arial"/>
          <w:color w:val="1A1A18"/>
          <w:sz w:val="22"/>
          <w:szCs w:val="22"/>
        </w:rPr>
        <w:t xml:space="preserve">What is Brookline's relationship with its State House delegation, and how has that delegation historically prioritized municipal fiscal issues?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C8" w:val="clear"/>
            <w:tcMar>
              <w:top w:type="dxa" w:w="200"/>
              <w:left w:type="dxa" w:w="240"/>
              <w:bottom w:type="dxa" w:w="200"/>
              <w:right w:type="dxa" w:w="240"/>
            </w:tcMar>
          </w:tcPr>
          <w:p>
            <w:pPr>
              <w:spacing w:before="0" w:after="60"/>
            </w:pPr>
            <w:r>
              <w:rPr>
                <w:rFonts w:ascii="Arial" w:cs="Arial" w:eastAsia="Arial" w:hAnsi="Arial"/>
                <w:b/>
                <w:bCs/>
                <w:color w:val="854F0B"/>
                <w:spacing w:val="120"/>
                <w:sz w:val="18"/>
                <w:szCs w:val="18"/>
              </w:rPr>
              <w:t xml:space="preserve">BRANCH 3</w:t>
            </w:r>
          </w:p>
          <w:p>
            <w:pPr>
              <w:spacing w:before="0" w:after="80"/>
            </w:pPr>
            <w:r>
              <w:rPr>
                <w:rFonts w:ascii="Arial" w:cs="Arial" w:eastAsia="Arial" w:hAnsi="Arial"/>
                <w:b/>
                <w:bCs/>
                <w:color w:val="1A1A18"/>
                <w:sz w:val="36"/>
                <w:szCs w:val="36"/>
              </w:rPr>
              <w:t xml:space="preserve">The 2030 OPEB Pivot</w:t>
            </w:r>
          </w:p>
          <w:p>
            <w:pPr>
              <w:spacing w:before="0" w:after="100"/>
            </w:pPr>
            <w:r>
              <w:rPr>
                <w:rFonts w:ascii="Arial" w:cs="Arial" w:eastAsia="Arial" w:hAnsi="Arial"/>
                <w:color w:val="555550"/>
                <w:sz w:val="22"/>
                <w:szCs w:val="22"/>
              </w:rPr>
              <w:t xml:space="preserve">The single biggest financial decision Brookline faces this decade — and it needs a plan now</w:t>
            </w:r>
          </w:p>
          <w:p>
            <w:pPr>
              <w:spacing w:before="0" w:after="0"/>
            </w:pPr>
            <w:r>
              <w:rPr>
                <w:rFonts w:ascii="Arial" w:cs="Arial" w:eastAsia="Arial" w:hAnsi="Arial"/>
                <w:b/>
                <w:bCs/>
                <w:color w:val="854F0B"/>
                <w:sz w:val="20"/>
                <w:szCs w:val="20"/>
              </w:rPr>
              <w:t xml:space="preserve">Estimated impact: $10–25M per year in redirectable funds (2030+ horizon)</w:t>
            </w:r>
          </w:p>
        </w:tc>
      </w:tr>
    </w:tbl>
    <w:p>
      <w:pPr>
        <w:spacing w:before="40" w:after="40"/>
      </w:pPr>
      <w:r>
        <w:t xml:space="preserve"/>
      </w:r>
    </w:p>
    <w:p>
      <w:pPr>
        <w:pStyle w:val="Heading2"/>
        <w:pBdr>
          <w:bottom w:val="single" w:color="854F0B" w:sz="6" w:space="4"/>
        </w:pBdr>
        <w:spacing w:before="280" w:after="100"/>
      </w:pPr>
      <w:r>
        <w:rPr>
          <w:rFonts w:ascii="Arial" w:cs="Arial" w:eastAsia="Arial" w:hAnsi="Arial"/>
          <w:b/>
          <w:bCs/>
          <w:color w:val="854F0B"/>
          <w:sz w:val="30"/>
          <w:szCs w:val="30"/>
        </w:rPr>
        <w:t xml:space="preserve">The Opportunity</w:t>
      </w:r>
    </w:p>
    <w:p>
      <w:pPr>
        <w:spacing w:before="60" w:after="100"/>
      </w:pPr>
      <w:r>
        <w:rPr>
          <w:rFonts w:ascii="Arial" w:cs="Arial" w:eastAsia="Arial" w:hAnsi="Arial"/>
          <w:color w:val="1A1A18"/>
          <w:sz w:val="22"/>
          <w:szCs w:val="22"/>
        </w:rPr>
        <w:t xml:space="preserve">In 2030, Brookline is on track to fully fund its pension liability — a full decade ahead of the state mandate. This is a genuine fiscal achievement. But it creates an immediate, massive question: what happens to the approximately $40M per year that was flowing into pension contributions?</w:t>
      </w:r>
    </w:p>
    <w:p>
      <w:pPr>
        <w:spacing w:before="60" w:after="100"/>
      </w:pPr>
      <w:r>
        <w:rPr>
          <w:rFonts w:ascii="Arial" w:cs="Arial" w:eastAsia="Arial" w:hAnsi="Arial"/>
          <w:color w:val="1A1A18"/>
          <w:sz w:val="22"/>
          <w:szCs w:val="22"/>
        </w:rPr>
        <w:t xml:space="preserve">The current Select Board policy, recently reaffirmed, is to redirect all of it immediately into funding OPEB (Other Post-Employment Benefits — primarily retiree healthcare). The intent is to eliminate the OPEB unfunded liability on a compressed schedule, the same way the pension was handled.</w:t>
      </w:r>
    </w:p>
    <w:p>
      <w:pPr>
        <w:spacing w:before="60" w:after="100"/>
      </w:pPr>
      <w:r>
        <w:rPr>
          <w:rFonts w:ascii="Arial" w:cs="Arial" w:eastAsia="Arial" w:hAnsi="Arial"/>
          <w:color w:val="1A1A18"/>
          <w:sz w:val="22"/>
          <w:szCs w:val="22"/>
        </w:rPr>
        <w:t xml:space="preserve">The E&amp;RSC's OPEB section explicitly questioned this approach. OPEB costs are growing faster than assumed, there is no state mandate to fully fund OPEBs by any date, and the town faces a structural operating deficit that will still exist in 2030. Simply redirecting the full $40M to OPEB while continuing to rely on overrides to fund operations may not be the optimal policy.</w:t>
      </w:r>
    </w:p>
    <w:p>
      <w:pPr>
        <w:spacing w:before="60" w:after="100"/>
      </w:pPr>
      <w:r>
        <w:rPr>
          <w:rFonts w:ascii="Arial" w:cs="Arial" w:eastAsia="Arial" w:hAnsi="Arial"/>
          <w:color w:val="1A1A18"/>
          <w:sz w:val="22"/>
          <w:szCs w:val="22"/>
        </w:rPr>
        <w:t xml:space="preserve">No one has built a rigorous model of the alternatives. This branch does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C8" w:val="clear"/>
            <w:tcMar>
              <w:top w:type="dxa" w:w="120"/>
              <w:left w:type="dxa" w:w="200"/>
              <w:bottom w:type="dxa" w:w="120"/>
              <w:right w:type="dxa" w:w="180"/>
            </w:tcMar>
          </w:tcPr>
          <w:p>
            <w:pPr>
              <w:spacing w:before="40" w:after="60"/>
            </w:pPr>
            <w:r>
              <w:rPr>
                <w:rFonts w:ascii="Arial" w:cs="Arial" w:eastAsia="Arial" w:hAnsi="Arial"/>
                <w:b/>
                <w:bCs/>
                <w:color w:val="412402"/>
                <w:sz w:val="20"/>
                <w:szCs w:val="20"/>
              </w:rPr>
              <w:t xml:space="preserve">What we know about the 2030 moment</w:t>
            </w:r>
          </w:p>
          <w:p>
            <w:pPr>
              <w:pStyle w:val="ListParagraph"/>
              <w:numPr>
                <w:ilvl w:val="0"/>
                <w:numId w:val="2"/>
              </w:numPr>
              <w:spacing w:before="40" w:after="40"/>
            </w:pPr>
            <w:r>
              <w:rPr>
                <w:rFonts w:ascii="Arial" w:cs="Arial" w:eastAsia="Arial" w:hAnsi="Arial"/>
                <w:color w:val="1A1A18"/>
                <w:sz w:val="22"/>
                <w:szCs w:val="22"/>
              </w:rPr>
              <w:t xml:space="preserve">Pension full funding target: FY2030 (10 years ahead of state mandate)</w:t>
            </w:r>
          </w:p>
          <w:p>
            <w:pPr>
              <w:pStyle w:val="ListParagraph"/>
              <w:numPr>
                <w:ilvl w:val="0"/>
                <w:numId w:val="2"/>
              </w:numPr>
              <w:spacing w:before="40" w:after="40"/>
            </w:pPr>
            <w:r>
              <w:rPr>
                <w:rFonts w:ascii="Arial" w:cs="Arial" w:eastAsia="Arial" w:hAnsi="Arial"/>
                <w:color w:val="1A1A18"/>
                <w:sz w:val="22"/>
                <w:szCs w:val="22"/>
              </w:rPr>
              <w:t xml:space="preserve">Annual pension contribution currently flowing: ~$40M/year</w:t>
            </w:r>
          </w:p>
          <w:p>
            <w:pPr>
              <w:pStyle w:val="ListParagraph"/>
              <w:numPr>
                <w:ilvl w:val="0"/>
                <w:numId w:val="2"/>
              </w:numPr>
              <w:spacing w:before="40" w:after="40"/>
            </w:pPr>
            <w:r>
              <w:rPr>
                <w:rFonts w:ascii="Arial" w:cs="Arial" w:eastAsia="Arial" w:hAnsi="Arial"/>
                <w:color w:val="1A1A18"/>
                <w:sz w:val="22"/>
                <w:szCs w:val="22"/>
              </w:rPr>
              <w:t xml:space="preserve">Current OPEB unfunded liability: to be quantified from GASB 74/75 actuarial report (in E&amp;RSC appendix)</w:t>
            </w:r>
          </w:p>
          <w:p>
            <w:pPr>
              <w:pStyle w:val="ListParagraph"/>
              <w:numPr>
                <w:ilvl w:val="0"/>
                <w:numId w:val="2"/>
              </w:numPr>
              <w:spacing w:before="40" w:after="40"/>
            </w:pPr>
            <w:r>
              <w:rPr>
                <w:rFonts w:ascii="Arial" w:cs="Arial" w:eastAsia="Arial" w:hAnsi="Arial"/>
                <w:color w:val="1A1A18"/>
                <w:sz w:val="22"/>
                <w:szCs w:val="22"/>
              </w:rPr>
              <w:t xml:space="preserve">OPEB cost growth rate: faster than actuarial assumptions (per E&amp;RSC observation)</w:t>
            </w:r>
          </w:p>
          <w:p>
            <w:pPr>
              <w:pStyle w:val="ListParagraph"/>
              <w:numPr>
                <w:ilvl w:val="0"/>
                <w:numId w:val="2"/>
              </w:numPr>
              <w:spacing w:before="40" w:after="40"/>
            </w:pPr>
            <w:r>
              <w:rPr>
                <w:rFonts w:ascii="Arial" w:cs="Arial" w:eastAsia="Arial" w:hAnsi="Arial"/>
                <w:color w:val="1A1A18"/>
                <w:sz w:val="22"/>
                <w:szCs w:val="22"/>
              </w:rPr>
              <w:t xml:space="preserve">Moody’s Aaa rating implication: any OPEB policy change requires Moody’s pre-consultation</w:t>
            </w:r>
          </w:p>
          <w:p>
            <w:pPr>
              <w:pStyle w:val="ListParagraph"/>
              <w:numPr>
                <w:ilvl w:val="0"/>
                <w:numId w:val="2"/>
              </w:numPr>
              <w:spacing w:before="40" w:after="40"/>
            </w:pPr>
            <w:r>
              <w:rPr>
                <w:rFonts w:ascii="Arial" w:cs="Arial" w:eastAsia="Arial" w:hAnsi="Arial"/>
                <w:color w:val="1A1A18"/>
                <w:sz w:val="22"/>
                <w:szCs w:val="22"/>
              </w:rPr>
              <w:t xml:space="preserve">Current structural deficit: $25.9M over FY27–29, with no guarantee it resolves by FY30</w:t>
            </w:r>
          </w:p>
          <w:p>
            <w:pPr>
              <w:pStyle w:val="ListParagraph"/>
              <w:numPr>
                <w:ilvl w:val="0"/>
                <w:numId w:val="2"/>
              </w:numPr>
              <w:spacing w:before="40" w:after="40"/>
            </w:pPr>
            <w:r>
              <w:rPr>
                <w:rFonts w:ascii="Arial" w:cs="Arial" w:eastAsia="Arial" w:hAnsi="Arial"/>
                <w:color w:val="1A1A18"/>
                <w:sz w:val="22"/>
                <w:szCs w:val="22"/>
              </w:rPr>
              <w:t xml:space="preserve">The decision window: the Select Board will need to set OPEB policy by FY28–29 for it to be in effect at the FY30 transition</w:t>
            </w:r>
          </w:p>
        </w:tc>
      </w:tr>
    </w:tbl>
    <w:p>
      <w:pPr>
        <w:spacing w:before="40" w:after="40"/>
      </w:pPr>
      <w:r>
        <w:t xml:space="preserve"/>
      </w:r>
    </w:p>
    <w:p>
      <w:pPr>
        <w:pStyle w:val="Heading2"/>
        <w:pBdr>
          <w:bottom w:val="single" w:color="854F0B" w:sz="6" w:space="4"/>
        </w:pBdr>
        <w:spacing w:before="280" w:after="100"/>
      </w:pPr>
      <w:r>
        <w:rPr>
          <w:rFonts w:ascii="Arial" w:cs="Arial" w:eastAsia="Arial" w:hAnsi="Arial"/>
          <w:b/>
          <w:bCs/>
          <w:color w:val="854F0B"/>
          <w:sz w:val="30"/>
          <w:szCs w:val="30"/>
        </w:rPr>
        <w:t xml:space="preserve">The Six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Workstream</w:t>
            </w:r>
          </w:p>
        </w:tc>
        <w:tc>
          <w:tcPr>
            <w:tcW w:type="dxa" w:w="32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What We Need to Build</w:t>
            </w:r>
          </w:p>
        </w:tc>
        <w:tc>
          <w:tcPr>
            <w:tcW w:type="dxa" w:w="296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Key Data Sources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OPEB liability deep-dive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Quantify the current OPEB unfunded liability, its growth trajectory, and what 'full funding' actually requires. Model minimum funding vs. aggressive funding scenarios.</w:t>
            </w:r>
          </w:p>
        </w:tc>
        <w:tc>
          <w:tcPr>
            <w:tcW w:type="dxa" w:w="2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GASB 74/75 actuarial report (in E&amp;RSC appendix); MA PERAC OPEB data; actuary methodology</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$40M allocation scenarios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Model at least 4 scenarios: (1) all to OPEB; (2) split OPEB/deficit; (3) OPEB minimum + reserves + structural relief; (4) phased drawdown tied to econ dev revenue growth.</w:t>
            </w:r>
          </w:p>
        </w:tc>
        <w:tc>
          <w:tcPr>
            <w:tcW w:type="dxa" w:w="2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E&amp;RSC Long-Range Financial Plan (FY27–FY31); comparable community OPEB transitions; actuary modeling</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Moody’s rating sensitivity</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Map exactly which Moody’s scoring factors OPEB funding affects. Model the rating impact of scenarios 1–4. Identify the threshold below which an Aaa downgrade becomes likely.</w:t>
            </w:r>
          </w:p>
        </w:tc>
        <w:tc>
          <w:tcPr>
            <w:tcW w:type="dxa" w:w="2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Moody’s scorecard (in E&amp;RSC appendix); prior Moody’s credit opinions for Brookline; financial advisor consultation</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Healthcare cost reform + GIC analysis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Model the savings from reducing employer healthcare premium share from 83% to 75–78%. Separately model the impact of shifting to the MA Group Insurance Commission (GIC).</w:t>
            </w:r>
          </w:p>
        </w:tc>
        <w:tc>
          <w:tcPr>
            <w:tcW w:type="dxa" w:w="2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MA GIC current rate schedules (mass.gov/gic); comparable community premium sharing rates (E&amp;RSC appendix); actuary estimates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Structural deficit projection to FY35</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Project the operating deficit trajectory through FY35 under 3 scenarios: (1) no structural reform; (2) branches 1 and 2 at conservative estimates; (3) branches 1 and 2 at optimistic estimates.</w:t>
            </w:r>
          </w:p>
        </w:tc>
        <w:tc>
          <w:tcPr>
            <w:tcW w:type="dxa" w:w="2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E&amp;RSC FY27–FY31 Long-Range Plan; historical revenue/expense growth rates; Branch 1 and 2 research outputs</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Comparable community benchmarks</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How have Newton, Wellesley, and Lexington handled or planned for their own pension-to-OPEB transitions? Are there policy models worth replicating?</w:t>
            </w:r>
          </w:p>
        </w:tc>
        <w:tc>
          <w:tcPr>
            <w:tcW w:type="dxa" w:w="29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Newton/Wellesley/Lexington annual reports and budget documents; MA PERAC community-level data; outreach to comparable CFOs</w:t>
            </w:r>
          </w:p>
        </w:tc>
      </w:tr>
    </w:tbl>
    <w:p>
      <w:pPr>
        <w:spacing w:before="40" w:after="40"/>
      </w:pPr>
      <w:r>
        <w:t xml:space="preserve"/>
      </w:r>
    </w:p>
    <w:p>
      <w:pPr>
        <w:pStyle w:val="Heading2"/>
        <w:pBdr>
          <w:bottom w:val="single" w:color="854F0B" w:sz="6" w:space="4"/>
        </w:pBdr>
        <w:spacing w:before="280" w:after="100"/>
      </w:pPr>
      <w:r>
        <w:rPr>
          <w:rFonts w:ascii="Arial" w:cs="Arial" w:eastAsia="Arial" w:hAnsi="Arial"/>
          <w:b/>
          <w:bCs/>
          <w:color w:val="854F0B"/>
          <w:sz w:val="30"/>
          <w:szCs w:val="30"/>
        </w:rPr>
        <w:t xml:space="preserve">The Four Scenarios We Will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C8" w:val="clear"/>
            <w:tcMar>
              <w:top w:type="dxa" w:w="120"/>
              <w:left w:type="dxa" w:w="200"/>
              <w:bottom w:type="dxa" w:w="120"/>
              <w:right w:type="dxa" w:w="180"/>
            </w:tcMar>
          </w:tcPr>
          <w:p>
            <w:pPr>
              <w:spacing w:before="40" w:after="80"/>
            </w:pPr>
            <w:r>
              <w:rPr>
                <w:rFonts w:ascii="Arial" w:cs="Arial" w:eastAsia="Arial" w:hAnsi="Arial"/>
                <w:b/>
                <w:bCs/>
                <w:color w:val="412402"/>
                <w:sz w:val="22"/>
                <w:szCs w:val="22"/>
              </w:rPr>
              <w:t xml:space="preserve">Scenario A: Current Policy (Baseline)</w:t>
            </w:r>
          </w:p>
          <w:p>
            <w:pPr>
              <w:spacing w:before="60" w:after="100"/>
            </w:pPr>
            <w:r>
              <w:rPr>
                <w:rFonts w:ascii="Arial" w:cs="Arial" w:eastAsia="Arial" w:hAnsi="Arial"/>
                <w:color w:val="1A1A18"/>
                <w:sz w:val="22"/>
                <w:szCs w:val="22"/>
              </w:rPr>
              <w:t xml:space="preserve">All $40M redirected to OPEB funding immediately in FY31. OPEB fully funded within ~15–20 years. Structural operating deficit addressed solely through continued overrides. This is the default unless action is taken.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180"/>
            </w:tcMar>
          </w:tcPr>
          <w:p>
            <w:pPr>
              <w:spacing w:before="40" w:after="80"/>
            </w:pPr>
            <w:r>
              <w:rPr>
                <w:rFonts w:ascii="Arial" w:cs="Arial" w:eastAsia="Arial" w:hAnsi="Arial"/>
                <w:b/>
                <w:bCs/>
                <w:color w:val="042C53"/>
                <w:sz w:val="22"/>
                <w:szCs w:val="22"/>
              </w:rPr>
              <w:t xml:space="preserve">Scenario B: Split Allocation</w:t>
            </w:r>
          </w:p>
          <w:p>
            <w:pPr>
              <w:spacing w:before="60" w:after="100"/>
            </w:pPr>
            <w:r>
              <w:rPr>
                <w:rFonts w:ascii="Arial" w:cs="Arial" w:eastAsia="Arial" w:hAnsi="Arial"/>
                <w:color w:val="1A1A18"/>
                <w:sz w:val="22"/>
                <w:szCs w:val="22"/>
              </w:rPr>
              <w:t xml:space="preserve">$25M to OPEB funding (adequate to meet a modified, longer-horizon policy). $15M to operating structural deficit relief, enabling a smaller or eliminated override cycle in FY31–FY33. OPEB funding timeline extended 5–10 years; Moody's impact to be modeled.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E7" w:val="clear"/>
            <w:tcMar>
              <w:top w:type="dxa" w:w="120"/>
              <w:left w:type="dxa" w:w="200"/>
              <w:bottom w:type="dxa" w:w="120"/>
              <w:right w:type="dxa" w:w="180"/>
            </w:tcMar>
          </w:tcPr>
          <w:p>
            <w:pPr>
              <w:spacing w:before="40" w:after="80"/>
            </w:pPr>
            <w:r>
              <w:rPr>
                <w:rFonts w:ascii="Arial" w:cs="Arial" w:eastAsia="Arial" w:hAnsi="Arial"/>
                <w:b/>
                <w:bCs/>
                <w:color w:val="04342C"/>
                <w:sz w:val="22"/>
                <w:szCs w:val="22"/>
              </w:rPr>
              <w:t xml:space="preserve">Scenario C: Dynamic Allocation (Recommended for Modeling)</w:t>
            </w:r>
          </w:p>
          <w:p>
            <w:pPr>
              <w:spacing w:before="60" w:after="100"/>
            </w:pPr>
            <w:r>
              <w:rPr>
                <w:rFonts w:ascii="Arial" w:cs="Arial" w:eastAsia="Arial" w:hAnsi="Arial"/>
                <w:color w:val="1A1A18"/>
                <w:sz w:val="22"/>
                <w:szCs w:val="22"/>
              </w:rPr>
              <w:t xml:space="preserve">OPEB funded at a minimum level (e.g. interest on the unfunded liability + modest principal reduction). Remaining funds directed to: reserves (to maintain Aaa), structural deficit relief, and economic development seeding. Allocation adjusts annually based on operating gap and economic development revenue realization.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0D0" w:val="clear"/>
            <w:tcMar>
              <w:top w:type="dxa" w:w="120"/>
              <w:left w:type="dxa" w:w="200"/>
              <w:bottom w:type="dxa" w:w="120"/>
              <w:right w:type="dxa" w:w="180"/>
            </w:tcMar>
          </w:tcPr>
          <w:p>
            <w:pPr>
              <w:spacing w:before="40" w:after="80"/>
            </w:pPr>
            <w:r>
              <w:rPr>
                <w:rFonts w:ascii="Arial" w:cs="Arial" w:eastAsia="Arial" w:hAnsi="Arial"/>
                <w:b/>
                <w:bCs/>
                <w:color w:val="173404"/>
                <w:sz w:val="22"/>
                <w:szCs w:val="22"/>
              </w:rPr>
              <w:t xml:space="preserve">Scenario D: Healthcare Reform First</w:t>
            </w:r>
          </w:p>
          <w:p>
            <w:pPr>
              <w:spacing w:before="60" w:after="100"/>
            </w:pPr>
            <w:r>
              <w:rPr>
                <w:rFonts w:ascii="Arial" w:cs="Arial" w:eastAsia="Arial" w:hAnsi="Arial"/>
                <w:color w:val="1A1A18"/>
                <w:sz w:val="22"/>
                <w:szCs w:val="22"/>
              </w:rPr>
              <w:t xml:space="preserve">Before the 2030 decision, reduce employer healthcare premium contribution from 83% to 76% (comparable-community median), saving $3–5M/year starting in FY28–29. These savings pre-fund a reserve. In 2030, the $40M pivot is taken from a stronger financial position, with smaller override dependence and a longer runway for OPEB.</w:t>
            </w:r>
          </w:p>
        </w:tc>
      </w:tr>
    </w:tbl>
    <w:p>
      <w:pPr>
        <w:pStyle w:val="Heading2"/>
        <w:pBdr>
          <w:bottom w:val="single" w:color="854F0B" w:sz="6" w:space="4"/>
        </w:pBdr>
        <w:spacing w:before="280" w:after="100"/>
      </w:pPr>
      <w:r>
        <w:rPr>
          <w:rFonts w:ascii="Arial" w:cs="Arial" w:eastAsia="Arial" w:hAnsi="Arial"/>
          <w:b/>
          <w:bCs/>
          <w:color w:val="854F0B"/>
          <w:sz w:val="30"/>
          <w:szCs w:val="30"/>
        </w:rPr>
        <w:t xml:space="preserve">Key Questions to Answer in Research Phase</w:t>
      </w:r>
    </w:p>
    <w:p>
      <w:pPr>
        <w:pStyle w:val="ListParagraph"/>
        <w:numPr>
          <w:ilvl w:val="0"/>
          <w:numId w:val="3"/>
        </w:numPr>
        <w:spacing w:before="40" w:after="40"/>
      </w:pPr>
      <w:r>
        <w:rPr>
          <w:rFonts w:ascii="Arial" w:cs="Arial" w:eastAsia="Arial" w:hAnsi="Arial"/>
          <w:color w:val="1A1A18"/>
          <w:sz w:val="22"/>
          <w:szCs w:val="22"/>
        </w:rPr>
        <w:t xml:space="preserve">What is the current OPEB unfunded liability, and what is the actuarially determined annual required contribution (ADRC) to maintain, not worsen, that liability?</w:t>
      </w:r>
    </w:p>
    <w:p>
      <w:pPr>
        <w:pStyle w:val="ListParagraph"/>
        <w:numPr>
          <w:ilvl w:val="0"/>
          <w:numId w:val="3"/>
        </w:numPr>
        <w:spacing w:before="40" w:after="40"/>
      </w:pPr>
      <w:r>
        <w:rPr>
          <w:rFonts w:ascii="Arial" w:cs="Arial" w:eastAsia="Arial" w:hAnsi="Arial"/>
          <w:color w:val="1A1A18"/>
          <w:sz w:val="22"/>
          <w:szCs w:val="22"/>
        </w:rPr>
        <w:t xml:space="preserve">What OPEB funding level would Moody's view as consistent with maintaining an Aaa rating — and has Brookline ever formally asked them this question?</w:t>
      </w:r>
    </w:p>
    <w:p>
      <w:pPr>
        <w:pStyle w:val="ListParagraph"/>
        <w:numPr>
          <w:ilvl w:val="0"/>
          <w:numId w:val="3"/>
        </w:numPr>
        <w:spacing w:before="40" w:after="40"/>
      </w:pPr>
      <w:r>
        <w:rPr>
          <w:rFonts w:ascii="Arial" w:cs="Arial" w:eastAsia="Arial" w:hAnsi="Arial"/>
          <w:color w:val="1A1A18"/>
          <w:sz w:val="22"/>
          <w:szCs w:val="22"/>
        </w:rPr>
        <w:t xml:space="preserve">If Brookline joined the MA Group Insurance Commission (GIC) for employee health insurance, what would the estimated annual savings be at current enrollment levels?</w:t>
      </w:r>
    </w:p>
    <w:p>
      <w:pPr>
        <w:pStyle w:val="ListParagraph"/>
        <w:numPr>
          <w:ilvl w:val="0"/>
          <w:numId w:val="3"/>
        </w:numPr>
        <w:spacing w:before="40" w:after="40"/>
      </w:pPr>
      <w:r>
        <w:rPr>
          <w:rFonts w:ascii="Arial" w:cs="Arial" w:eastAsia="Arial" w:hAnsi="Arial"/>
          <w:color w:val="1A1A18"/>
          <w:sz w:val="22"/>
          <w:szCs w:val="22"/>
        </w:rPr>
        <w:t xml:space="preserve">What does a 'break-even' OPEB funding scenario look like — i.e., what is the minimum annual contribution that prevents the unfunded liability from growing?</w:t>
      </w:r>
    </w:p>
    <w:p>
      <w:pPr>
        <w:pStyle w:val="ListParagraph"/>
        <w:numPr>
          <w:ilvl w:val="0"/>
          <w:numId w:val="3"/>
        </w:numPr>
        <w:spacing w:before="40" w:after="40"/>
      </w:pPr>
      <w:r>
        <w:rPr>
          <w:rFonts w:ascii="Arial" w:cs="Arial" w:eastAsia="Arial" w:hAnsi="Arial"/>
          <w:color w:val="1A1A18"/>
          <w:sz w:val="22"/>
          <w:szCs w:val="22"/>
        </w:rPr>
        <w:t xml:space="preserve">How have other early pension-funders in Massachusetts used the resulting cash flow flexibility?</w:t>
      </w:r>
    </w:p>
    <w:p>
      <w:pPr>
        <w:spacing w:before="40" w:after="40"/>
      </w:pPr>
      <w:r>
        <w:t xml:space="preserve"/>
      </w:r>
    </w:p>
    <w:p>
      <w:pPr>
        <w:pStyle w:val="Heading1"/>
        <w:spacing w:before="400" w:after="140"/>
      </w:pPr>
      <w:r>
        <w:rPr>
          <w:rFonts w:ascii="Arial" w:cs="Arial" w:eastAsia="Arial" w:hAnsi="Arial"/>
          <w:b/>
          <w:bCs/>
          <w:color w:val="042C53"/>
          <w:sz w:val="40"/>
          <w:szCs w:val="40"/>
        </w:rPr>
        <w:t xml:space="preserve">Bringing It Together: The Integrated Proposal</w:t>
      </w:r>
    </w:p>
    <w:p>
      <w:pPr>
        <w:pStyle w:val="Heading2"/>
        <w:pBdr>
          <w:bottom w:val="single" w:color="185FA5" w:sz="6" w:space="4"/>
        </w:pBdr>
        <w:spacing w:before="280" w:after="100"/>
      </w:pPr>
      <w:r>
        <w:rPr>
          <w:rFonts w:ascii="Arial" w:cs="Arial" w:eastAsia="Arial" w:hAnsi="Arial"/>
          <w:b/>
          <w:bCs/>
          <w:color w:val="185FA5"/>
          <w:sz w:val="30"/>
          <w:szCs w:val="30"/>
        </w:rPr>
        <w:t xml:space="preserve">How the three branches interact</w:t>
      </w:r>
    </w:p>
    <w:p>
      <w:pPr>
        <w:spacing w:before="60" w:after="100"/>
      </w:pPr>
      <w:r>
        <w:rPr>
          <w:rFonts w:ascii="Arial" w:cs="Arial" w:eastAsia="Arial" w:hAnsi="Arial"/>
          <w:color w:val="1A1A18"/>
          <w:sz w:val="22"/>
          <w:szCs w:val="22"/>
        </w:rPr>
        <w:t xml:space="preserve">The three branches are not independent. They reinforce each other in specific ways:</w:t>
      </w:r>
    </w:p>
    <w:p>
      <w:pPr>
        <w:pStyle w:val="ListParagraph"/>
        <w:numPr>
          <w:ilvl w:val="0"/>
          <w:numId w:val="2"/>
        </w:numPr>
        <w:spacing w:before="40" w:after="40"/>
      </w:pPr>
      <w:r>
        <w:rPr>
          <w:rFonts w:ascii="Arial" w:cs="Arial" w:eastAsia="Arial" w:hAnsi="Arial"/>
          <w:b/>
          <w:bCs/>
          <w:color w:val="185FA5"/>
          <w:sz w:val="22"/>
          <w:szCs w:val="22"/>
        </w:rPr>
        <w:t xml:space="preserve">1→3: </w:t>
      </w:r>
      <w:r>
        <w:rPr>
          <w:rFonts w:ascii="Arial" w:cs="Arial" w:eastAsia="Arial" w:hAnsi="Arial"/>
          <w:color w:val="1A1A18"/>
          <w:sz w:val="22"/>
          <w:szCs w:val="22"/>
        </w:rPr>
        <w:t xml:space="preserve">Branch 1 (Economic Development) reduces override dependence over time, which makes Scenario B or C in Branch 3 more achievable without Moody's concern — because the structural deficit is shrinking from the revenue side.</w:t>
      </w:r>
    </w:p>
    <w:p>
      <w:pPr>
        <w:pStyle w:val="ListParagraph"/>
        <w:numPr>
          <w:ilvl w:val="0"/>
          <w:numId w:val="2"/>
        </w:numPr>
        <w:spacing w:before="40" w:after="40"/>
      </w:pPr>
      <w:r>
        <w:rPr>
          <w:rFonts w:ascii="Arial" w:cs="Arial" w:eastAsia="Arial" w:hAnsi="Arial"/>
          <w:b/>
          <w:bCs/>
          <w:color w:val="185FA5"/>
          <w:sz w:val="22"/>
          <w:szCs w:val="22"/>
        </w:rPr>
        <w:t xml:space="preserve">2→3: </w:t>
      </w:r>
      <w:r>
        <w:rPr>
          <w:rFonts w:ascii="Arial" w:cs="Arial" w:eastAsia="Arial" w:hAnsi="Arial"/>
          <w:color w:val="1A1A18"/>
          <w:sz w:val="22"/>
          <w:szCs w:val="22"/>
        </w:rPr>
        <w:t xml:space="preserve">Branch 2 (Legislative Strategy) recovers $4–8M in current-year costs, directly reducing the deficit the 2030 OPEB pivot has to address.</w:t>
      </w:r>
    </w:p>
    <w:p>
      <w:pPr>
        <w:pStyle w:val="ListParagraph"/>
        <w:numPr>
          <w:ilvl w:val="0"/>
          <w:numId w:val="2"/>
        </w:numPr>
        <w:spacing w:before="40" w:after="40"/>
      </w:pPr>
      <w:r>
        <w:rPr>
          <w:rFonts w:ascii="Arial" w:cs="Arial" w:eastAsia="Arial" w:hAnsi="Arial"/>
          <w:b/>
          <w:bCs/>
          <w:color w:val="185FA5"/>
          <w:sz w:val="22"/>
          <w:szCs w:val="22"/>
        </w:rPr>
        <w:t xml:space="preserve">3→1: </w:t>
      </w:r>
      <w:r>
        <w:rPr>
          <w:rFonts w:ascii="Arial" w:cs="Arial" w:eastAsia="Arial" w:hAnsi="Arial"/>
          <w:color w:val="1A1A18"/>
          <w:sz w:val="22"/>
          <w:szCs w:val="22"/>
        </w:rPr>
        <w:t xml:space="preserve">Branch 3 (OPEB Pivot) frees up operating funds in 2030 that could be partially deployed to seed economic development investments (land acquisition fund, infrastructure, incentives) that accelerate Branch 1 revenue.</w:t>
      </w:r>
    </w:p>
    <w:p>
      <w:pPr>
        <w:pStyle w:val="ListParagraph"/>
        <w:numPr>
          <w:ilvl w:val="0"/>
          <w:numId w:val="2"/>
        </w:numPr>
        <w:spacing w:before="40" w:after="40"/>
      </w:pPr>
      <w:r>
        <w:rPr>
          <w:rFonts w:ascii="Arial" w:cs="Arial" w:eastAsia="Arial" w:hAnsi="Arial"/>
          <w:b/>
          <w:bCs/>
          <w:color w:val="185FA5"/>
          <w:sz w:val="22"/>
          <w:szCs w:val="22"/>
        </w:rPr>
        <w:t xml:space="preserve">E&amp;RSC conditions: </w:t>
      </w:r>
      <w:r>
        <w:rPr>
          <w:rFonts w:ascii="Arial" w:cs="Arial" w:eastAsia="Arial" w:hAnsi="Arial"/>
          <w:color w:val="1A1A18"/>
          <w:sz w:val="22"/>
          <w:szCs w:val="22"/>
        </w:rPr>
        <w:t xml:space="preserve">All three branches are strengthened by the E&amp;RSC's 9 structural conditions on the schools (healthcare reform, wage discipline, school consolidation) — those conditions reduce the baseline deficit that all three branches have to offset.</w:t>
      </w:r>
    </w:p>
    <w:p>
      <w:pPr>
        <w:spacing w:before="40" w:after="40"/>
      </w:pPr>
      <w:r>
        <w:t xml:space="preserve"/>
      </w:r>
    </w:p>
    <w:p>
      <w:pPr>
        <w:pStyle w:val="Heading2"/>
        <w:pBdr>
          <w:bottom w:val="single" w:color="185FA5" w:sz="6" w:space="4"/>
        </w:pBdr>
        <w:spacing w:before="280" w:after="100"/>
      </w:pPr>
      <w:r>
        <w:rPr>
          <w:rFonts w:ascii="Arial" w:cs="Arial" w:eastAsia="Arial" w:hAnsi="Arial"/>
          <w:b/>
          <w:bCs/>
          <w:color w:val="185FA5"/>
          <w:sz w:val="30"/>
          <w:szCs w:val="30"/>
        </w:rPr>
        <w:t xml:space="preserve">The phased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2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Branch 1 Actions</w:t>
            </w:r>
          </w:p>
        </w:tc>
        <w:tc>
          <w:tcPr>
            <w:tcW w:type="dxa" w:w="252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Branch 2 Actions</w:t>
            </w:r>
          </w:p>
        </w:tc>
        <w:tc>
          <w:tcPr>
            <w:tcW w:type="dxa" w:w="252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Branch 3 Actions</w:t>
            </w:r>
          </w:p>
        </w:tc>
      </w:tr>
      <w:tr>
        <w:tc>
          <w:tcPr>
            <w:tcBorders>
              <w:top w:val="single" w:color="D3D1C7" w:sz="1"/>
              <w:left w:val="single" w:color="D3D1C7" w:sz="1"/>
              <w:bottom w:val="single" w:color="D3D1C7" w:sz="1"/>
              <w:right w:val="single" w:color="D3D1C7" w:sz="1"/>
            </w:tcBorders>
            <w:shd w:fill="D6E8F7" w:val="clear"/>
            <w:tcMar>
              <w:top w:type="dxa" w:w="80"/>
              <w:left w:type="dxa" w:w="120"/>
              <w:bottom w:type="dxa" w:w="80"/>
              <w:right w:type="dxa" w:w="120"/>
            </w:tcMar>
          </w:tcPr>
          <w:p>
            <w:r>
              <w:rPr>
                <w:rFonts w:ascii="Arial" w:cs="Arial" w:eastAsia="Arial" w:hAnsi="Arial"/>
                <w:b/>
                <w:bCs/>
                <w:color w:val="042C53"/>
                <w:sz w:val="20"/>
                <w:szCs w:val="20"/>
              </w:rPr>
              <w:t xml:space="preserve">Now–2027</w:t>
            </w:r>
          </w:p>
        </w:tc>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8"/>
                <w:sz w:val="20"/>
                <w:szCs w:val="20"/>
              </w:rPr>
              <w:t xml:space="preserve">Pass CHCA zoning (May TM). Begin OOD SpEd enrollment. Launch PILOT program. Publish development site inventory.</w:t>
            </w:r>
          </w:p>
        </w:tc>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8"/>
                <w:sz w:val="20"/>
                <w:szCs w:val="20"/>
              </w:rPr>
              <w:t xml:space="preserve">File METCO SpEd cost data. Build coalition with Newton, Wellesley, Lexington. Identify bill sponsor. File legislation.</w:t>
            </w:r>
          </w:p>
        </w:tc>
        <w:tc>
          <w:tcPr>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1A1A18"/>
                <w:sz w:val="20"/>
                <w:szCs w:val="20"/>
              </w:rPr>
              <w:t xml:space="preserve">Commission full OPEB actuarial analysis. Open dialogue with Moody’s. Begin healthcare premium negotiation.</w:t>
            </w:r>
          </w:p>
        </w:tc>
      </w:tr>
      <w:tr>
        <w:tc>
          <w:tcPr>
            <w:tcBorders>
              <w:top w:val="single" w:color="D3D1C7" w:sz="1"/>
              <w:left w:val="single" w:color="D3D1C7" w:sz="1"/>
              <w:bottom w:val="single" w:color="D3D1C7" w:sz="1"/>
              <w:right w:val="single" w:color="D3D1C7" w:sz="1"/>
            </w:tcBorders>
            <w:shd w:fill="D6E8F7" w:val="clear"/>
            <w:tcMar>
              <w:top w:type="dxa" w:w="80"/>
              <w:left w:type="dxa" w:w="120"/>
              <w:bottom w:type="dxa" w:w="80"/>
              <w:right w:type="dxa" w:w="120"/>
            </w:tcMar>
          </w:tcPr>
          <w:p>
            <w:r>
              <w:rPr>
                <w:rFonts w:ascii="Arial" w:cs="Arial" w:eastAsia="Arial" w:hAnsi="Arial"/>
                <w:b/>
                <w:bCs/>
                <w:color w:val="042C53"/>
                <w:sz w:val="20"/>
                <w:szCs w:val="20"/>
              </w:rPr>
              <w:t xml:space="preserve">2027–2030</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CHCA construction begins. Zoning reform for Harvard St. and other sites. Asset monetization deals in place.</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METCO SpEd legislation passed (optimistic) or in committee. Chapter 70 reform advocacy in progress.</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1A1A18"/>
                <w:sz w:val="20"/>
                <w:szCs w:val="20"/>
              </w:rPr>
              <w:t xml:space="preserve">Healthcare premium reduction to 76–78% in effect. OPEB funding policy study committee reports. Select Board sets FY31 policy.</w:t>
            </w:r>
          </w:p>
        </w:tc>
      </w:tr>
      <w:tr>
        <w:tc>
          <w:tcPr>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2030+</w:t>
            </w:r>
          </w:p>
        </w:tc>
        <w:tc>
          <w:tcPr>
            <w:tcBorders>
              <w:top w:val="single" w:color="D3D1C7" w:sz="1"/>
              <w:left w:val="single" w:color="D3D1C7" w:sz="1"/>
              <w:bottom w:val="single" w:color="D3D1C7" w:sz="1"/>
              <w:right w:val="single" w:color="D3D1C7" w:sz="1"/>
            </w:tcBorders>
            <w:shd w:fill="D6E8F7" w:val="clear"/>
            <w:tcMar>
              <w:top w:type="dxa" w:w="80"/>
              <w:left w:type="dxa" w:w="120"/>
              <w:bottom w:type="dxa" w:w="80"/>
              <w:right w:type="dxa" w:w="120"/>
            </w:tcMar>
          </w:tcPr>
          <w:p>
            <w:r>
              <w:rPr>
                <w:rFonts w:ascii="Arial" w:cs="Arial" w:eastAsia="Arial" w:hAnsi="Arial"/>
                <w:color w:val="1A1A18"/>
                <w:sz w:val="20"/>
                <w:szCs w:val="20"/>
              </w:rPr>
              <w:t xml:space="preserve">CHCA tax revenue materializing. 3+ major sites in pipeline. Commercial tax base share growing annually.</w:t>
            </w:r>
          </w:p>
        </w:tc>
        <w:tc>
          <w:tcPr>
            <w:tcBorders>
              <w:top w:val="single" w:color="D3D1C7" w:sz="1"/>
              <w:left w:val="single" w:color="D3D1C7" w:sz="1"/>
              <w:bottom w:val="single" w:color="D3D1C7" w:sz="1"/>
              <w:right w:val="single" w:color="D3D1C7" w:sz="1"/>
            </w:tcBorders>
            <w:shd w:fill="D6E8F7" w:val="clear"/>
            <w:tcMar>
              <w:top w:type="dxa" w:w="80"/>
              <w:left w:type="dxa" w:w="120"/>
              <w:bottom w:type="dxa" w:w="80"/>
              <w:right w:type="dxa" w:w="120"/>
            </w:tcMar>
          </w:tcPr>
          <w:p>
            <w:r>
              <w:rPr>
                <w:rFonts w:ascii="Arial" w:cs="Arial" w:eastAsia="Arial" w:hAnsi="Arial"/>
                <w:color w:val="1A1A18"/>
                <w:sz w:val="20"/>
                <w:szCs w:val="20"/>
              </w:rPr>
              <w:t xml:space="preserve">METCO reimbursement flowing. Local option tool in place (if achieved). Prop 2½ reform (if achieved).</w:t>
            </w:r>
          </w:p>
        </w:tc>
        <w:tc>
          <w:tcPr>
            <w:tcBorders>
              <w:top w:val="single" w:color="D3D1C7" w:sz="1"/>
              <w:left w:val="single" w:color="D3D1C7" w:sz="1"/>
              <w:bottom w:val="single" w:color="D3D1C7" w:sz="1"/>
              <w:right w:val="single" w:color="D3D1C7" w:sz="1"/>
            </w:tcBorders>
            <w:shd w:fill="D6E8F7" w:val="clear"/>
            <w:tcMar>
              <w:top w:type="dxa" w:w="80"/>
              <w:left w:type="dxa" w:w="120"/>
              <w:bottom w:type="dxa" w:w="80"/>
              <w:right w:type="dxa" w:w="120"/>
            </w:tcMar>
          </w:tcPr>
          <w:p>
            <w:r>
              <w:rPr>
                <w:rFonts w:ascii="Arial" w:cs="Arial" w:eastAsia="Arial" w:hAnsi="Arial"/>
                <w:color w:val="1A1A18"/>
                <w:sz w:val="20"/>
                <w:szCs w:val="20"/>
              </w:rPr>
              <w:t xml:space="preserve">$40M pension funds redirected under new OPEB policy. Structural deficit materially reduced or eliminated.</w:t>
            </w:r>
          </w:p>
        </w:tc>
      </w:tr>
    </w:tbl>
    <w:p>
      <w:pPr>
        <w:spacing w:before="40" w:after="40"/>
      </w:pPr>
      <w:r>
        <w:t xml:space="preserve"/>
      </w:r>
    </w:p>
    <w:p>
      <w:pPr>
        <w:pStyle w:val="Heading1"/>
        <w:spacing w:before="400" w:after="140"/>
      </w:pPr>
      <w:r>
        <w:rPr>
          <w:rFonts w:ascii="Arial" w:cs="Arial" w:eastAsia="Arial" w:hAnsi="Arial"/>
          <w:b/>
          <w:bCs/>
          <w:color w:val="042C53"/>
          <w:sz w:val="40"/>
          <w:szCs w:val="40"/>
        </w:rPr>
        <w:t xml:space="preserve">A Civic Vision for Brookline's Financial Future</w:t>
      </w:r>
    </w:p>
    <w:p>
      <w:pPr>
        <w:spacing w:before="60" w:after="100"/>
      </w:pPr>
      <w:r>
        <w:rPr>
          <w:rFonts w:ascii="Arial" w:cs="Arial" w:eastAsia="Arial" w:hAnsi="Arial"/>
          <w:color w:val="1A1A18"/>
          <w:sz w:val="22"/>
          <w:szCs w:val="22"/>
        </w:rPr>
        <w:t xml:space="preserve">Brookline is an extraordinary place. It has exceptional schools, rich civic life, world-class proximity, and a community that genuinely cares about getting things right. The structural budget deficit does not reflect a failure of values or governance — it reflects a mismatch between a 1980 tax limitation law and the realities of 21st-century municipal costs.</w:t>
      </w:r>
    </w:p>
    <w:p>
      <w:pPr>
        <w:spacing w:before="60" w:after="100"/>
      </w:pPr>
      <w:r>
        <w:rPr>
          <w:rFonts w:ascii="Arial" w:cs="Arial" w:eastAsia="Arial" w:hAnsi="Arial"/>
          <w:color w:val="1A1A18"/>
          <w:sz w:val="22"/>
          <w:szCs w:val="22"/>
        </w:rPr>
        <w:t xml:space="preserve">The citizens of Brookline have voted for property tax overrides four times in 18 years because they believe in their community and its services. But asking them to vote for a fifth, sixth, and seventh override — each one larger than the last — without a credible long-term plan is not leadership. It is management by crisis.</w:t>
      </w:r>
    </w:p>
    <w:p>
      <w:pPr>
        <w:spacing w:before="60" w:after="100"/>
      </w:pPr>
      <w:r>
        <w:rPr>
          <w:rFonts w:ascii="Arial" w:cs="Arial" w:eastAsia="Arial" w:hAnsi="Arial"/>
          <w:color w:val="1A1A18"/>
          <w:sz w:val="22"/>
          <w:szCs w:val="22"/>
        </w:rPr>
        <w:t xml:space="preserve">This proposal is a start. It is a framework, not a finished answer. The research in each branch will sharpen the estimates, reveal complications we haven't anticipated, and likely surface opportunities we haven't identified yet. The goal is to give Brookline's leaders — on the Select Board, in Town Meeting, and in the community — a rigorous foundation for decisions that will shape this town for the next two decades.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180"/>
            </w:tcMar>
          </w:tcPr>
          <w:p>
            <w:pPr>
              <w:spacing w:before="60" w:after="60"/>
            </w:pPr>
            <w:r>
              <w:rPr>
                <w:rFonts w:ascii="Arial" w:cs="Arial" w:eastAsia="Arial" w:hAnsi="Arial"/>
                <w:b/>
                <w:bCs/>
                <w:color w:val="042C53"/>
                <w:sz w:val="20"/>
                <w:szCs w:val="20"/>
              </w:rPr>
              <w:t xml:space="preserve">What we are asking of Brookline's leaders</w:t>
            </w:r>
          </w:p>
          <w:p>
            <w:pPr>
              <w:pStyle w:val="ListParagraph"/>
              <w:numPr>
                <w:ilvl w:val="0"/>
                <w:numId w:val="2"/>
              </w:numPr>
              <w:spacing w:before="40" w:after="40"/>
            </w:pPr>
            <w:r>
              <w:rPr>
                <w:rFonts w:ascii="Arial" w:cs="Arial" w:eastAsia="Arial" w:hAnsi="Arial"/>
                <w:color w:val="1A1A18"/>
                <w:sz w:val="22"/>
                <w:szCs w:val="22"/>
              </w:rPr>
              <w:t xml:space="preserve">Support the May 2026 override — the town needs the bridge. But commit simultaneously to the structural reforms that make it the last one of this magnitude.</w:t>
            </w:r>
          </w:p>
          <w:p>
            <w:pPr>
              <w:pStyle w:val="ListParagraph"/>
              <w:numPr>
                <w:ilvl w:val="0"/>
                <w:numId w:val="2"/>
              </w:numPr>
              <w:spacing w:before="40" w:after="40"/>
            </w:pPr>
            <w:r>
              <w:rPr>
                <w:rFonts w:ascii="Arial" w:cs="Arial" w:eastAsia="Arial" w:hAnsi="Arial"/>
                <w:color w:val="1A1A18"/>
                <w:sz w:val="22"/>
                <w:szCs w:val="22"/>
              </w:rPr>
              <w:t xml:space="preserve">Assign a Select Board member to economic development as a primary responsibility — today, not after the Comprehensive Plan.</w:t>
            </w:r>
          </w:p>
          <w:p>
            <w:pPr>
              <w:pStyle w:val="ListParagraph"/>
              <w:numPr>
                <w:ilvl w:val="0"/>
                <w:numId w:val="2"/>
              </w:numPr>
              <w:spacing w:before="40" w:after="40"/>
            </w:pPr>
            <w:r>
              <w:rPr>
                <w:rFonts w:ascii="Arial" w:cs="Arial" w:eastAsia="Arial" w:hAnsi="Arial"/>
                <w:color w:val="1A1A18"/>
                <w:sz w:val="22"/>
                <w:szCs w:val="22"/>
              </w:rPr>
              <w:t xml:space="preserve">Formally engage Brookline's State House delegation on METCO SpEd reimbursement before the end of the 2026 legislative session.</w:t>
            </w:r>
          </w:p>
          <w:p>
            <w:pPr>
              <w:pStyle w:val="ListParagraph"/>
              <w:numPr>
                <w:ilvl w:val="0"/>
                <w:numId w:val="2"/>
              </w:numPr>
              <w:spacing w:before="40" w:after="40"/>
            </w:pPr>
            <w:r>
              <w:rPr>
                <w:rFonts w:ascii="Arial" w:cs="Arial" w:eastAsia="Arial" w:hAnsi="Arial"/>
                <w:color w:val="1A1A18"/>
                <w:sz w:val="22"/>
                <w:szCs w:val="22"/>
              </w:rPr>
              <w:t xml:space="preserve">Commission the OPEB actuarial scenarios and Moody’s consultation no later than FY28 — the 2030 decision needs a two-year runway to implement.</w:t>
            </w:r>
          </w:p>
          <w:p>
            <w:pPr>
              <w:pStyle w:val="ListParagraph"/>
              <w:numPr>
                <w:ilvl w:val="0"/>
                <w:numId w:val="2"/>
              </w:numPr>
              <w:spacing w:before="40" w:after="40"/>
            </w:pPr>
            <w:r>
              <w:rPr>
                <w:rFonts w:ascii="Arial" w:cs="Arial" w:eastAsia="Arial" w:hAnsi="Arial"/>
                <w:color w:val="1A1A18"/>
                <w:sz w:val="22"/>
                <w:szCs w:val="22"/>
              </w:rPr>
              <w:t xml:space="preserve">Establish a citizen oversight body — with real data access and a public reporting cadence — to track progress on all three branches annually.</w:t>
            </w:r>
          </w:p>
        </w:tc>
      </w:tr>
    </w:tbl>
    <w:p>
      <w:pPr>
        <w:spacing w:before="40" w:after="40"/>
      </w:pPr>
      <w:r>
        <w:t xml:space="preserve"/>
      </w:r>
    </w:p>
    <w:p>
      <w:pPr>
        <w:pBdr>
          <w:top w:val="single" w:color="D3D1C7" w:sz="4" w:space="4"/>
        </w:pBdr>
        <w:spacing w:before="80" w:after="40"/>
      </w:pPr>
      <w:r>
        <w:rPr>
          <w:rFonts w:ascii="Arial" w:cs="Arial" w:eastAsia="Arial" w:hAnsi="Arial"/>
          <w:color w:val="888780"/>
          <w:sz w:val="18"/>
          <w:szCs w:val="18"/>
        </w:rPr>
        <w:t xml:space="preserve">Document Status: Working Draft  |  Version 1.0  |  March 2026  |  This document will be updated as branch research is completed</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tabs>
        <w:tab w:val="right" w:pos="9026"/>
      </w:tabs>
      <w:spacing w:before="80"/>
    </w:pPr>
    <w:r>
      <w:rPr>
        <w:rFonts w:ascii="Arial" w:cs="Arial" w:eastAsia="Arial" w:hAnsi="Arial"/>
        <w:color w:val="888780"/>
        <w:sz w:val="16"/>
        <w:szCs w:val="16"/>
      </w:rPr>
      <w:t xml:space="preserve">Working Draft  |  March 2026</w:t>
    </w:r>
    <w:r>
      <w:rPr>
        <w:rFonts w:ascii="Arial" w:cs="Arial" w:eastAsia="Arial" w:hAnsi="Arial"/>
        <w:color w:val="88878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4"/>
      </w:pBdr>
      <w:spacing w:after="100"/>
    </w:pPr>
    <w:r>
      <w:rPr>
        <w:rFonts w:ascii="Arial" w:cs="Arial" w:eastAsia="Arial" w:hAnsi="Arial"/>
        <w:b/>
        <w:bCs/>
        <w:color w:val="185FA5"/>
        <w:sz w:val="18"/>
        <w:szCs w:val="18"/>
      </w:rPr>
      <w:t xml:space="preserve">BROOKLINE BUDGET REFORM — THREE-BRANCH PROPOSAL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042C53"/>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1A1A18"/>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A1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2026-03-21T22:15:35.746Z</dcterms:created>
  <dcterms:modified xsi:type="dcterms:W3CDTF">2026-03-21T22:15:35.747Z</dcterms:modified>
</cp:coreProperties>
</file>

<file path=docProps/custom.xml><?xml version="1.0" encoding="utf-8"?>
<Properties xmlns="http://schemas.openxmlformats.org/officeDocument/2006/custom-properties" xmlns:vt="http://schemas.openxmlformats.org/officeDocument/2006/docPropsVTypes"/>
</file>