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5A568882" w14:textId="315B6621" w:rsidR="003620BB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8300" w:history="1">
            <w:r w:rsidR="003620BB" w:rsidRPr="000B377E">
              <w:rPr>
                <w:rStyle w:val="Hiperligao"/>
                <w:noProof/>
              </w:rPr>
              <w:t>Introdução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_Toc116648300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3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44BFBDE4" w14:textId="2A4F3175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1" w:history="1">
            <w:r w:rsidR="003620BB" w:rsidRPr="000B377E">
              <w:rPr>
                <w:rStyle w:val="Hiperligao"/>
                <w:noProof/>
              </w:rPr>
              <w:t>1. Modelo de ameaça: quem são os invasores e quais são as suas capacidades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_Toc116648301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0AE4A56E" w14:textId="33C56EC4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2" w:history="1">
            <w:r w:rsidR="003620BB" w:rsidRPr="000B377E">
              <w:rPr>
                <w:rStyle w:val="Hiperligao"/>
                <w:noProof/>
              </w:rPr>
              <w:t>2. Desenho do esquema de comunicação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_Toc116648302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00AB1906" w14:textId="36489F5C" w:rsidR="003620BB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3" w:history="1">
            <w:r w:rsidR="003620BB" w:rsidRPr="000B377E">
              <w:rPr>
                <w:rStyle w:val="Hiperligao"/>
                <w:noProof/>
              </w:rPr>
              <w:t>2.1. Sem validação da Autenticidade e Integridade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_Toc116648303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3EEBA72A" w14:textId="46609E5F" w:rsidR="003620BB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4" w:history="1">
            <w:r w:rsidR="003620BB" w:rsidRPr="000B377E">
              <w:rPr>
                <w:rStyle w:val="Hiperligao"/>
                <w:noProof/>
              </w:rPr>
              <w:t>2.2. Com validação da Autenticidade e Integridade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_Toc116648304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7178C1A2" w14:textId="738EC528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5" w:history="1">
            <w:r w:rsidR="003620BB" w:rsidRPr="000B377E">
              <w:rPr>
                <w:rStyle w:val="Hiperligao"/>
                <w:noProof/>
              </w:rPr>
              <w:t>5. Análise de dados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_Toc116648305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40A9652E" w14:textId="5CAF5AAF" w:rsidR="003620BB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6" w:history="1">
            <w:r w:rsidR="003620BB" w:rsidRPr="000B377E">
              <w:rPr>
                <w:rStyle w:val="Hiperligao"/>
                <w:noProof/>
              </w:rPr>
              <w:t>5.1. Impacte das colunas “</w:t>
            </w:r>
            <w:r w:rsidR="003620BB" w:rsidRPr="000B377E">
              <w:rPr>
                <w:rStyle w:val="Hiperligao"/>
                <w:i/>
                <w:iCs/>
                <w:noProof/>
              </w:rPr>
              <w:t>past</w:t>
            </w:r>
            <w:r w:rsidR="003620BB" w:rsidRPr="000B377E">
              <w:rPr>
                <w:rStyle w:val="Hiperligao"/>
                <w:noProof/>
              </w:rPr>
              <w:t>” nos incumprimentos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_Toc116648306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3D9B5CF8" w14:textId="2A9E72E0" w:rsidR="003620BB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7" w:history="1">
            <w:r w:rsidR="003620BB" w:rsidRPr="000B377E">
              <w:rPr>
                <w:rStyle w:val="Hiperligao"/>
                <w:noProof/>
              </w:rPr>
              <w:t>5.2. Impacte da idade dos clientes nos empréstimos em incumprimento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_Toc116648307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6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0C4A65F9" w14:textId="58CDC58C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8" w:history="1">
            <w:r w:rsidR="003620BB" w:rsidRPr="000B377E">
              <w:rPr>
                <w:rStyle w:val="Hiperligao"/>
                <w:noProof/>
              </w:rPr>
              <w:t>6. Tempo de execução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_Toc116648308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7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1D36A6B3" w14:textId="1A7A3ABF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9" w:history="1">
            <w:r w:rsidR="003620BB" w:rsidRPr="000B377E">
              <w:rPr>
                <w:rStyle w:val="Hiperligao"/>
                <w:noProof/>
              </w:rPr>
              <w:t>Conclusão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_Toc116648309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8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54A5DF11" w14:textId="692BD830" w:rsidR="003620B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10" w:history="1">
            <w:r w:rsidR="003620BB" w:rsidRPr="000B377E">
              <w:rPr>
                <w:rStyle w:val="Hiperligao"/>
                <w:noProof/>
              </w:rPr>
              <w:t>Referências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_Toc116648310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9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16E2C280" w14:textId="7A6B784C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8300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1FC7F97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</w:t>
      </w:r>
      <w:r w:rsidR="003620BB">
        <w:t>e</w:t>
      </w:r>
      <w:r w:rsidR="008809E6">
        <w:t xml:space="preserve">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8301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ControlER e a Delen</w:t>
      </w:r>
      <w:r w:rsidR="00DC1C88" w:rsidRPr="00776915">
        <w:t>t</w:t>
      </w:r>
      <w:r w:rsidR="005E0587" w:rsidRPr="00776915">
        <w:t xml:space="preserve">ture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3132597C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</w:t>
      </w:r>
      <w:r w:rsidR="00770C0D">
        <w:t>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8302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8303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Decidimos utilizar o algoritmo de Diffie-Hellman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39FB785" w:rsidR="008809E6" w:rsidRDefault="008809E6" w:rsidP="008809E6"/>
    <w:p w14:paraId="5150627A" w14:textId="77777777" w:rsidR="00770C0D" w:rsidRPr="008809E6" w:rsidRDefault="00770C0D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8304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 utilizar o algoritmo de Diffie-Hellman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8305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6CC27110" w:rsidR="00390972" w:rsidRDefault="00390972" w:rsidP="00390972">
      <w:pPr>
        <w:pStyle w:val="Ttulo2"/>
      </w:pPr>
      <w:r>
        <w:tab/>
      </w:r>
      <w:bookmarkStart w:id="6" w:name="_Toc116648306"/>
      <w:r>
        <w:t>5.1. Impact</w:t>
      </w:r>
      <w:r w:rsidR="003620BB">
        <w:t>e</w:t>
      </w:r>
      <w:r>
        <w:t xml:space="preserve"> das colunas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785763FD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>Decidimos visualizar o impact</w:t>
      </w:r>
      <w:r w:rsidR="003620BB">
        <w:t>e</w:t>
      </w:r>
      <w:r w:rsidR="00390972">
        <w:t xml:space="preserve"> das colunas </w:t>
      </w:r>
      <w:r w:rsidR="00776915">
        <w:t>“</w:t>
      </w:r>
      <w:r w:rsidR="00390972" w:rsidRPr="00776915">
        <w:rPr>
          <w:i/>
          <w:iCs/>
        </w:rPr>
        <w:t>past</w:t>
      </w:r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696762A0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que mais impact</w:t>
      </w:r>
      <w:r w:rsidR="003620BB">
        <w:t>e</w:t>
      </w:r>
      <w:r>
        <w:t xml:space="preserve"> tem nos empréstimos em incumprimento é a coluna dos empréstimos passados cancelados. Podemos deduzir que estes foram cancelados precisamente por estarem em incumprimento</w:t>
      </w:r>
      <w:r w:rsidR="001873DB">
        <w:t xml:space="preserve"> ou por o cliente ter alguns nessa situação</w:t>
      </w:r>
      <w:r>
        <w:t>.</w:t>
      </w:r>
    </w:p>
    <w:p w14:paraId="2E577864" w14:textId="5DA2A92B" w:rsidR="005D7030" w:rsidRDefault="005D7030" w:rsidP="00390972">
      <w:pPr>
        <w:ind w:left="708" w:firstLine="708"/>
        <w:jc w:val="both"/>
      </w:pPr>
      <w:r>
        <w:t>Embora com impac</w:t>
      </w:r>
      <w:r w:rsidR="003620BB">
        <w:t>te</w:t>
      </w:r>
      <w:r>
        <w:t xml:space="preserve">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>uma vez que, talvez o tenham sido por, no passado, o cliente ter</w:t>
      </w:r>
      <w:r w:rsidR="00770C0D">
        <w:t xml:space="preserve"> falhado em</w:t>
      </w:r>
      <w:r>
        <w:t xml:space="preserve"> alguns </w:t>
      </w:r>
      <w:r w:rsidR="008A1436">
        <w:t>empréstimos.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5111EC1" w:rsidR="002D6FB9" w:rsidRDefault="002D6FB9" w:rsidP="00390972">
      <w:pPr>
        <w:ind w:left="708" w:firstLine="708"/>
        <w:jc w:val="both"/>
      </w:pPr>
      <w:r>
        <w:t>Por último, com ainda menos impact</w:t>
      </w:r>
      <w:r w:rsidR="003620BB">
        <w:t>e</w:t>
      </w:r>
      <w:r>
        <w:t xml:space="preserve">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</w:t>
      </w:r>
      <w:r w:rsidR="00770C0D">
        <w:t xml:space="preserve">facto de o </w:t>
      </w:r>
      <w:r>
        <w:t>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24537BF9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r w:rsidRPr="00776915">
        <w:rPr>
          <w:i/>
          <w:iCs/>
        </w:rPr>
        <w:t>past</w:t>
      </w:r>
      <w:r w:rsidR="00776915">
        <w:rPr>
          <w:i/>
          <w:iCs/>
        </w:rPr>
        <w:t>”</w:t>
      </w:r>
      <w:r>
        <w:t xml:space="preserve"> tem impact</w:t>
      </w:r>
      <w:r w:rsidR="003620BB">
        <w:t>e</w:t>
      </w:r>
      <w:r>
        <w:t xml:space="preserve"> na coluna </w:t>
      </w:r>
      <w:r w:rsidR="00776915">
        <w:t>“</w:t>
      </w:r>
      <w:r w:rsidRPr="00776915">
        <w:rPr>
          <w:i/>
          <w:iCs/>
        </w:rPr>
        <w:t>infringed</w:t>
      </w:r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56D77919" w:rsidR="00D70D80" w:rsidRDefault="00D70D80" w:rsidP="00D70D80">
      <w:pPr>
        <w:pStyle w:val="Ttulo2"/>
        <w:ind w:firstLine="708"/>
      </w:pPr>
      <w:bookmarkStart w:id="7" w:name="_Toc116648307"/>
      <w:r>
        <w:t>5.2. Impact</w:t>
      </w:r>
      <w:r w:rsidR="003620BB">
        <w:t>e</w:t>
      </w:r>
      <w:r>
        <w:t xml:space="preserve">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709270AE" w:rsidR="00D70D80" w:rsidRDefault="00D70D80" w:rsidP="00D70D80">
      <w:pPr>
        <w:ind w:left="708"/>
        <w:jc w:val="both"/>
      </w:pPr>
      <w:r>
        <w:tab/>
        <w:t>Nesta secção, decidimos analisar o impact</w:t>
      </w:r>
      <w:r w:rsidR="003620BB">
        <w:t>e</w:t>
      </w:r>
      <w:r>
        <w:t xml:space="preserve">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3921A41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</w:t>
      </w:r>
      <w:r w:rsidR="003620BB">
        <w:t xml:space="preserve">se </w:t>
      </w:r>
      <w:r>
        <w:t xml:space="preserve">vai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8308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</w:t>
      </w:r>
      <w:r w:rsidRPr="00D8311F">
        <w:rPr>
          <w:i/>
          <w:iCs/>
        </w:rPr>
        <w:t>outliers</w:t>
      </w:r>
      <w:r>
        <w:t xml:space="preserve">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r w:rsidR="00AA680D" w:rsidRPr="00AA680D">
        <w:rPr>
          <w:i/>
          <w:iCs/>
        </w:rPr>
        <w:t>counter</w:t>
      </w:r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8309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08AE08AB" w:rsidR="00C82DDF" w:rsidRDefault="00C82DDF" w:rsidP="008809E6">
      <w:pPr>
        <w:jc w:val="both"/>
      </w:pPr>
      <w:r>
        <w:tab/>
      </w:r>
      <w:r w:rsidR="008809E6">
        <w:t xml:space="preserve">Ao longo deste trabalho ficou claro que devemos sempre encriptar ficheiros com algoritmos que tenham mecanismos de validação da integridade e autenticidade. Isto leva a que haja uma maior segurança </w:t>
      </w:r>
      <w:r w:rsidR="005C5B64">
        <w:t>já</w:t>
      </w:r>
      <w:r w:rsidR="008809E6">
        <w:t xml:space="preserve"> que, mesmo que um invasor intersete o ficheiro, não </w:t>
      </w:r>
      <w:r w:rsidR="005C5B64">
        <w:t>consegue</w:t>
      </w:r>
      <w:r w:rsidR="008809E6">
        <w:t xml:space="preserve"> alterá-lo </w:t>
      </w:r>
      <w:r w:rsidR="005C5B64">
        <w:t>uma vez</w:t>
      </w:r>
      <w:r w:rsidR="008809E6">
        <w:t xml:space="preserve">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r w:rsidRPr="00526D0D">
        <w:rPr>
          <w:i/>
          <w:iCs/>
        </w:rPr>
        <w:t>dataset</w:t>
      </w:r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178F3C46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8310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Lutes, J. (2020, 2 de dezembro).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>Pandas - Data Correlations</w:t>
      </w:r>
      <w:r w:rsidRPr="00CE2A20">
        <w:rPr>
          <w:rFonts w:cstheme="minorHAnsi"/>
          <w:color w:val="000000"/>
        </w:rPr>
        <w:t>. (s.d.).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>Pandas Correlation of Columns</w:t>
      </w:r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(s.d.). Spark by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Gurav, S. (2022, 10 de agosto).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Lee, A. (2020, 10 de maio). </w:t>
      </w:r>
      <w:r w:rsidRPr="00CE2A20">
        <w:rPr>
          <w:rFonts w:cstheme="minorHAnsi"/>
          <w:i/>
          <w:iCs/>
          <w:color w:val="000000"/>
          <w:lang w:val="en-GB"/>
        </w:rPr>
        <w:t>Making Plots with the Pandas groupby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Plot the Size of each Group in a Groupby object in Pandas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Pandas GroupBy - Count occurrences in column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Run a basic correlation between two columns of a dataframe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Stack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Welcome to pyca/cryptography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Welcome to pyca/cryptography — Cryptography 39.0.0.dev1 documentation.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77B6" w14:textId="77777777" w:rsidR="00A563CC" w:rsidRDefault="00A563CC" w:rsidP="00F43784">
      <w:pPr>
        <w:spacing w:after="0" w:line="240" w:lineRule="auto"/>
      </w:pPr>
      <w:r>
        <w:separator/>
      </w:r>
    </w:p>
  </w:endnote>
  <w:endnote w:type="continuationSeparator" w:id="0">
    <w:p w14:paraId="45EA3063" w14:textId="77777777" w:rsidR="00A563CC" w:rsidRDefault="00A563CC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1DC3" w14:textId="77777777" w:rsidR="00A563CC" w:rsidRDefault="00A563CC" w:rsidP="00F43784">
      <w:pPr>
        <w:spacing w:after="0" w:line="240" w:lineRule="auto"/>
      </w:pPr>
      <w:r>
        <w:separator/>
      </w:r>
    </w:p>
  </w:footnote>
  <w:footnote w:type="continuationSeparator" w:id="0">
    <w:p w14:paraId="44629FC4" w14:textId="77777777" w:rsidR="00A563CC" w:rsidRDefault="00A563CC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F3E7B"/>
    <w:rsid w:val="00113643"/>
    <w:rsid w:val="0015671D"/>
    <w:rsid w:val="00173535"/>
    <w:rsid w:val="001873DB"/>
    <w:rsid w:val="002270F2"/>
    <w:rsid w:val="00281ABB"/>
    <w:rsid w:val="002D5D99"/>
    <w:rsid w:val="002D6FB9"/>
    <w:rsid w:val="00351BFA"/>
    <w:rsid w:val="003620BB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C5B64"/>
    <w:rsid w:val="005D7030"/>
    <w:rsid w:val="005E0587"/>
    <w:rsid w:val="00650771"/>
    <w:rsid w:val="00652727"/>
    <w:rsid w:val="006A683E"/>
    <w:rsid w:val="006F41C7"/>
    <w:rsid w:val="007001D0"/>
    <w:rsid w:val="007310EB"/>
    <w:rsid w:val="00770C0D"/>
    <w:rsid w:val="00775714"/>
    <w:rsid w:val="00776915"/>
    <w:rsid w:val="00782E56"/>
    <w:rsid w:val="007B1F2F"/>
    <w:rsid w:val="00813904"/>
    <w:rsid w:val="00824145"/>
    <w:rsid w:val="008809E6"/>
    <w:rsid w:val="008A1436"/>
    <w:rsid w:val="00A008F6"/>
    <w:rsid w:val="00A27066"/>
    <w:rsid w:val="00A539BC"/>
    <w:rsid w:val="00A563C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8311F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1609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51</cp:revision>
  <cp:lastPrinted>2022-10-14T12:59:00Z</cp:lastPrinted>
  <dcterms:created xsi:type="dcterms:W3CDTF">2022-10-03T17:24:00Z</dcterms:created>
  <dcterms:modified xsi:type="dcterms:W3CDTF">2022-10-14T13:32:00Z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