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All Pairs Shortest Path Problem Analysis Report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Daniel Kiel Merlino</w:t>
      </w:r>
    </w:p>
    <w:p>
      <w:pPr>
        <w:pStyle w:val="TextBody"/>
        <w:rPr/>
      </w:pPr>
      <w:r>
        <w:rPr/>
        <w:t>CSCE 4110-001</w:t>
      </w:r>
    </w:p>
    <w:p>
      <w:pPr>
        <w:pStyle w:val="TextBody"/>
        <w:rPr/>
      </w:pPr>
      <w:r>
        <w:rPr/>
        <w:t>04/03/2018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Introduction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Experiment Procedures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Data/Graphs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object>
          <v:shape id="ole_rId2" style="width:276.9pt;height:558.25pt" o:ole="">
            <v:imagedata r:id="rId3" o:title=""/>
          </v:shape>
          <o:OLEObject Type="Embed" ProgID="Excel.Sheet.12" ShapeID="ole_rId2" DrawAspect="Content" ObjectID="_142254837" r:id="rId2"/>
        </w:objec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7167245" cy="405765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5759450" cy="3239770"/>
            <wp:effectExtent l="0" t="0" r="0" b="0"/>
            <wp:docPr id="2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5759450" cy="3239770"/>
            <wp:effectExtent l="0" t="0" r="0" b="0"/>
            <wp:docPr id="3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Conclusion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jc w:val="center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rFonts w:ascii="Times New Roman" w:hAnsi="Times New Roman"/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Dijkstra's vs. Floyd-Warshall's Run Time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Dijkstra’s</c:v>
                </c:pt>
              </c:strCache>
            </c:strRef>
          </c:tx>
          <c:spPr>
            <a:solidFill>
              <a:srgbClr val="99ccf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0"/>
                <c:pt idx="0">
                  <c:v>54</c:v>
                </c:pt>
                <c:pt idx="1">
                  <c:v>58</c:v>
                </c:pt>
                <c:pt idx="2">
                  <c:v>90</c:v>
                </c:pt>
                <c:pt idx="3">
                  <c:v>104</c:v>
                </c:pt>
                <c:pt idx="4">
                  <c:v>142</c:v>
                </c:pt>
                <c:pt idx="5">
                  <c:v>144</c:v>
                </c:pt>
                <c:pt idx="6">
                  <c:v>182</c:v>
                </c:pt>
                <c:pt idx="7">
                  <c:v>207</c:v>
                </c:pt>
                <c:pt idx="8">
                  <c:v>227</c:v>
                </c:pt>
                <c:pt idx="9">
                  <c:v>355</c:v>
                </c:pt>
                <c:pt idx="10">
                  <c:v>356</c:v>
                </c:pt>
                <c:pt idx="11">
                  <c:v>382</c:v>
                </c:pt>
                <c:pt idx="12">
                  <c:v>400</c:v>
                </c:pt>
                <c:pt idx="13">
                  <c:v>419</c:v>
                </c:pt>
                <c:pt idx="14">
                  <c:v>428</c:v>
                </c:pt>
                <c:pt idx="15">
                  <c:v>430</c:v>
                </c:pt>
                <c:pt idx="16">
                  <c:v>498</c:v>
                </c:pt>
                <c:pt idx="17">
                  <c:v>501</c:v>
                </c:pt>
                <c:pt idx="18">
                  <c:v>506</c:v>
                </c:pt>
                <c:pt idx="19">
                  <c:v>529</c:v>
                </c:pt>
                <c:pt idx="20">
                  <c:v>537</c:v>
                </c:pt>
                <c:pt idx="21">
                  <c:v>553</c:v>
                </c:pt>
                <c:pt idx="22">
                  <c:v>586</c:v>
                </c:pt>
                <c:pt idx="23">
                  <c:v>649</c:v>
                </c:pt>
                <c:pt idx="24">
                  <c:v>672</c:v>
                </c:pt>
                <c:pt idx="25">
                  <c:v>676</c:v>
                </c:pt>
                <c:pt idx="26">
                  <c:v>760</c:v>
                </c:pt>
                <c:pt idx="27">
                  <c:v>774</c:v>
                </c:pt>
                <c:pt idx="28">
                  <c:v>809</c:v>
                </c:pt>
                <c:pt idx="29">
                  <c:v>845</c:v>
                </c:pt>
                <c:pt idx="30">
                  <c:v>852</c:v>
                </c:pt>
                <c:pt idx="31">
                  <c:v>853</c:v>
                </c:pt>
                <c:pt idx="32">
                  <c:v>927</c:v>
                </c:pt>
                <c:pt idx="33">
                  <c:v>940</c:v>
                </c:pt>
                <c:pt idx="34">
                  <c:v>957</c:v>
                </c:pt>
                <c:pt idx="35">
                  <c:v>958</c:v>
                </c:pt>
                <c:pt idx="36">
                  <c:v>982</c:v>
                </c:pt>
                <c:pt idx="37">
                  <c:v>989</c:v>
                </c:pt>
                <c:pt idx="38">
                  <c:v>992</c:v>
                </c:pt>
                <c:pt idx="39">
                  <c:v>994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0"/>
                <c:pt idx="0">
                  <c:v>6.767</c:v>
                </c:pt>
                <c:pt idx="1">
                  <c:v>4.781</c:v>
                </c:pt>
                <c:pt idx="2">
                  <c:v>11.954</c:v>
                </c:pt>
                <c:pt idx="3">
                  <c:v>15.796</c:v>
                </c:pt>
                <c:pt idx="4">
                  <c:v>34.021</c:v>
                </c:pt>
                <c:pt idx="5">
                  <c:v>57.745</c:v>
                </c:pt>
                <c:pt idx="6">
                  <c:v>88.404</c:v>
                </c:pt>
                <c:pt idx="7">
                  <c:v>105.808</c:v>
                </c:pt>
                <c:pt idx="8">
                  <c:v>139.258</c:v>
                </c:pt>
                <c:pt idx="9">
                  <c:v>472.384</c:v>
                </c:pt>
                <c:pt idx="10">
                  <c:v>478.908</c:v>
                </c:pt>
                <c:pt idx="11">
                  <c:v>580.61</c:v>
                </c:pt>
                <c:pt idx="12">
                  <c:v>670.582</c:v>
                </c:pt>
                <c:pt idx="13">
                  <c:v>765.189</c:v>
                </c:pt>
                <c:pt idx="14">
                  <c:v>824.85</c:v>
                </c:pt>
                <c:pt idx="15">
                  <c:v>835.274</c:v>
                </c:pt>
                <c:pt idx="16">
                  <c:v>1281.24</c:v>
                </c:pt>
                <c:pt idx="17">
                  <c:v>1303.46</c:v>
                </c:pt>
                <c:pt idx="18">
                  <c:v>1341.49</c:v>
                </c:pt>
                <c:pt idx="19">
                  <c:v>1552.69</c:v>
                </c:pt>
                <c:pt idx="20">
                  <c:v>1644.73</c:v>
                </c:pt>
                <c:pt idx="21">
                  <c:v>1797.78</c:v>
                </c:pt>
                <c:pt idx="22">
                  <c:v>2133.48</c:v>
                </c:pt>
                <c:pt idx="23">
                  <c:v>2916.67</c:v>
                </c:pt>
                <c:pt idx="24">
                  <c:v>3136.07</c:v>
                </c:pt>
                <c:pt idx="25">
                  <c:v>3311.11</c:v>
                </c:pt>
                <c:pt idx="26">
                  <c:v>4686.65</c:v>
                </c:pt>
                <c:pt idx="27">
                  <c:v>4897.08</c:v>
                </c:pt>
                <c:pt idx="28">
                  <c:v>5744.32</c:v>
                </c:pt>
                <c:pt idx="29">
                  <c:v>6661.14</c:v>
                </c:pt>
                <c:pt idx="30">
                  <c:v>6724.88</c:v>
                </c:pt>
                <c:pt idx="31">
                  <c:v>6781.67</c:v>
                </c:pt>
                <c:pt idx="32">
                  <c:v>8877.55</c:v>
                </c:pt>
                <c:pt idx="33">
                  <c:v>9299.14</c:v>
                </c:pt>
                <c:pt idx="34">
                  <c:v>9837.69</c:v>
                </c:pt>
                <c:pt idx="35">
                  <c:v>9648.08</c:v>
                </c:pt>
                <c:pt idx="36">
                  <c:v>10586.3</c:v>
                </c:pt>
                <c:pt idx="37">
                  <c:v>10371.1</c:v>
                </c:pt>
                <c:pt idx="38">
                  <c:v>10892.6</c:v>
                </c:pt>
                <c:pt idx="39">
                  <c:v>10798.67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Floyd’s</c:v>
                </c:pt>
              </c:strCache>
            </c:strRef>
          </c:tx>
          <c:spPr>
            <a:solidFill>
              <a:srgbClr val="9900ff"/>
            </a:solidFill>
            <a:ln>
              <a:solidFill>
                <a:srgbClr val="000000"/>
              </a:solidFill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0"/>
                <c:pt idx="0">
                  <c:v>54</c:v>
                </c:pt>
                <c:pt idx="1">
                  <c:v>58</c:v>
                </c:pt>
                <c:pt idx="2">
                  <c:v>90</c:v>
                </c:pt>
                <c:pt idx="3">
                  <c:v>104</c:v>
                </c:pt>
                <c:pt idx="4">
                  <c:v>142</c:v>
                </c:pt>
                <c:pt idx="5">
                  <c:v>144</c:v>
                </c:pt>
                <c:pt idx="6">
                  <c:v>182</c:v>
                </c:pt>
                <c:pt idx="7">
                  <c:v>207</c:v>
                </c:pt>
                <c:pt idx="8">
                  <c:v>227</c:v>
                </c:pt>
                <c:pt idx="9">
                  <c:v>355</c:v>
                </c:pt>
                <c:pt idx="10">
                  <c:v>356</c:v>
                </c:pt>
                <c:pt idx="11">
                  <c:v>382</c:v>
                </c:pt>
                <c:pt idx="12">
                  <c:v>400</c:v>
                </c:pt>
                <c:pt idx="13">
                  <c:v>419</c:v>
                </c:pt>
                <c:pt idx="14">
                  <c:v>428</c:v>
                </c:pt>
                <c:pt idx="15">
                  <c:v>430</c:v>
                </c:pt>
                <c:pt idx="16">
                  <c:v>498</c:v>
                </c:pt>
                <c:pt idx="17">
                  <c:v>501</c:v>
                </c:pt>
                <c:pt idx="18">
                  <c:v>506</c:v>
                </c:pt>
                <c:pt idx="19">
                  <c:v>529</c:v>
                </c:pt>
                <c:pt idx="20">
                  <c:v>537</c:v>
                </c:pt>
                <c:pt idx="21">
                  <c:v>553</c:v>
                </c:pt>
                <c:pt idx="22">
                  <c:v>586</c:v>
                </c:pt>
                <c:pt idx="23">
                  <c:v>649</c:v>
                </c:pt>
                <c:pt idx="24">
                  <c:v>672</c:v>
                </c:pt>
                <c:pt idx="25">
                  <c:v>676</c:v>
                </c:pt>
                <c:pt idx="26">
                  <c:v>760</c:v>
                </c:pt>
                <c:pt idx="27">
                  <c:v>774</c:v>
                </c:pt>
                <c:pt idx="28">
                  <c:v>809</c:v>
                </c:pt>
                <c:pt idx="29">
                  <c:v>845</c:v>
                </c:pt>
                <c:pt idx="30">
                  <c:v>852</c:v>
                </c:pt>
                <c:pt idx="31">
                  <c:v>853</c:v>
                </c:pt>
                <c:pt idx="32">
                  <c:v>927</c:v>
                </c:pt>
                <c:pt idx="33">
                  <c:v>940</c:v>
                </c:pt>
                <c:pt idx="34">
                  <c:v>957</c:v>
                </c:pt>
                <c:pt idx="35">
                  <c:v>958</c:v>
                </c:pt>
                <c:pt idx="36">
                  <c:v>982</c:v>
                </c:pt>
                <c:pt idx="37">
                  <c:v>989</c:v>
                </c:pt>
                <c:pt idx="38">
                  <c:v>992</c:v>
                </c:pt>
                <c:pt idx="39">
                  <c:v>994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0"/>
                <c:pt idx="0">
                  <c:v>7.004</c:v>
                </c:pt>
                <c:pt idx="1">
                  <c:v>3.339</c:v>
                </c:pt>
                <c:pt idx="2">
                  <c:v>10.904</c:v>
                </c:pt>
                <c:pt idx="3">
                  <c:v>15.568</c:v>
                </c:pt>
                <c:pt idx="4">
                  <c:v>37.21</c:v>
                </c:pt>
                <c:pt idx="5">
                  <c:v>39.181</c:v>
                </c:pt>
                <c:pt idx="6">
                  <c:v>79.051</c:v>
                </c:pt>
                <c:pt idx="7">
                  <c:v>118.385</c:v>
                </c:pt>
                <c:pt idx="8">
                  <c:v>153.586</c:v>
                </c:pt>
                <c:pt idx="9">
                  <c:v>596.288</c:v>
                </c:pt>
                <c:pt idx="10">
                  <c:v>593.118</c:v>
                </c:pt>
                <c:pt idx="11">
                  <c:v>734.847</c:v>
                </c:pt>
                <c:pt idx="12">
                  <c:v>858.609</c:v>
                </c:pt>
                <c:pt idx="13">
                  <c:v>973.308</c:v>
                </c:pt>
                <c:pt idx="14">
                  <c:v>1052.43</c:v>
                </c:pt>
                <c:pt idx="15">
                  <c:v>1058.87</c:v>
                </c:pt>
                <c:pt idx="16">
                  <c:v>1627.5</c:v>
                </c:pt>
                <c:pt idx="17">
                  <c:v>1645.77</c:v>
                </c:pt>
                <c:pt idx="18">
                  <c:v>1707.29</c:v>
                </c:pt>
                <c:pt idx="19">
                  <c:v>1957.32</c:v>
                </c:pt>
                <c:pt idx="20">
                  <c:v>2071.21</c:v>
                </c:pt>
                <c:pt idx="21">
                  <c:v>2145.55</c:v>
                </c:pt>
                <c:pt idx="22">
                  <c:v>2657.66</c:v>
                </c:pt>
                <c:pt idx="23">
                  <c:v>3614.41</c:v>
                </c:pt>
                <c:pt idx="24">
                  <c:v>3891.17</c:v>
                </c:pt>
                <c:pt idx="25">
                  <c:v>4117.58</c:v>
                </c:pt>
                <c:pt idx="26">
                  <c:v>5605.19</c:v>
                </c:pt>
                <c:pt idx="27">
                  <c:v>5944.5</c:v>
                </c:pt>
                <c:pt idx="28">
                  <c:v>7028.45</c:v>
                </c:pt>
                <c:pt idx="29">
                  <c:v>7960.77</c:v>
                </c:pt>
                <c:pt idx="30">
                  <c:v>8227.86</c:v>
                </c:pt>
                <c:pt idx="31">
                  <c:v>8217.46</c:v>
                </c:pt>
                <c:pt idx="32">
                  <c:v>10585.3</c:v>
                </c:pt>
                <c:pt idx="33">
                  <c:v>11092.9</c:v>
                </c:pt>
                <c:pt idx="34">
                  <c:v>11752.8</c:v>
                </c:pt>
                <c:pt idx="35">
                  <c:v>11651</c:v>
                </c:pt>
                <c:pt idx="36">
                  <c:v>12616.2</c:v>
                </c:pt>
                <c:pt idx="37">
                  <c:v>12392.7</c:v>
                </c:pt>
                <c:pt idx="38">
                  <c:v>12961.2</c:v>
                </c:pt>
                <c:pt idx="39">
                  <c:v>13047.2</c:v>
                </c:pt>
              </c:numCache>
            </c:numRef>
          </c:val>
        </c:ser>
        <c:gapWidth val="100"/>
        <c:overlap val="0"/>
        <c:axId val="25733471"/>
        <c:axId val="75402478"/>
      </c:barChart>
      <c:catAx>
        <c:axId val="2573347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Number of Vertices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5402478"/>
        <c:crosses val="autoZero"/>
        <c:auto val="1"/>
        <c:lblAlgn val="ctr"/>
        <c:lblOffset val="100"/>
      </c:catAx>
      <c:valAx>
        <c:axId val="7540247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 (ms)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573347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Mean Average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Floyd-Warshall's</c:v>
                </c:pt>
              </c:strCache>
            </c:strRef>
          </c:tx>
          <c:spPr>
            <a:solidFill>
              <a:srgbClr val="9933f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Time (ms)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4271.2672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Dijkstra's</c:v>
                </c:pt>
              </c:strCache>
            </c:strRef>
          </c:tx>
          <c:spPr>
            <a:solidFill>
              <a:srgbClr val="99ccf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Time (ms)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3532.948025</c:v>
                </c:pt>
              </c:numCache>
            </c:numRef>
          </c:val>
        </c:ser>
        <c:gapWidth val="100"/>
        <c:overlap val="0"/>
        <c:axId val="52516465"/>
        <c:axId val="12515232"/>
      </c:barChart>
      <c:catAx>
        <c:axId val="52516465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2515232"/>
        <c:crosses val="autoZero"/>
        <c:auto val="1"/>
        <c:lblAlgn val="ctr"/>
        <c:lblOffset val="100"/>
      </c:catAx>
      <c:valAx>
        <c:axId val="125152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251646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Standard Deviation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Floyd-Warshall's</c:v>
                </c:pt>
              </c:strCache>
            </c:strRef>
          </c:tx>
          <c:spPr>
            <a:solidFill>
              <a:srgbClr val="9933f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4537.0022838256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Dijkstra's</c:v>
                </c:pt>
              </c:strCache>
            </c:strRef>
          </c:tx>
          <c:spPr>
            <a:solidFill>
              <a:srgbClr val="99ccff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3794.3764626509</c:v>
                </c:pt>
              </c:numCache>
            </c:numRef>
          </c:val>
        </c:ser>
        <c:gapWidth val="100"/>
        <c:overlap val="0"/>
        <c:axId val="36491331"/>
        <c:axId val="16783458"/>
      </c:barChart>
      <c:catAx>
        <c:axId val="36491331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6783458"/>
        <c:crosses val="autoZero"/>
        <c:auto val="1"/>
        <c:lblAlgn val="ctr"/>
        <c:lblOffset val="100"/>
      </c:catAx>
      <c:valAx>
        <c:axId val="167834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649133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5</Pages>
  <Words>18</Words>
  <Characters>133</Characters>
  <CharactersWithSpaces>143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2018-03-30T20:13:46Z</dcterms:created>
  <dc:creator/>
  <dc:description/>
  <dc:language>en-US</dc:language>
  <cp:lastModifiedBy/>
  <dcterms:modified xsi:type="dcterms:W3CDTF">2018-04-01T19:47:31Z</dcterms:modified>
  <cp:revision>3</cp:revision>
  <dc:subject/>
  <dc:title/>
</cp:coreProperties>
</file>