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7018" w14:textId="42AA9B51" w:rsidR="006729DA" w:rsidRDefault="009E5C47">
      <w:r>
        <w:t>Danielle Monroe</w:t>
      </w:r>
    </w:p>
    <w:p w14:paraId="26154500" w14:textId="042AB027" w:rsidR="009E5C47" w:rsidRDefault="009E5C47">
      <w:r>
        <w:t>8-2 Journal: Portfolio Reflection</w:t>
      </w:r>
    </w:p>
    <w:p w14:paraId="74B48322" w14:textId="4C17ADAE" w:rsidR="009E5C47" w:rsidRDefault="009E5C47"/>
    <w:p w14:paraId="436ECFA4" w14:textId="40CD0D3D" w:rsidR="009E5C47" w:rsidRDefault="009E5C47">
      <w:r w:rsidRPr="009E5C47">
        <w:rPr>
          <w:b/>
          <w:bCs/>
        </w:rPr>
        <w:t>Adoption of a secure coding standard, and not leaving security to the end</w:t>
      </w:r>
    </w:p>
    <w:p w14:paraId="1581C670" w14:textId="26857390" w:rsidR="00C85F6E" w:rsidRPr="002F497E" w:rsidRDefault="00C85F6E">
      <w:r>
        <w:t>Implementing security from the beginning, at all levels</w:t>
      </w:r>
      <w:r w:rsidR="00C6254B">
        <w:t>, is imperative to building a secure system. If i</w:t>
      </w:r>
      <w:r w:rsidR="00C6254B">
        <w:t xml:space="preserve">mplementing </w:t>
      </w:r>
      <w:r w:rsidR="00C6254B">
        <w:t xml:space="preserve">security is left for the end, </w:t>
      </w:r>
      <w:r w:rsidR="00D7280A">
        <w:t>a plethora of vulnerabilities would arise, hop</w:t>
      </w:r>
      <w:r w:rsidR="00613225">
        <w:t>ef</w:t>
      </w:r>
      <w:r w:rsidR="00D7280A">
        <w:t>ully before deployment</w:t>
      </w:r>
      <w:r w:rsidR="00613225">
        <w:t>. Then, the developers with vulnerabilities within their code; which is likely to be many, if not all, throughout every level of the system; will be obligated to return to their code, digging for where the vulnerabilities are. Needless to say</w:t>
      </w:r>
      <w:r w:rsidR="00614D41">
        <w:t>,</w:t>
      </w:r>
      <w:r w:rsidR="00613225">
        <w:t xml:space="preserve"> that that would be considerably</w:t>
      </w:r>
      <w:r w:rsidR="00580148">
        <w:t xml:space="preserve"> time consuming. </w:t>
      </w:r>
      <w:r w:rsidR="00614D41">
        <w:t>The</w:t>
      </w:r>
      <w:r w:rsidR="009370C6">
        <w:t xml:space="preserve"> purpose of</w:t>
      </w:r>
      <w:r w:rsidR="00614D41">
        <w:t xml:space="preserve"> adop</w:t>
      </w:r>
      <w:r w:rsidR="009370C6">
        <w:t>ting</w:t>
      </w:r>
      <w:r w:rsidR="00614D41">
        <w:t xml:space="preserve"> </w:t>
      </w:r>
      <w:r w:rsidR="002F497E">
        <w:t xml:space="preserve">a </w:t>
      </w:r>
      <w:r w:rsidR="00614D41">
        <w:t>security Coding Standard</w:t>
      </w:r>
      <w:r w:rsidR="007F4275">
        <w:t xml:space="preserve"> </w:t>
      </w:r>
      <w:r w:rsidR="009370C6">
        <w:t xml:space="preserve">is to </w:t>
      </w:r>
      <w:r w:rsidR="00CB0796">
        <w:t>substantially, if not completely,</w:t>
      </w:r>
      <w:r w:rsidR="009370C6">
        <w:t xml:space="preserve"> diminish such vulnerabilities</w:t>
      </w:r>
      <w:r w:rsidR="00CB0796">
        <w:t xml:space="preserve"> and strengthen a systems code.</w:t>
      </w:r>
      <w:r w:rsidR="00673BD2">
        <w:t xml:space="preserve"> By inspecting all incoming data, it can be determined if it’s safe, unsafe, or undetermined, and only safe data is allowed into an application </w:t>
      </w:r>
      <w:r w:rsidR="00673BD2" w:rsidRPr="00673BD2">
        <w:t>(Murray, 2022)</w:t>
      </w:r>
      <w:r w:rsidR="00673BD2">
        <w:t>.</w:t>
      </w:r>
      <w:r w:rsidR="00F06070">
        <w:t xml:space="preserve"> </w:t>
      </w:r>
      <w:r w:rsidR="003F52A5">
        <w:t xml:space="preserve">Coding Standard </w:t>
      </w:r>
      <w:r w:rsidR="005E0C0B" w:rsidRPr="005E0C0B">
        <w:rPr>
          <w:i/>
          <w:iCs/>
        </w:rPr>
        <w:t>V</w:t>
      </w:r>
      <w:r w:rsidR="007F4275" w:rsidRPr="005E0C0B">
        <w:rPr>
          <w:i/>
          <w:iCs/>
        </w:rPr>
        <w:t>alidat</w:t>
      </w:r>
      <w:r w:rsidR="005E0C0B" w:rsidRPr="005E0C0B">
        <w:rPr>
          <w:i/>
          <w:iCs/>
        </w:rPr>
        <w:t>e</w:t>
      </w:r>
      <w:r w:rsidR="007F4275" w:rsidRPr="005E0C0B">
        <w:rPr>
          <w:i/>
          <w:iCs/>
        </w:rPr>
        <w:t xml:space="preserve"> </w:t>
      </w:r>
      <w:r w:rsidR="005E0C0B" w:rsidRPr="005E0C0B">
        <w:rPr>
          <w:i/>
          <w:iCs/>
        </w:rPr>
        <w:t>I</w:t>
      </w:r>
      <w:r w:rsidR="007F4275" w:rsidRPr="005E0C0B">
        <w:rPr>
          <w:i/>
          <w:iCs/>
        </w:rPr>
        <w:t>nput</w:t>
      </w:r>
      <w:r w:rsidR="007F4275">
        <w:t xml:space="preserve"> could mitigate four different </w:t>
      </w:r>
      <w:r w:rsidR="005E0C0B">
        <w:t>vulnerabilities</w:t>
      </w:r>
      <w:r w:rsidR="003F52A5">
        <w:t xml:space="preserve"> that are </w:t>
      </w:r>
      <w:r w:rsidR="008319F3">
        <w:t>possible with</w:t>
      </w:r>
      <w:r w:rsidR="00154469">
        <w:t xml:space="preserve"> incoming, unchecked data</w:t>
      </w:r>
      <w:r w:rsidR="005E0C0B">
        <w:t>:</w:t>
      </w:r>
      <w:r w:rsidR="007F4275">
        <w:t xml:space="preserve"> </w:t>
      </w:r>
      <w:r w:rsidR="005E0C0B">
        <w:t>Cross-Site Scripting, Injection, Insecure Deserialization, and XML External Entities</w:t>
      </w:r>
      <w:r w:rsidR="005E0C0B" w:rsidRPr="005E0C0B">
        <w:t xml:space="preserve"> </w:t>
      </w:r>
      <w:r w:rsidR="005E0C0B" w:rsidRPr="005E0C0B">
        <w:t>(Murray, 2022)</w:t>
      </w:r>
      <w:r w:rsidR="005E0C0B">
        <w:t>.</w:t>
      </w:r>
      <w:r w:rsidR="002F497E">
        <w:t xml:space="preserve"> Combined with the </w:t>
      </w:r>
      <w:r w:rsidR="002F497E">
        <w:rPr>
          <w:i/>
          <w:iCs/>
        </w:rPr>
        <w:t>Principle of Least Privilege</w:t>
      </w:r>
      <w:r w:rsidR="002F497E">
        <w:t xml:space="preserve">, </w:t>
      </w:r>
      <w:r w:rsidR="00CB0796">
        <w:t xml:space="preserve">access to sensitive data and the threat of attack are curtailed. </w:t>
      </w:r>
    </w:p>
    <w:p w14:paraId="5B1AE9FD" w14:textId="328F7FE7" w:rsidR="009E5C47" w:rsidRDefault="009E5C47">
      <w:pPr>
        <w:rPr>
          <w:b/>
          <w:bCs/>
        </w:rPr>
      </w:pPr>
    </w:p>
    <w:p w14:paraId="462A9776" w14:textId="77F59082" w:rsidR="009E5C47" w:rsidRDefault="009E5C47">
      <w:r w:rsidRPr="009E5C47">
        <w:rPr>
          <w:b/>
          <w:bCs/>
        </w:rPr>
        <w:t>Evaluation and assessment of risk and cost benefit of mitigation</w:t>
      </w:r>
    </w:p>
    <w:p w14:paraId="22B5B4F4" w14:textId="595D87A0" w:rsidR="009E5C47" w:rsidRPr="00446A4F" w:rsidRDefault="00607077">
      <w:r>
        <w:t xml:space="preserve">An assessment of risk catches and evaluates potential vulnerabilities </w:t>
      </w:r>
      <w:r w:rsidR="00A75D8D">
        <w:t>from data of</w:t>
      </w:r>
      <w:r>
        <w:t xml:space="preserve"> miscellaneous</w:t>
      </w:r>
      <w:r w:rsidR="00A75D8D">
        <w:t xml:space="preserve"> resources. These vulnerabilities are prioritized by resource and varying risks that </w:t>
      </w:r>
      <w:r w:rsidR="000F49C4">
        <w:t xml:space="preserve">feasibly would affect those vulnerabilities </w:t>
      </w:r>
      <w:r w:rsidR="000F49C4" w:rsidRPr="000F49C4">
        <w:t>(Allen, 2022)</w:t>
      </w:r>
      <w:r w:rsidR="000F49C4">
        <w:t xml:space="preserve">. </w:t>
      </w:r>
      <w:r w:rsidR="00056B28">
        <w:t xml:space="preserve">The assessment permits an organization the allowance of addressing logged vulnerabilities before an application version is deployed and </w:t>
      </w:r>
      <w:r w:rsidR="00B011FA">
        <w:t>the progress of any existing security endeavors</w:t>
      </w:r>
      <w:r w:rsidR="00056B28">
        <w:t>. Evaluation of the</w:t>
      </w:r>
      <w:r w:rsidR="00B011FA">
        <w:t xml:space="preserve"> assessment grants decision makers a comprehensive conveyance of </w:t>
      </w:r>
      <w:r w:rsidR="00AA4F00">
        <w:t xml:space="preserve">the status of the application’s security, make informed decisions as well as evaluate employees’ performances </w:t>
      </w:r>
      <w:r w:rsidR="00AA4F00">
        <w:t>(Allen, 2022)</w:t>
      </w:r>
      <w:r w:rsidR="00AA4F00">
        <w:t xml:space="preserve">. </w:t>
      </w:r>
      <w:r w:rsidR="00B20002">
        <w:t>The methodology for</w:t>
      </w:r>
      <w:r w:rsidR="00F644AF">
        <w:t xml:space="preserve"> the cost/benefit figure, for mitigation, is base off </w:t>
      </w:r>
      <w:r w:rsidR="005377C1">
        <w:t>the offset between the calculation of the architectural and policy recommendations</w:t>
      </w:r>
      <w:r w:rsidR="00903E58">
        <w:t>,</w:t>
      </w:r>
      <w:r w:rsidR="005377C1">
        <w:t xml:space="preserve"> that’ll be necessary to mitigate the risk</w:t>
      </w:r>
      <w:r w:rsidR="00903E58">
        <w:t>,</w:t>
      </w:r>
      <w:r w:rsidR="005377C1">
        <w:t xml:space="preserve"> and </w:t>
      </w:r>
      <w:r w:rsidR="00AB1362">
        <w:t xml:space="preserve">the </w:t>
      </w:r>
      <w:r w:rsidR="00AB1362" w:rsidRPr="00903E58">
        <w:rPr>
          <w:i/>
          <w:iCs/>
        </w:rPr>
        <w:t>Category of Threats</w:t>
      </w:r>
      <w:r w:rsidR="00AB1362">
        <w:t xml:space="preserve">, that has a ranged set of </w:t>
      </w:r>
      <w:r w:rsidR="00196DE3">
        <w:t>financial loses for</w:t>
      </w:r>
      <w:r w:rsidR="00903E58">
        <w:t xml:space="preserve"> </w:t>
      </w:r>
      <w:r w:rsidR="00196DE3">
        <w:t>average probab</w:t>
      </w:r>
      <w:r w:rsidR="00903E58">
        <w:t>ility occurrences</w:t>
      </w:r>
      <w:r w:rsidR="00903E58" w:rsidRPr="00903E58">
        <w:t xml:space="preserve"> </w:t>
      </w:r>
      <w:r w:rsidR="00903E58">
        <w:t>(Chen et al.)</w:t>
      </w:r>
      <w:r w:rsidR="00903E58">
        <w:t xml:space="preserve">. The </w:t>
      </w:r>
      <w:r w:rsidR="00903E58" w:rsidRPr="00903E58">
        <w:rPr>
          <w:i/>
          <w:iCs/>
        </w:rPr>
        <w:t>Category of Threats</w:t>
      </w:r>
      <w:r w:rsidR="00903E58">
        <w:t xml:space="preserve"> is a set of attacks and misuses that can be harmful to an organization and are categorized by threat level.</w:t>
      </w:r>
      <w:r w:rsidR="0036740D">
        <w:t xml:space="preserve"> The assessment of risk allows for the </w:t>
      </w:r>
      <w:r w:rsidR="0036740D">
        <w:rPr>
          <w:i/>
          <w:iCs/>
        </w:rPr>
        <w:t>Margin of Safety</w:t>
      </w:r>
      <w:r w:rsidR="0036740D">
        <w:t xml:space="preserve"> to be calculated; the aggregation of probabilities of a </w:t>
      </w:r>
      <w:r w:rsidR="0036740D" w:rsidRPr="00903E58">
        <w:rPr>
          <w:i/>
          <w:iCs/>
        </w:rPr>
        <w:t>Category of Threat</w:t>
      </w:r>
      <w:r w:rsidR="002C1A9B">
        <w:rPr>
          <w:i/>
          <w:iCs/>
        </w:rPr>
        <w:t>s</w:t>
      </w:r>
      <w:r w:rsidR="001C7091">
        <w:t xml:space="preserve">; </w:t>
      </w:r>
      <w:r w:rsidR="002C1A9B">
        <w:t xml:space="preserve">and is based on if the </w:t>
      </w:r>
      <w:r w:rsidR="002C1A9B" w:rsidRPr="00903E58">
        <w:rPr>
          <w:i/>
          <w:iCs/>
        </w:rPr>
        <w:t>Category of Threat</w:t>
      </w:r>
      <w:r w:rsidR="002C1A9B">
        <w:rPr>
          <w:i/>
          <w:iCs/>
        </w:rPr>
        <w:t>s</w:t>
      </w:r>
      <w:r w:rsidR="002C1A9B">
        <w:t xml:space="preserve"> has been mitigated or not</w:t>
      </w:r>
      <w:r w:rsidR="0036740D">
        <w:t>.</w:t>
      </w:r>
      <w:r w:rsidR="002C1A9B">
        <w:t xml:space="preserve"> An unmitigated </w:t>
      </w:r>
      <w:r w:rsidR="002C1A9B" w:rsidRPr="00903E58">
        <w:rPr>
          <w:i/>
          <w:iCs/>
        </w:rPr>
        <w:t>Category of Threat</w:t>
      </w:r>
      <w:r w:rsidR="002C1A9B">
        <w:rPr>
          <w:i/>
          <w:iCs/>
        </w:rPr>
        <w:t>s</w:t>
      </w:r>
      <w:r w:rsidR="002C1A9B">
        <w:t xml:space="preserve"> will have what is called a </w:t>
      </w:r>
      <w:r w:rsidR="002C1A9B">
        <w:rPr>
          <w:i/>
          <w:iCs/>
        </w:rPr>
        <w:t>Baseline Risk</w:t>
      </w:r>
      <w:r w:rsidR="002C1A9B">
        <w:t>, while a mitigated</w:t>
      </w:r>
      <w:r w:rsidR="00C5576E">
        <w:t xml:space="preserve"> gets a </w:t>
      </w:r>
      <w:r w:rsidR="00C5576E">
        <w:rPr>
          <w:i/>
          <w:iCs/>
        </w:rPr>
        <w:t>Residual Risk</w:t>
      </w:r>
      <w:r w:rsidR="00C5576E">
        <w:t xml:space="preserve"> </w:t>
      </w:r>
      <w:r w:rsidR="00C5576E">
        <w:t>(Chen et al.).</w:t>
      </w:r>
      <w:r w:rsidR="00C5576E">
        <w:t xml:space="preserve"> The former is the </w:t>
      </w:r>
      <w:r w:rsidR="005243B0">
        <w:t xml:space="preserve">calculated </w:t>
      </w:r>
      <w:r w:rsidR="00F978D5">
        <w:t>event</w:t>
      </w:r>
      <w:r w:rsidR="005243B0">
        <w:t xml:space="preserve"> of risk</w:t>
      </w:r>
      <w:r w:rsidR="00F978D5">
        <w:t xml:space="preserve"> that could happen</w:t>
      </w:r>
      <w:r w:rsidR="005243B0">
        <w:t>,</w:t>
      </w:r>
      <w:r w:rsidR="00F978D5">
        <w:t xml:space="preserve"> if there are no security solutions in place</w:t>
      </w:r>
      <w:r w:rsidR="005243B0">
        <w:t>, at the national average</w:t>
      </w:r>
      <w:r w:rsidR="00F978D5">
        <w:t xml:space="preserve">. The latter is the </w:t>
      </w:r>
      <w:r w:rsidR="005243B0">
        <w:t>calculated event of risk</w:t>
      </w:r>
      <w:r w:rsidR="00304C4A">
        <w:t xml:space="preserve"> to a system with security solutions in place</w:t>
      </w:r>
      <w:r w:rsidR="00205B92">
        <w:t xml:space="preserve"> </w:t>
      </w:r>
      <w:r w:rsidR="00205B92">
        <w:t>(Chen et al.).</w:t>
      </w:r>
      <w:r w:rsidR="00205B92">
        <w:t xml:space="preserve"> The </w:t>
      </w:r>
      <w:r w:rsidR="00205B92">
        <w:rPr>
          <w:i/>
          <w:iCs/>
        </w:rPr>
        <w:t>Bypass Rate</w:t>
      </w:r>
      <w:r w:rsidR="00205B92">
        <w:t xml:space="preserve"> is the rate of an occurrence of risk within the </w:t>
      </w:r>
      <w:r w:rsidR="00205B92">
        <w:rPr>
          <w:i/>
          <w:iCs/>
        </w:rPr>
        <w:t>Residual Risk</w:t>
      </w:r>
      <w:r w:rsidR="00205B92">
        <w:t>.</w:t>
      </w:r>
      <w:r w:rsidR="00446A4F">
        <w:t xml:space="preserve"> A </w:t>
      </w:r>
      <w:r w:rsidR="00446A4F">
        <w:rPr>
          <w:i/>
          <w:iCs/>
        </w:rPr>
        <w:t>Bypass Rate</w:t>
      </w:r>
      <w:r w:rsidR="00446A4F">
        <w:t xml:space="preserve"> of 0% shows all incidents were solved within the security solutions while 100% reveals that nothing was solved </w:t>
      </w:r>
      <w:r w:rsidR="00446A4F">
        <w:t>(Chen et al.).</w:t>
      </w:r>
      <w:r w:rsidR="00453434">
        <w:t xml:space="preserve"> Therefore, the evaluation of the risk assessment leads to a categorized </w:t>
      </w:r>
      <w:r w:rsidR="00453434">
        <w:rPr>
          <w:i/>
          <w:iCs/>
        </w:rPr>
        <w:t>Category of Threats</w:t>
      </w:r>
      <w:r w:rsidR="00453434">
        <w:t xml:space="preserve"> that allows decision makers to make informed, purposeful determinations on how to address security.</w:t>
      </w:r>
    </w:p>
    <w:p w14:paraId="433E642C" w14:textId="0BB888B5" w:rsidR="00607077" w:rsidRDefault="00607077"/>
    <w:p w14:paraId="005244EB" w14:textId="0B2FCE4B" w:rsidR="009E5C47" w:rsidRDefault="009E5C47">
      <w:r w:rsidRPr="009E5C47">
        <w:rPr>
          <w:b/>
          <w:bCs/>
        </w:rPr>
        <w:t>Zero trust</w:t>
      </w:r>
    </w:p>
    <w:p w14:paraId="4409CC31" w14:textId="76BB89D6" w:rsidR="00A94DD5" w:rsidRPr="004507B1" w:rsidRDefault="00A94DD5">
      <w:r>
        <w:rPr>
          <w:i/>
          <w:iCs/>
        </w:rPr>
        <w:t>Zero Trust</w:t>
      </w:r>
      <w:r>
        <w:t xml:space="preserve"> is a self-</w:t>
      </w:r>
      <w:r w:rsidR="000D03EC">
        <w:t xml:space="preserve">explanatory concept that should be implemented into all levels of an organization, security, and the SDLC. In a “zero-trust security architecture,” this involves not trusting devices, users, data, application, and transport/sessions </w:t>
      </w:r>
      <w:r w:rsidR="000D03EC">
        <w:t>(Kueh)</w:t>
      </w:r>
      <w:r w:rsidR="000D03EC">
        <w:t xml:space="preserve">. For devices, a </w:t>
      </w:r>
      <w:r w:rsidR="0023436C">
        <w:t xml:space="preserve">unified </w:t>
      </w:r>
      <w:r w:rsidR="0023436C">
        <w:lastRenderedPageBreak/>
        <w:t xml:space="preserve">endpoint management (UEM) set in place equips programmers with the ability to manage the device; monitor and control it. This is done to a </w:t>
      </w:r>
      <w:r w:rsidR="002B2508">
        <w:t xml:space="preserve">list of specified devices that’re owned by an organization and offers a solution to the monitorization of these devices </w:t>
      </w:r>
      <w:r w:rsidR="002B2508">
        <w:t>(Kueh)</w:t>
      </w:r>
      <w:r w:rsidR="002B2508">
        <w:t xml:space="preserve">. </w:t>
      </w:r>
      <w:r w:rsidR="00AD1EB2">
        <w:t>For users, any input coming from a user should not be trusted; it should be validated and then allowed or denied access. Further, users themselves need to be authenticated. A strong conditional access engine (conditional-access policies and password-less and multi-factor</w:t>
      </w:r>
      <w:r w:rsidR="00D63956">
        <w:t xml:space="preserve"> </w:t>
      </w:r>
      <w:r w:rsidR="00D63956">
        <w:t>authentication</w:t>
      </w:r>
      <w:r w:rsidR="00D63956">
        <w:t xml:space="preserve"> to name a few</w:t>
      </w:r>
      <w:r w:rsidR="00AD1EB2">
        <w:t>)</w:t>
      </w:r>
      <w:r w:rsidR="00D63956">
        <w:t xml:space="preserve"> should be used to enforce the concept </w:t>
      </w:r>
      <w:r w:rsidR="00D63956">
        <w:t>(Kueh)</w:t>
      </w:r>
      <w:r w:rsidR="00D63956">
        <w:t xml:space="preserve">. </w:t>
      </w:r>
      <w:r w:rsidR="0083270B">
        <w:t xml:space="preserve">Within an </w:t>
      </w:r>
      <w:r w:rsidR="0083270B">
        <w:rPr>
          <w:i/>
          <w:iCs/>
        </w:rPr>
        <w:t>Application</w:t>
      </w:r>
      <w:r w:rsidR="0083270B">
        <w:t>, employees</w:t>
      </w:r>
      <w:r w:rsidR="00DD7D88">
        <w:t xml:space="preserve"> need logical access. User authentication, with single sign-ons, provides a way </w:t>
      </w:r>
      <w:r w:rsidR="0026772C">
        <w:t xml:space="preserve">to retain security and </w:t>
      </w:r>
      <w:r w:rsidR="00A95C42">
        <w:t>for the user to encounter an</w:t>
      </w:r>
      <w:r w:rsidR="0026772C">
        <w:t xml:space="preserve"> enhanced</w:t>
      </w:r>
      <w:r w:rsidR="00A95C42">
        <w:t xml:space="preserve"> encounter with the application (Kueh). </w:t>
      </w:r>
      <w:r w:rsidR="00744D2E">
        <w:t xml:space="preserve">Any importing </w:t>
      </w:r>
      <w:r w:rsidR="00744D2E">
        <w:rPr>
          <w:i/>
          <w:iCs/>
        </w:rPr>
        <w:t>Data</w:t>
      </w:r>
      <w:r w:rsidR="00744D2E">
        <w:t xml:space="preserve"> should be held to the Coding Standards </w:t>
      </w:r>
      <w:r w:rsidR="00744D2E">
        <w:rPr>
          <w:i/>
          <w:iCs/>
        </w:rPr>
        <w:t>Input Validation</w:t>
      </w:r>
      <w:r w:rsidR="00744D2E">
        <w:t xml:space="preserve"> and thoroughly sanitized. Inter-system data transporting should enable encryption/decryption practices. These methods adhere do the </w:t>
      </w:r>
      <w:r w:rsidR="00744D2E">
        <w:rPr>
          <w:i/>
          <w:iCs/>
        </w:rPr>
        <w:t>Zero Trust</w:t>
      </w:r>
      <w:r w:rsidR="00744D2E">
        <w:t xml:space="preserve"> concept by not allowing any </w:t>
      </w:r>
      <w:r w:rsidR="00641674">
        <w:t xml:space="preserve">incoming or passing data to move through an application without being scrutinized first. </w:t>
      </w:r>
      <w:r w:rsidR="00D63956" w:rsidRPr="00D63956">
        <w:rPr>
          <w:i/>
          <w:iCs/>
        </w:rPr>
        <w:t>Tra</w:t>
      </w:r>
      <w:r w:rsidR="00D63956">
        <w:rPr>
          <w:i/>
          <w:iCs/>
        </w:rPr>
        <w:t>nsportation/Sessions</w:t>
      </w:r>
      <w:r w:rsidR="00D63956">
        <w:t xml:space="preserve"> applies the </w:t>
      </w:r>
      <w:r w:rsidR="00D63956" w:rsidRPr="00D63956">
        <w:rPr>
          <w:i/>
          <w:iCs/>
        </w:rPr>
        <w:t>Principle of</w:t>
      </w:r>
      <w:r w:rsidR="00D63956">
        <w:t xml:space="preserve"> </w:t>
      </w:r>
      <w:r w:rsidR="00D63956">
        <w:rPr>
          <w:i/>
          <w:iCs/>
        </w:rPr>
        <w:t>Least Privileges</w:t>
      </w:r>
      <w:r w:rsidR="00D63956">
        <w:t xml:space="preserve">. Here a user or system are only given the minimum required access level to execute the </w:t>
      </w:r>
      <w:r w:rsidR="004507B1">
        <w:t xml:space="preserve">primed </w:t>
      </w:r>
      <w:r w:rsidR="00D63956">
        <w:t>operation</w:t>
      </w:r>
      <w:r w:rsidR="004507B1">
        <w:t xml:space="preserve"> </w:t>
      </w:r>
      <w:r w:rsidR="004507B1">
        <w:t>(Kueh)</w:t>
      </w:r>
      <w:r w:rsidR="004507B1">
        <w:t xml:space="preserve">. Implementation of encryption, session protection, and micro-segmentation gives further security by promoting the enforcement of the </w:t>
      </w:r>
      <w:r w:rsidR="004507B1" w:rsidRPr="00D63956">
        <w:rPr>
          <w:i/>
          <w:iCs/>
        </w:rPr>
        <w:t>Principle of</w:t>
      </w:r>
      <w:r w:rsidR="004507B1">
        <w:t xml:space="preserve"> </w:t>
      </w:r>
      <w:r w:rsidR="004507B1">
        <w:rPr>
          <w:i/>
          <w:iCs/>
        </w:rPr>
        <w:t>Least Privilege</w:t>
      </w:r>
      <w:r w:rsidR="004507B1">
        <w:t xml:space="preserve"> </w:t>
      </w:r>
      <w:r w:rsidR="004507B1">
        <w:t>(Kueh)</w:t>
      </w:r>
      <w:r w:rsidR="004507B1">
        <w:t>.</w:t>
      </w:r>
      <w:r w:rsidR="00BB1B13">
        <w:t xml:space="preserve"> </w:t>
      </w:r>
    </w:p>
    <w:p w14:paraId="77B432E3" w14:textId="57111ABC" w:rsidR="009E5C47" w:rsidRDefault="009E5C47"/>
    <w:p w14:paraId="463B8A45" w14:textId="63B09EE5" w:rsidR="009E5C47" w:rsidRDefault="009E5C47">
      <w:r w:rsidRPr="009E5C47">
        <w:rPr>
          <w:b/>
          <w:bCs/>
        </w:rPr>
        <w:t>Implementation and recommendations of security policies</w:t>
      </w:r>
    </w:p>
    <w:p w14:paraId="4F701DEB" w14:textId="5CAF103A" w:rsidR="009332AB" w:rsidRDefault="00670E57">
      <w:r>
        <w:t>Security policies are instrumental to security itself</w:t>
      </w:r>
      <w:r w:rsidR="00CF3DA6">
        <w:t>.</w:t>
      </w:r>
      <w:r w:rsidR="000E5671">
        <w:t xml:space="preserve"> Security policies</w:t>
      </w:r>
      <w:r w:rsidR="009B3F98">
        <w:t xml:space="preserve"> briefly</w:t>
      </w:r>
      <w:r w:rsidR="000E5671">
        <w:t xml:space="preserve"> </w:t>
      </w:r>
      <w:r w:rsidR="001917E9">
        <w:t xml:space="preserve">express precisely what necessities are entailed in the </w:t>
      </w:r>
      <w:r w:rsidR="001917E9">
        <w:t>expectations</w:t>
      </w:r>
      <w:r w:rsidR="001917E9">
        <w:t xml:space="preserve"> of employees, instructs which control framework for the best security of the system, </w:t>
      </w:r>
      <w:r w:rsidR="00FB2A0C">
        <w:t xml:space="preserve">methodically holds </w:t>
      </w:r>
      <w:r w:rsidR="009539D5">
        <w:t xml:space="preserve">each person accountable to comply with the behavior that is expected of them, </w:t>
      </w:r>
      <w:r w:rsidR="009332AB">
        <w:t>and supports legal and ethical responsibilities</w:t>
      </w:r>
      <w:r w:rsidR="009332AB" w:rsidRPr="009332AB">
        <w:t xml:space="preserve"> </w:t>
      </w:r>
      <w:r w:rsidR="009332AB" w:rsidRPr="009332AB">
        <w:t>(CISA, 2021)</w:t>
      </w:r>
      <w:r w:rsidR="009332AB">
        <w:t>.</w:t>
      </w:r>
      <w:r w:rsidR="00E36CAD">
        <w:t xml:space="preserve"> </w:t>
      </w:r>
      <w:r w:rsidR="009B3F98">
        <w:t>Implementation should be done at all levels of security and all stages of the SDLC</w:t>
      </w:r>
      <w:r w:rsidR="00E36CAD">
        <w:t>. It should be checked and reimplemented, if necessary, recurrently</w:t>
      </w:r>
      <w:r w:rsidR="009B3F98">
        <w:t>.</w:t>
      </w:r>
      <w:r w:rsidR="00E36CAD">
        <w:t xml:space="preserve"> Recommendations include the use of automation throughout some of the processes </w:t>
      </w:r>
      <w:r w:rsidR="00B10B4D">
        <w:t xml:space="preserve">within the </w:t>
      </w:r>
      <w:r w:rsidR="00B10B4D">
        <w:rPr>
          <w:i/>
          <w:iCs/>
        </w:rPr>
        <w:t xml:space="preserve">Pre/Post-Production stages </w:t>
      </w:r>
      <w:r w:rsidR="00B10B4D">
        <w:t xml:space="preserve">(like </w:t>
      </w:r>
      <w:r w:rsidR="00B10B4D">
        <w:rPr>
          <w:i/>
          <w:iCs/>
        </w:rPr>
        <w:t xml:space="preserve">Threat landscaping </w:t>
      </w:r>
      <w:r w:rsidR="00B10B4D">
        <w:t xml:space="preserve">in the </w:t>
      </w:r>
      <w:r w:rsidR="00B10B4D">
        <w:rPr>
          <w:i/>
          <w:iCs/>
        </w:rPr>
        <w:t>Assess and Plan</w:t>
      </w:r>
      <w:r w:rsidR="00B10B4D">
        <w:t xml:space="preserve"> stage</w:t>
      </w:r>
      <w:r w:rsidR="00B10B4D">
        <w:rPr>
          <w:i/>
          <w:iCs/>
        </w:rPr>
        <w:t>,</w:t>
      </w:r>
      <w:r w:rsidR="00B10B4D">
        <w:t xml:space="preserve"> or the </w:t>
      </w:r>
      <w:r w:rsidR="00B10B4D">
        <w:rPr>
          <w:i/>
          <w:iCs/>
        </w:rPr>
        <w:t>L</w:t>
      </w:r>
      <w:r w:rsidR="00B10B4D" w:rsidRPr="00B10B4D">
        <w:rPr>
          <w:i/>
          <w:iCs/>
        </w:rPr>
        <w:t xml:space="preserve">og </w:t>
      </w:r>
      <w:r w:rsidR="00B10B4D">
        <w:rPr>
          <w:i/>
          <w:iCs/>
        </w:rPr>
        <w:t>C</w:t>
      </w:r>
      <w:r w:rsidR="00B10B4D" w:rsidRPr="00B10B4D">
        <w:rPr>
          <w:i/>
          <w:iCs/>
        </w:rPr>
        <w:t>ollection</w:t>
      </w:r>
      <w:r w:rsidR="00B10B4D">
        <w:t xml:space="preserve"> and </w:t>
      </w:r>
      <w:r w:rsidR="00B10B4D">
        <w:rPr>
          <w:i/>
          <w:iCs/>
        </w:rPr>
        <w:t>A</w:t>
      </w:r>
      <w:r w:rsidR="00B10B4D" w:rsidRPr="00B10B4D">
        <w:rPr>
          <w:i/>
          <w:iCs/>
        </w:rPr>
        <w:t>nalytics</w:t>
      </w:r>
      <w:r w:rsidR="00B10B4D">
        <w:t xml:space="preserve"> processes in the</w:t>
      </w:r>
      <w:r w:rsidR="00B10B4D">
        <w:rPr>
          <w:i/>
          <w:iCs/>
        </w:rPr>
        <w:t xml:space="preserve"> Monitor and Detect</w:t>
      </w:r>
      <w:r w:rsidR="00B10B4D">
        <w:t xml:space="preserve"> stage to name a few). </w:t>
      </w:r>
      <w:r w:rsidR="009332AB">
        <w:br w:type="page"/>
      </w:r>
    </w:p>
    <w:p w14:paraId="661C144E" w14:textId="7F898755" w:rsidR="009332AB" w:rsidRDefault="009332AB" w:rsidP="009332AB">
      <w:pPr>
        <w:jc w:val="center"/>
      </w:pPr>
      <w:r>
        <w:rPr>
          <w:b/>
          <w:bCs/>
        </w:rPr>
        <w:lastRenderedPageBreak/>
        <w:t>Works Cited:</w:t>
      </w:r>
    </w:p>
    <w:p w14:paraId="5A19BF9D" w14:textId="28D8CE11" w:rsidR="009332AB" w:rsidRDefault="009332AB" w:rsidP="009332AB"/>
    <w:p w14:paraId="6215EAE2" w14:textId="41614891" w:rsidR="00D162E9" w:rsidRDefault="00D162E9" w:rsidP="00D162E9">
      <w:pPr>
        <w:pStyle w:val="NormalWeb"/>
        <w:ind w:left="567" w:hanging="567"/>
      </w:pPr>
      <w:r>
        <w:t xml:space="preserve">Allen, J. (2022, December 15). </w:t>
      </w:r>
      <w:r>
        <w:rPr>
          <w:i/>
          <w:iCs/>
        </w:rPr>
        <w:t>How to conduct a security risk assessment</w:t>
      </w:r>
      <w:r>
        <w:t xml:space="preserve">. </w:t>
      </w:r>
      <w:proofErr w:type="spellStart"/>
      <w:r>
        <w:t>PurpleSec</w:t>
      </w:r>
      <w:proofErr w:type="spellEnd"/>
      <w:r>
        <w:t xml:space="preserve">. Retrieved December 28, 2022, from https://purplesec.us/learn/security-risk-assessment/ </w:t>
      </w:r>
    </w:p>
    <w:p w14:paraId="4C29C116" w14:textId="76CDD249" w:rsidR="00911293" w:rsidRDefault="00911293" w:rsidP="00911293">
      <w:pPr>
        <w:pStyle w:val="NormalWeb"/>
        <w:ind w:left="567" w:hanging="567"/>
      </w:pPr>
      <w:r>
        <w:t xml:space="preserve">Chen, P., Dean, M., Lopez, L., </w:t>
      </w:r>
      <w:proofErr w:type="spellStart"/>
      <w:r>
        <w:t>Ojoko</w:t>
      </w:r>
      <w:proofErr w:type="spellEnd"/>
      <w:r>
        <w:t xml:space="preserve">-Adams, D., &amp; Osman, H. (n.d.). </w:t>
      </w:r>
      <w:r>
        <w:rPr>
          <w:i/>
          <w:iCs/>
        </w:rPr>
        <w:t>Square project: Cost/benefit analysis framework for information ...</w:t>
      </w:r>
      <w:r>
        <w:t xml:space="preserve"> Retrieved December 28, 2022, from https://resources.sei.cmu.edu/asset_files/TechnicalNote/2004_004_001_14360.pdf </w:t>
      </w:r>
    </w:p>
    <w:p w14:paraId="2DDD08CE" w14:textId="2687B91D" w:rsidR="009332AB" w:rsidRDefault="009332AB" w:rsidP="009332AB">
      <w:pPr>
        <w:pStyle w:val="NormalWeb"/>
        <w:ind w:left="567" w:hanging="567"/>
      </w:pPr>
      <w:r>
        <w:t xml:space="preserve">CISA, R. D. (P. A. R. T. N. E. R. |. (2021, October 26). </w:t>
      </w:r>
      <w:r>
        <w:rPr>
          <w:i/>
          <w:iCs/>
        </w:rPr>
        <w:t>The importance of a company information security policy</w:t>
      </w:r>
      <w:r>
        <w:t xml:space="preserve">. Linford &amp; Company LLP. Retrieved December 28, 2022, from </w:t>
      </w:r>
      <w:r w:rsidR="000D03EC" w:rsidRPr="000D03EC">
        <w:t>https://linfordco.com/blog/information-security-policies/</w:t>
      </w:r>
      <w:r>
        <w:t xml:space="preserve"> </w:t>
      </w:r>
    </w:p>
    <w:p w14:paraId="15337477" w14:textId="3FD565E0" w:rsidR="000D03EC" w:rsidRDefault="000D03EC" w:rsidP="000D03EC">
      <w:pPr>
        <w:pStyle w:val="NormalWeb"/>
        <w:ind w:left="567" w:hanging="567"/>
      </w:pPr>
      <w:r>
        <w:t xml:space="preserve">Kueh, T. (n.d.). </w:t>
      </w:r>
      <w:r>
        <w:rPr>
          <w:i/>
          <w:iCs/>
        </w:rPr>
        <w:t>A practical guide to zero-trust security</w:t>
      </w:r>
      <w:r>
        <w:t xml:space="preserve">. </w:t>
      </w:r>
      <w:proofErr w:type="spellStart"/>
      <w:r>
        <w:t>Threatpost</w:t>
      </w:r>
      <w:proofErr w:type="spellEnd"/>
      <w:r>
        <w:t xml:space="preserve"> English Global </w:t>
      </w:r>
      <w:proofErr w:type="spellStart"/>
      <w:r>
        <w:t>threatpostcom</w:t>
      </w:r>
      <w:proofErr w:type="spellEnd"/>
      <w:r>
        <w:t xml:space="preserve">. Retrieved December 28, 2022, from https://threatpost.com/practical-guide-zero-trust-security/151912/ </w:t>
      </w:r>
    </w:p>
    <w:p w14:paraId="20BF664D" w14:textId="77777777" w:rsidR="00D7280A" w:rsidRDefault="00D7280A" w:rsidP="00D7280A">
      <w:pPr>
        <w:pStyle w:val="NormalWeb"/>
        <w:ind w:left="567" w:hanging="567"/>
      </w:pPr>
      <w:r>
        <w:t xml:space="preserve">Murray, A. (2022, August 17). </w:t>
      </w:r>
      <w:r>
        <w:rPr>
          <w:i/>
          <w:iCs/>
        </w:rPr>
        <w:t>Secure coding: A practical guide</w:t>
      </w:r>
      <w:r>
        <w:t xml:space="preserve">. Mend. Retrieved December 28, 2022, from https://www.mend.io/resources/blog/secure-coding/ </w:t>
      </w:r>
    </w:p>
    <w:p w14:paraId="20662876" w14:textId="77777777" w:rsidR="009332AB" w:rsidRPr="009332AB" w:rsidRDefault="009332AB" w:rsidP="009332AB"/>
    <w:sectPr w:rsidR="009332AB" w:rsidRPr="009332AB" w:rsidSect="00907F0D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47"/>
    <w:rsid w:val="00040C05"/>
    <w:rsid w:val="00056B28"/>
    <w:rsid w:val="000D03EC"/>
    <w:rsid w:val="000E5671"/>
    <w:rsid w:val="000F49C4"/>
    <w:rsid w:val="00154469"/>
    <w:rsid w:val="001917E9"/>
    <w:rsid w:val="00196DE3"/>
    <w:rsid w:val="001C7091"/>
    <w:rsid w:val="00205B92"/>
    <w:rsid w:val="0023436C"/>
    <w:rsid w:val="00255B1E"/>
    <w:rsid w:val="0026772C"/>
    <w:rsid w:val="002B2508"/>
    <w:rsid w:val="002C1A9B"/>
    <w:rsid w:val="002F497E"/>
    <w:rsid w:val="002F4A38"/>
    <w:rsid w:val="00304C4A"/>
    <w:rsid w:val="0036740D"/>
    <w:rsid w:val="003F52A5"/>
    <w:rsid w:val="004129F3"/>
    <w:rsid w:val="00446A4F"/>
    <w:rsid w:val="004507B1"/>
    <w:rsid w:val="00453434"/>
    <w:rsid w:val="005243B0"/>
    <w:rsid w:val="005377C1"/>
    <w:rsid w:val="00574E02"/>
    <w:rsid w:val="00580148"/>
    <w:rsid w:val="005D480D"/>
    <w:rsid w:val="005E0C0B"/>
    <w:rsid w:val="00607077"/>
    <w:rsid w:val="00613225"/>
    <w:rsid w:val="00614D41"/>
    <w:rsid w:val="00641674"/>
    <w:rsid w:val="00670E57"/>
    <w:rsid w:val="00673BD2"/>
    <w:rsid w:val="006974DD"/>
    <w:rsid w:val="006D2DA1"/>
    <w:rsid w:val="00744D2E"/>
    <w:rsid w:val="007F4275"/>
    <w:rsid w:val="008319F3"/>
    <w:rsid w:val="0083270B"/>
    <w:rsid w:val="00903E58"/>
    <w:rsid w:val="00907F0D"/>
    <w:rsid w:val="00911293"/>
    <w:rsid w:val="009332AB"/>
    <w:rsid w:val="009370C6"/>
    <w:rsid w:val="009539D5"/>
    <w:rsid w:val="009B3F98"/>
    <w:rsid w:val="009E5C47"/>
    <w:rsid w:val="00A75D8D"/>
    <w:rsid w:val="00A94DD5"/>
    <w:rsid w:val="00A95C42"/>
    <w:rsid w:val="00AA4F00"/>
    <w:rsid w:val="00AB1362"/>
    <w:rsid w:val="00AD1EB2"/>
    <w:rsid w:val="00B011FA"/>
    <w:rsid w:val="00B10B4D"/>
    <w:rsid w:val="00B20002"/>
    <w:rsid w:val="00BB1B13"/>
    <w:rsid w:val="00C066F3"/>
    <w:rsid w:val="00C5576E"/>
    <w:rsid w:val="00C6254B"/>
    <w:rsid w:val="00C85F6E"/>
    <w:rsid w:val="00CB0796"/>
    <w:rsid w:val="00CF3DA6"/>
    <w:rsid w:val="00D162E9"/>
    <w:rsid w:val="00D43841"/>
    <w:rsid w:val="00D63956"/>
    <w:rsid w:val="00D7280A"/>
    <w:rsid w:val="00DD7D88"/>
    <w:rsid w:val="00E36CAD"/>
    <w:rsid w:val="00E87664"/>
    <w:rsid w:val="00EB2E99"/>
    <w:rsid w:val="00F06070"/>
    <w:rsid w:val="00F644AF"/>
    <w:rsid w:val="00F978D5"/>
    <w:rsid w:val="00FB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6D15"/>
  <w15:chartTrackingRefBased/>
  <w15:docId w15:val="{CBEBA9FA-E419-E649-BC97-B911C923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2AB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0D0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3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03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Monroe, Danielle</dc:creator>
  <cp:keywords/>
  <dc:description/>
  <cp:lastModifiedBy>Monroe, Danielle</cp:lastModifiedBy>
  <cp:revision>40</cp:revision>
  <dcterms:created xsi:type="dcterms:W3CDTF">2022-12-28T16:01:00Z</dcterms:created>
  <dcterms:modified xsi:type="dcterms:W3CDTF">2022-12-30T21:48:00Z</dcterms:modified>
</cp:coreProperties>
</file>