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Aptos Display" w:hAnsi="Aptos Display"/>
          <w:b/>
          <w:color w:val="111827"/>
          <w:sz w:val="48"/>
        </w:rPr>
        <w:t>bet365 NBA Signal Console</w:t>
      </w:r>
    </w:p>
    <w:p>
      <w:pPr>
        <w:spacing w:before="0" w:after="120" w:line="240" w:lineRule="auto"/>
      </w:pPr>
      <w:r>
        <w:rPr>
          <w:rFonts w:ascii="Aptos" w:hAnsi="Aptos"/>
          <w:color w:val="4B5563"/>
          <w:sz w:val="25"/>
        </w:rPr>
        <w:t>A prediction-market intelligence layer for faster pricing, sharper trader decisions, and cleaner risk management</w:t>
      </w:r>
    </w:p>
    <w:tbl>
      <w:tblPr>
        <w:tblW w:type="auto" w:w="0"/>
        <w:jc w:val="left"/>
        <w:tblLayout w:type="fixed"/>
        <w:tblLook w:firstColumn="1" w:firstRow="1" w:lastColumn="0" w:lastRow="0" w:noHBand="0" w:noVBand="1" w:val="04A0"/>
      </w:tblPr>
      <w:tblGrid>
        <w:gridCol w:w="3096"/>
        <w:gridCol w:w="3053"/>
        <w:gridCol w:w="3197"/>
      </w:tblGrid>
      <w:tr>
        <w:tc>
          <w:tcPr>
            <w:tcW w:type="dxa" w:w="3351"/>
            <w:shd w:fill="F3F4F6"/>
            <w:vAlign w:val="center"/>
            <w:tcBorders>
              <w:left w:sz="4" w:val="single" w:color="D1D5DB"/>
              <w:top w:sz="4" w:val="single" w:color="D1D5DB"/>
              <w:right w:sz="4" w:val="single" w:color="D1D5DB"/>
              <w:bottom w:sz="4" w:val="single" w:color="D1D5DB"/>
            </w:tcBorders>
          </w:tcPr>
          <w:p>
            <w:pPr>
              <w:spacing w:before="0" w:after="0" w:line="240" w:lineRule="auto"/>
            </w:pPr>
            <w:r>
              <w:rPr>
                <w:b/>
                <w:color w:val="4B5563"/>
                <w:sz w:val="17"/>
              </w:rPr>
              <w:t>PREPARED FOR</w:t>
            </w:r>
          </w:p>
          <w:p>
            <w:pPr>
              <w:spacing w:before="0" w:after="0" w:line="240" w:lineRule="auto"/>
            </w:pPr>
            <w:r>
              <w:t>bet365 product, trading, and quantitative stakeholders</w:t>
            </w:r>
          </w:p>
        </w:tc>
        <w:tc>
          <w:tcPr>
            <w:tcW w:type="dxa" w:w="3351"/>
            <w:shd w:fill="F3F4F6"/>
            <w:vAlign w:val="center"/>
            <w:tcBorders>
              <w:left w:sz="4" w:val="single" w:color="D1D5DB"/>
              <w:top w:sz="4" w:val="single" w:color="D1D5DB"/>
              <w:right w:sz="4" w:val="single" w:color="D1D5DB"/>
              <w:bottom w:sz="4" w:val="single" w:color="D1D5DB"/>
            </w:tcBorders>
          </w:tcPr>
          <w:p>
            <w:pPr>
              <w:spacing w:before="0" w:after="0" w:line="240" w:lineRule="auto"/>
            </w:pPr>
            <w:r>
              <w:rPr>
                <w:b/>
                <w:color w:val="4B5563"/>
                <w:sz w:val="17"/>
              </w:rPr>
              <w:t>PRIMARY SPORT</w:t>
            </w:r>
          </w:p>
          <w:p>
            <w:pPr>
              <w:spacing w:before="0" w:after="0" w:line="240" w:lineRule="auto"/>
            </w:pPr>
            <w:r>
              <w:t>NBA</w:t>
            </w:r>
          </w:p>
        </w:tc>
        <w:tc>
          <w:tcPr>
            <w:tcW w:type="dxa" w:w="3351"/>
            <w:shd w:fill="F3F4F6"/>
            <w:vAlign w:val="center"/>
            <w:tcBorders>
              <w:left w:sz="4" w:val="single" w:color="D1D5DB"/>
              <w:top w:sz="4" w:val="single" w:color="D1D5DB"/>
              <w:right w:sz="4" w:val="single" w:color="D1D5DB"/>
              <w:bottom w:sz="4" w:val="single" w:color="D1D5DB"/>
            </w:tcBorders>
          </w:tcPr>
          <w:p>
            <w:pPr>
              <w:spacing w:before="0" w:after="0" w:line="240" w:lineRule="auto"/>
            </w:pPr>
            <w:r>
              <w:rPr>
                <w:b/>
                <w:color w:val="4B5563"/>
                <w:sz w:val="17"/>
              </w:rPr>
              <w:t>SIGNAL STACK</w:t>
            </w:r>
          </w:p>
          <w:p>
            <w:pPr>
              <w:spacing w:before="0" w:after="0" w:line="240" w:lineRule="auto"/>
            </w:pPr>
            <w:r>
              <w:t>bet365 internal odds + Kalshi + Polymarket + NBA data</w:t>
            </w:r>
          </w:p>
        </w:tc>
      </w:tr>
    </w:tbl>
    <w:p>
      <w:pPr>
        <w:spacing w:before="0" w:after="0" w:line="240" w:lineRule="auto"/>
      </w:pPr>
    </w:p>
    <w:tbl>
      <w:tblPr>
        <w:tblW w:type="auto" w:w="0"/>
        <w:jc w:val="left"/>
        <w:tblLayout w:type="fixed"/>
        <w:tblLook w:firstColumn="1" w:firstRow="1" w:lastColumn="0" w:lastRow="0" w:noHBand="0" w:noVBand="1" w:val="04A0"/>
      </w:tblPr>
      <w:tblGrid>
        <w:gridCol w:w="9360"/>
      </w:tblGrid>
      <w:tr>
        <w:tc>
          <w:tcPr>
            <w:tcW w:type="dxa" w:w="10052"/>
            <w:shd w:fill="ECFDF5"/>
            <w:tcBorders>
              <w:left w:sz="16" w:val="single" w:color="10B981"/>
              <w:top w:sz="4" w:val="single" w:color="D1FAE5"/>
              <w:right w:sz="4" w:val="single" w:color="D1FAE5"/>
              <w:bottom w:sz="4" w:val="single" w:color="D1FAE5"/>
            </w:tcBorders>
          </w:tcPr>
          <w:p>
            <w:pPr>
              <w:pStyle w:val="CalloutText"/>
              <w:spacing w:before="0" w:after="0" w:line="240" w:lineRule="auto"/>
            </w:pPr>
            <w:r>
              <w:rPr>
                <w:b/>
              </w:rPr>
              <w:t>Core thesis</w:t>
            </w:r>
          </w:p>
          <w:p>
            <w:pPr>
              <w:spacing w:before="0" w:after="0" w:line="240" w:lineRule="auto"/>
            </w:pPr>
            <w:r>
              <w:t>Prediction markets are not the pricing engine. They are the early-warning radar. bet365’s own book remains the operational truth, while Kalshi and Polymarket act as external sensor networks that help traders spot information shocks, explain divergences, and act faster.</w:t>
            </w:r>
          </w:p>
        </w:tc>
      </w:tr>
    </w:tbl>
    <w:p>
      <w:pPr>
        <w:spacing w:before="0" w:after="0" w:line="240" w:lineRule="auto"/>
      </w:pPr>
    </w:p>
    <w:p>
      <w:pPr>
        <w:pStyle w:val="AccentHeading"/>
        <w:spacing w:before="0" w:after="80" w:line="240" w:lineRule="auto"/>
      </w:pPr>
      <w:r>
        <w:t>Executive summary</w:t>
      </w:r>
    </w:p>
    <w:p>
      <w:pPr>
        <w:pStyle w:val="SectionLead"/>
        <w:spacing w:before="0" w:after="60" w:line="240" w:lineRule="auto"/>
      </w:pPr>
      <w:r>
        <w:rPr>
          <w:b/>
        </w:rPr>
        <w:t xml:space="preserve">The strongest version of this idea is not “use prediction markets to predict NBA games.” </w:t>
      </w:r>
      <w:r>
        <w:t>The stronger bet365 version is to build an internal trader console that continuously compares bet365 prices and exposure against Kalshi, Polymarket, and NBA context, then turns that divergence into an actionable recommendation.</w:t>
      </w:r>
    </w:p>
    <w:p>
      <w:pPr>
        <w:spacing w:before="0" w:after="0" w:line="240" w:lineRule="auto"/>
        <w:ind w:left="317"/>
      </w:pPr>
      <w:r>
        <w:rPr>
          <w:b/>
        </w:rPr>
        <w:t xml:space="preserve">• </w:t>
      </w:r>
      <w:r>
        <w:t>Speed up repricing when new information hits the market.</w:t>
      </w:r>
    </w:p>
    <w:p>
      <w:pPr>
        <w:spacing w:before="0" w:after="0" w:line="240" w:lineRule="auto"/>
        <w:ind w:left="317"/>
      </w:pPr>
      <w:r>
        <w:rPr>
          <w:b/>
        </w:rPr>
        <w:t xml:space="preserve">• </w:t>
      </w:r>
      <w:r>
        <w:t>Increase trader confidence when multiple sources converge.</w:t>
      </w:r>
    </w:p>
    <w:p>
      <w:pPr>
        <w:spacing w:before="0" w:after="0" w:line="240" w:lineRule="auto"/>
        <w:ind w:left="317"/>
      </w:pPr>
      <w:r>
        <w:rPr>
          <w:b/>
        </w:rPr>
        <w:t xml:space="preserve">• </w:t>
      </w:r>
      <w:r>
        <w:t>Reduce liability by flagging stale prices where external markets moved first.</w:t>
      </w:r>
    </w:p>
    <w:p>
      <w:pPr>
        <w:spacing w:before="0" w:after="0" w:line="240" w:lineRule="auto"/>
        <w:ind w:left="317"/>
      </w:pPr>
      <w:r>
        <w:rPr>
          <w:b/>
        </w:rPr>
        <w:t xml:space="preserve">• </w:t>
      </w:r>
      <w:r>
        <w:t>Create a reusable signal framework that can later expand beyond NBA.</w:t>
      </w:r>
    </w:p>
    <w:p>
      <w:pPr>
        <w:spacing w:before="0" w:after="0" w:line="240" w:lineRule="auto"/>
      </w:pPr>
    </w:p>
    <w:p>
      <w:pPr>
        <w:pStyle w:val="AccentHeading"/>
        <w:spacing w:before="0" w:after="60" w:line="240" w:lineRule="auto"/>
      </w:pPr>
      <w:r>
        <w:t>Why this version is stronger</w:t>
      </w:r>
    </w:p>
    <w:p>
      <w:pPr>
        <w:spacing w:before="0" w:after="0" w:line="240" w:lineRule="auto"/>
      </w:pPr>
      <w:r>
        <w:rPr>
          <w:b/>
        </w:rPr>
        <w:t xml:space="preserve">Built for sportsbook operations: </w:t>
      </w:r>
      <w:r>
        <w:t>The goal is not just prediction accuracy. It is faster, safer, better-informed pricing.</w:t>
      </w:r>
    </w:p>
    <w:p>
      <w:pPr>
        <w:spacing w:before="0" w:after="0" w:line="240" w:lineRule="auto"/>
      </w:pPr>
      <w:r>
        <w:rPr>
          <w:b/>
        </w:rPr>
        <w:t xml:space="preserve">Uses prediction markets correctly: </w:t>
      </w:r>
      <w:r>
        <w:t>Kalshi and Polymarket are treated as external information markets with different trust profiles, not magical oracles.</w:t>
      </w:r>
    </w:p>
    <w:p>
      <w:pPr>
        <w:spacing w:before="0" w:after="0" w:line="240" w:lineRule="auto"/>
      </w:pPr>
      <w:r>
        <w:rPr>
          <w:b/>
        </w:rPr>
        <w:t xml:space="preserve">Keeps bet365 central: </w:t>
      </w:r>
      <w:r>
        <w:t>Internal price, exposure, and trader workflow remain the core operating context.</w:t>
      </w:r>
    </w:p>
    <w:p>
      <w:pPr>
        <w:spacing w:before="0" w:after="0" w:line="240" w:lineRule="auto"/>
      </w:pPr>
      <w:r>
        <w:rPr>
          <w:b/>
        </w:rPr>
        <w:t xml:space="preserve">Moves LLMs out of the critical path: </w:t>
      </w:r>
      <w:r>
        <w:t>Any language model should summarize and explain, not directly decide the price.</w:t>
      </w:r>
    </w:p>
    <w:p>
      <w:pPr>
        <w:spacing w:before="0" w:after="0" w:line="240" w:lineRule="auto"/>
      </w:pPr>
      <w:r>
        <w:rPr>
          <w:b/>
        </w:rPr>
        <w:t xml:space="preserve">Feels like a real product: </w:t>
      </w:r>
      <w:r>
        <w:t>The UI is a trader workstation with alerts, evidence, confidence, and action recommendations.</w:t>
      </w:r>
    </w:p>
    <w:p>
      <w:pPr>
        <w:pStyle w:val="AccentHeading"/>
        <w:spacing w:before="40" w:after="60" w:line="240" w:lineRule="auto"/>
      </w:pPr>
      <w:r>
        <w:t>Signal architecture</w:t>
      </w:r>
    </w:p>
    <w:p>
      <w:pPr>
        <w:pStyle w:val="SectionLead"/>
        <w:spacing w:before="0" w:after="60" w:line="240" w:lineRule="auto"/>
      </w:pPr>
      <w:r>
        <w:t>The system should combine market microstructure, basketball context, and bet365 book state into a single Signal Score.</w:t>
      </w:r>
    </w:p>
    <w:tbl>
      <w:tblPr>
        <w:tblStyle w:val="TableGrid"/>
        <w:tblW w:type="auto" w:w="0"/>
        <w:jc w:val="left"/>
        <w:tblLayout w:type="fixed"/>
        <w:tblLook w:firstColumn="1" w:firstRow="1" w:lastColumn="0" w:lastRow="0" w:noHBand="0" w:noVBand="1" w:val="04A0"/>
      </w:tblPr>
      <w:tblGrid>
        <w:gridCol w:w="2160"/>
        <w:gridCol w:w="3672"/>
        <w:gridCol w:w="3528"/>
      </w:tblGrid>
      <w:tr>
        <w:tc>
          <w:tcPr>
            <w:tcW w:type="dxa" w:w="3351"/>
            <w:shd w:fill="E5E7EB"/>
          </w:tcPr>
          <w:p>
            <w:pPr>
              <w:spacing w:before="0" w:after="0" w:line="240" w:lineRule="auto"/>
            </w:pPr>
            <w:r>
              <w:rPr>
                <w:b/>
              </w:rPr>
              <w:t>Source</w:t>
            </w:r>
          </w:p>
        </w:tc>
        <w:tc>
          <w:tcPr>
            <w:tcW w:type="dxa" w:w="3351"/>
            <w:shd w:fill="E5E7EB"/>
          </w:tcPr>
          <w:p>
            <w:pPr>
              <w:spacing w:before="0" w:after="0" w:line="240" w:lineRule="auto"/>
            </w:pPr>
            <w:r>
              <w:rPr>
                <w:b/>
              </w:rPr>
              <w:t>What it contributes</w:t>
            </w:r>
          </w:p>
        </w:tc>
        <w:tc>
          <w:tcPr>
            <w:tcW w:type="dxa" w:w="3351"/>
            <w:shd w:fill="E5E7EB"/>
          </w:tcPr>
          <w:p>
            <w:pPr>
              <w:spacing w:before="0" w:after="0" w:line="240" w:lineRule="auto"/>
            </w:pPr>
            <w:r>
              <w:rPr>
                <w:b/>
              </w:rPr>
              <w:t>Why it matters</w:t>
            </w:r>
          </w:p>
        </w:tc>
      </w:tr>
      <w:tr>
        <w:tc>
          <w:tcPr>
            <w:tcW w:type="dxa" w:w="2160"/>
            <w:vAlign w:val="center"/>
          </w:tcPr>
          <w:p>
            <w:pPr>
              <w:spacing w:before="0" w:after="0" w:line="240" w:lineRule="auto"/>
            </w:pPr>
            <w:r>
              <w:t>bet365 internal pricing</w:t>
            </w:r>
          </w:p>
        </w:tc>
        <w:tc>
          <w:tcPr>
            <w:tcW w:type="dxa" w:w="3672"/>
            <w:vAlign w:val="center"/>
          </w:tcPr>
          <w:p>
            <w:pPr>
              <w:pStyle w:val="BodySmall"/>
              <w:spacing w:before="0" w:after="0" w:line="240" w:lineRule="auto"/>
            </w:pPr>
            <w:r>
              <w:t>Current odds, line history, exposure, parlay concentration, customer sharpness</w:t>
            </w:r>
          </w:p>
        </w:tc>
        <w:tc>
          <w:tcPr>
            <w:tcW w:type="dxa" w:w="3528"/>
            <w:vAlign w:val="center"/>
          </w:tcPr>
          <w:p>
            <w:pPr>
              <w:pStyle w:val="BodySmall"/>
              <w:spacing w:before="0" w:after="0" w:line="240" w:lineRule="auto"/>
            </w:pPr>
            <w:r>
              <w:t>Operational truth</w:t>
            </w:r>
          </w:p>
        </w:tc>
      </w:tr>
      <w:tr>
        <w:tc>
          <w:tcPr>
            <w:tcW w:type="dxa" w:w="2160"/>
            <w:vAlign w:val="center"/>
          </w:tcPr>
          <w:p>
            <w:pPr>
              <w:spacing w:before="0" w:after="0" w:line="240" w:lineRule="auto"/>
            </w:pPr>
            <w:r>
              <w:t>Kalshi</w:t>
            </w:r>
          </w:p>
        </w:tc>
        <w:tc>
          <w:tcPr>
            <w:tcW w:type="dxa" w:w="3672"/>
            <w:vAlign w:val="center"/>
          </w:tcPr>
          <w:p>
            <w:pPr>
              <w:pStyle w:val="BodySmall"/>
              <w:spacing w:before="0" w:after="0" w:line="240" w:lineRule="auto"/>
            </w:pPr>
            <w:r>
              <w:t>Exchange market data, sports filters, candlesticks, live basketball data</w:t>
            </w:r>
          </w:p>
        </w:tc>
        <w:tc>
          <w:tcPr>
            <w:tcW w:type="dxa" w:w="3528"/>
            <w:vAlign w:val="center"/>
          </w:tcPr>
          <w:p>
            <w:pPr>
              <w:pStyle w:val="BodySmall"/>
              <w:spacing w:before="0" w:after="0" w:line="240" w:lineRule="auto"/>
            </w:pPr>
            <w:r>
              <w:t>Structured external signal</w:t>
            </w:r>
          </w:p>
        </w:tc>
      </w:tr>
      <w:tr>
        <w:tc>
          <w:tcPr>
            <w:tcW w:type="dxa" w:w="2160"/>
            <w:vAlign w:val="center"/>
          </w:tcPr>
          <w:p>
            <w:pPr>
              <w:spacing w:before="0" w:after="0" w:line="240" w:lineRule="auto"/>
            </w:pPr>
            <w:r>
              <w:t>Polymarket</w:t>
            </w:r>
          </w:p>
        </w:tc>
        <w:tc>
          <w:tcPr>
            <w:tcW w:type="dxa" w:w="3672"/>
            <w:vAlign w:val="center"/>
          </w:tcPr>
          <w:p>
            <w:pPr>
              <w:pStyle w:val="BodySmall"/>
              <w:spacing w:before="0" w:after="0" w:line="240" w:lineRule="auto"/>
            </w:pPr>
            <w:r>
              <w:t>Market discovery, prices, books, price history, sports metadata, teams, sports WebSocket</w:t>
            </w:r>
          </w:p>
        </w:tc>
        <w:tc>
          <w:tcPr>
            <w:tcW w:type="dxa" w:w="3528"/>
            <w:vAlign w:val="center"/>
          </w:tcPr>
          <w:p>
            <w:pPr>
              <w:pStyle w:val="BodySmall"/>
              <w:spacing w:before="0" w:after="0" w:line="240" w:lineRule="auto"/>
            </w:pPr>
            <w:r>
              <w:t>High-velocity crowd signal</w:t>
            </w:r>
          </w:p>
        </w:tc>
      </w:tr>
      <w:tr>
        <w:tc>
          <w:tcPr>
            <w:tcW w:type="dxa" w:w="2160"/>
            <w:vAlign w:val="center"/>
          </w:tcPr>
          <w:p>
            <w:pPr>
              <w:spacing w:before="0" w:after="0" w:line="240" w:lineRule="auto"/>
            </w:pPr>
            <w:r>
              <w:t>NBA data via nba_api</w:t>
            </w:r>
          </w:p>
        </w:tc>
        <w:tc>
          <w:tcPr>
            <w:tcW w:type="dxa" w:w="3672"/>
            <w:vAlign w:val="center"/>
          </w:tcPr>
          <w:p>
            <w:pPr>
              <w:pStyle w:val="BodySmall"/>
              <w:spacing w:before="0" w:after="0" w:line="240" w:lineRule="auto"/>
            </w:pPr>
            <w:r>
              <w:t>Historical stats, team trends, box score and live context</w:t>
            </w:r>
          </w:p>
        </w:tc>
        <w:tc>
          <w:tcPr>
            <w:tcW w:type="dxa" w:w="3528"/>
            <w:vAlign w:val="center"/>
          </w:tcPr>
          <w:p>
            <w:pPr>
              <w:pStyle w:val="BodySmall"/>
              <w:spacing w:before="0" w:after="0" w:line="240" w:lineRule="auto"/>
            </w:pPr>
            <w:r>
              <w:t>Basketball fundamentals</w:t>
            </w:r>
          </w:p>
        </w:tc>
      </w:tr>
    </w:tbl>
    <w:p>
      <w:pPr>
        <w:spacing w:before="0" w:after="0" w:line="240" w:lineRule="auto"/>
      </w:pPr>
    </w:p>
    <w:tbl>
      <w:tblPr>
        <w:tblW w:type="auto" w:w="0"/>
        <w:jc w:val="left"/>
        <w:tblLayout w:type="fixed"/>
        <w:tblLook w:firstColumn="1" w:firstRow="1" w:lastColumn="0" w:lastRow="0" w:noHBand="0" w:noVBand="1" w:val="04A0"/>
      </w:tblPr>
      <w:tblGrid>
        <w:gridCol w:w="4680"/>
        <w:gridCol w:w="4680"/>
      </w:tblGrid>
      <w:tr>
        <w:tc>
          <w:tcPr>
            <w:tcW w:type="dxa" w:w="5026"/>
            <w:shd w:fill="FAFAFA"/>
            <w:tcBorders>
              <w:left w:sz="4" w:val="single" w:color="E5E7EB"/>
              <w:top w:sz="4" w:val="single" w:color="E5E7EB"/>
              <w:right w:sz="4" w:val="single" w:color="E5E7EB"/>
              <w:bottom w:sz="4" w:val="single" w:color="E5E7EB"/>
            </w:tcBorders>
          </w:tcPr>
          <w:p>
            <w:pPr>
              <w:spacing w:before="0" w:after="0" w:line="240" w:lineRule="auto"/>
            </w:pPr>
            <w:r>
              <w:rPr>
                <w:b/>
              </w:rPr>
              <w:t>Kalshi should be used for</w:t>
            </w:r>
          </w:p>
          <w:p>
            <w:pPr>
              <w:pStyle w:val="BodySmall"/>
              <w:spacing w:before="0" w:after="0" w:line="240" w:lineRule="auto"/>
              <w:ind w:left="144"/>
            </w:pPr>
            <w:r>
              <w:t>Pregame price monitoring</w:t>
            </w:r>
          </w:p>
          <w:p>
            <w:pPr>
              <w:pStyle w:val="BodySmall"/>
              <w:spacing w:before="0" w:after="0" w:line="240" w:lineRule="auto"/>
              <w:ind w:left="144"/>
            </w:pPr>
            <w:r>
              <w:t>Intraday velocity tracking</w:t>
            </w:r>
          </w:p>
          <w:p>
            <w:pPr>
              <w:pStyle w:val="BodySmall"/>
              <w:spacing w:before="0" w:after="0" w:line="240" w:lineRule="auto"/>
              <w:ind w:left="144"/>
            </w:pPr>
            <w:r>
              <w:t>Live repricing support</w:t>
            </w:r>
          </w:p>
          <w:p>
            <w:pPr>
              <w:pStyle w:val="BodySmall"/>
              <w:spacing w:before="0" w:after="0" w:line="240" w:lineRule="auto"/>
              <w:ind w:left="144"/>
            </w:pPr>
            <w:r>
              <w:t>Candlestick-based move analysis</w:t>
            </w:r>
          </w:p>
        </w:tc>
        <w:tc>
          <w:tcPr>
            <w:tcW w:type="dxa" w:w="5026"/>
            <w:shd w:fill="FAFAFA"/>
            <w:tcBorders>
              <w:left w:sz="4" w:val="single" w:color="E5E7EB"/>
              <w:top w:sz="4" w:val="single" w:color="E5E7EB"/>
              <w:right w:sz="4" w:val="single" w:color="E5E7EB"/>
              <w:bottom w:sz="4" w:val="single" w:color="E5E7EB"/>
            </w:tcBorders>
          </w:tcPr>
          <w:p>
            <w:pPr>
              <w:spacing w:before="0" w:after="0" w:line="240" w:lineRule="auto"/>
            </w:pPr>
            <w:r>
              <w:rPr>
                <w:b/>
              </w:rPr>
              <w:t>Polymarket should be used for</w:t>
            </w:r>
          </w:p>
          <w:p>
            <w:pPr>
              <w:pStyle w:val="BodySmall"/>
              <w:spacing w:before="0" w:after="0" w:line="240" w:lineRule="auto"/>
              <w:ind w:left="144"/>
            </w:pPr>
            <w:r>
              <w:t>Rapid crowd-signal detection</w:t>
            </w:r>
          </w:p>
          <w:p>
            <w:pPr>
              <w:pStyle w:val="BodySmall"/>
              <w:spacing w:before="0" w:after="0" w:line="240" w:lineRule="auto"/>
              <w:ind w:left="144"/>
            </w:pPr>
            <w:r>
              <w:t>Cross-market confirmation</w:t>
            </w:r>
          </w:p>
          <w:p>
            <w:pPr>
              <w:pStyle w:val="BodySmall"/>
              <w:spacing w:before="0" w:after="0" w:line="240" w:lineRule="auto"/>
              <w:ind w:left="144"/>
            </w:pPr>
            <w:r>
              <w:t>Depth and imbalance monitoring</w:t>
            </w:r>
          </w:p>
          <w:p>
            <w:pPr>
              <w:pStyle w:val="BodySmall"/>
              <w:spacing w:before="0" w:after="0" w:line="240" w:lineRule="auto"/>
              <w:ind w:left="144"/>
            </w:pPr>
            <w:r>
              <w:t>Sports metadata and team mapping</w:t>
            </w:r>
          </w:p>
        </w:tc>
      </w:tr>
    </w:tbl>
    <w:p>
      <w:pPr>
        <w:spacing w:before="0" w:after="0" w:line="240" w:lineRule="auto"/>
      </w:pPr>
    </w:p>
    <w:p>
      <w:pPr>
        <w:pStyle w:val="AccentHeading"/>
        <w:spacing w:before="40" w:after="60" w:line="240" w:lineRule="auto"/>
      </w:pPr>
      <w:r>
        <w:t>Recommended workflow</w:t>
      </w:r>
    </w:p>
    <w:p>
      <w:pPr>
        <w:spacing w:before="0" w:after="0" w:line="240" w:lineRule="auto"/>
      </w:pPr>
      <w:r>
        <w:rPr>
          <w:b/>
        </w:rPr>
        <w:t xml:space="preserve">Pregame: </w:t>
      </w:r>
      <w:r>
        <w:t>Normalize bet365, Kalshi, and Polymarket prices, run the NBA model, rank the slate by divergence and risk, then surface the few markets that actually deserve trader attention.</w:t>
      </w:r>
    </w:p>
    <w:p>
      <w:pPr>
        <w:spacing w:before="0" w:after="0" w:line="240" w:lineRule="auto"/>
      </w:pPr>
      <w:r>
        <w:rPr>
          <w:b/>
        </w:rPr>
        <w:t xml:space="preserve">Live: </w:t>
      </w:r>
      <w:r>
        <w:t>Subscribe to live market updates, detect shock events, compare them with game context and liability, and escalate only when confidence is high enough.</w:t>
      </w:r>
    </w:p>
    <w:p>
      <w:pPr>
        <w:spacing w:before="0" w:after="0" w:line="240" w:lineRule="auto"/>
      </w:pPr>
      <w:r>
        <w:rPr>
          <w:b/>
        </w:rPr>
        <w:t xml:space="preserve">Postgame: </w:t>
      </w:r>
      <w:r>
        <w:t>Measure which source led price discovery, whether traders acted, and whether the action improved closing-line quality.</w:t>
      </w:r>
    </w:p>
    <w:p>
      <w:pPr>
        <w:pStyle w:val="AccentHeading"/>
        <w:spacing w:before="40" w:after="40" w:line="240" w:lineRule="auto"/>
      </w:pPr>
      <w:r>
        <w:t>UI direction</w:t>
      </w:r>
    </w:p>
    <w:p>
      <w:pPr>
        <w:pStyle w:val="SectionLead"/>
        <w:spacing w:before="0" w:after="60" w:line="240" w:lineRule="auto"/>
      </w:pPr>
      <w:r>
        <w:t>React + TypeScript + Tailwind. Inspired by the Codex desktop app’s layout logic: left sidebar, active center thread, and right review pane.</w:t>
      </w:r>
    </w:p>
    <w:tbl>
      <w:tblPr>
        <w:tblStyle w:val="TableGrid"/>
        <w:tblW w:type="auto" w:w="0"/>
        <w:jc w:val="left"/>
        <w:tblLayout w:type="fixed"/>
        <w:tblLook w:firstColumn="1" w:firstRow="1" w:lastColumn="0" w:lastRow="0" w:noHBand="0" w:noVBand="1" w:val="04A0"/>
      </w:tblPr>
      <w:tblGrid>
        <w:gridCol w:w="2880"/>
        <w:gridCol w:w="3168"/>
        <w:gridCol w:w="3168"/>
      </w:tblGrid>
      <w:tr>
        <w:tc>
          <w:tcPr>
            <w:tcW w:type="dxa" w:w="3351"/>
            <w:shd w:fill="E5E7EB"/>
          </w:tcPr>
          <w:p>
            <w:pPr>
              <w:spacing w:before="0" w:after="0" w:line="240" w:lineRule="auto"/>
            </w:pPr>
            <w:r>
              <w:rPr>
                <w:b/>
              </w:rPr>
              <w:t>Left rail</w:t>
            </w:r>
          </w:p>
        </w:tc>
        <w:tc>
          <w:tcPr>
            <w:tcW w:type="dxa" w:w="3351"/>
            <w:shd w:fill="E5E7EB"/>
          </w:tcPr>
          <w:p>
            <w:pPr>
              <w:spacing w:before="0" w:after="0" w:line="240" w:lineRule="auto"/>
            </w:pPr>
            <w:r>
              <w:rPr>
                <w:b/>
              </w:rPr>
              <w:t>Center pane</w:t>
            </w:r>
          </w:p>
        </w:tc>
        <w:tc>
          <w:tcPr>
            <w:tcW w:type="dxa" w:w="3351"/>
            <w:shd w:fill="E5E7EB"/>
          </w:tcPr>
          <w:p>
            <w:pPr>
              <w:spacing w:before="0" w:after="0" w:line="240" w:lineRule="auto"/>
            </w:pPr>
            <w:r>
              <w:rPr>
                <w:b/>
              </w:rPr>
              <w:t>Right pane</w:t>
            </w:r>
          </w:p>
        </w:tc>
      </w:tr>
      <w:tr>
        <w:tc>
          <w:tcPr>
            <w:tcW w:type="dxa" w:w="2880"/>
          </w:tcPr>
          <w:p>
            <w:pPr>
              <w:spacing w:before="0" w:after="0" w:line="240" w:lineRule="auto"/>
            </w:pPr>
            <w:r>
              <w:t>Slates</w:t>
            </w:r>
          </w:p>
          <w:p>
            <w:pPr>
              <w:pStyle w:val="BodySmall"/>
              <w:spacing w:before="0" w:after="0" w:line="240" w:lineRule="auto"/>
            </w:pPr>
            <w:r>
              <w:t>Alerts</w:t>
            </w:r>
          </w:p>
          <w:p>
            <w:pPr>
              <w:pStyle w:val="BodySmall"/>
              <w:spacing w:before="0" w:after="0" w:line="240" w:lineRule="auto"/>
            </w:pPr>
            <w:r>
              <w:t>Markets</w:t>
            </w:r>
          </w:p>
          <w:p>
            <w:pPr>
              <w:pStyle w:val="BodySmall"/>
              <w:spacing w:before="0" w:after="0" w:line="240" w:lineRule="auto"/>
            </w:pPr>
            <w:r>
              <w:t>Backtests</w:t>
            </w:r>
          </w:p>
          <w:p>
            <w:pPr>
              <w:pStyle w:val="BodySmall"/>
              <w:spacing w:before="0" w:after="0" w:line="240" w:lineRule="auto"/>
            </w:pPr>
            <w:r>
              <w:t>Playbooks</w:t>
            </w:r>
          </w:p>
        </w:tc>
        <w:tc>
          <w:tcPr>
            <w:tcW w:type="dxa" w:w="3168"/>
          </w:tcPr>
          <w:p>
            <w:pPr>
              <w:spacing w:before="0" w:after="0" w:line="240" w:lineRule="auto"/>
            </w:pPr>
            <w:r>
              <w:t>Active matchup thread</w:t>
            </w:r>
          </w:p>
          <w:p>
            <w:pPr>
              <w:pStyle w:val="BodySmall"/>
              <w:spacing w:before="0" w:after="0" w:line="240" w:lineRule="auto"/>
            </w:pPr>
            <w:r>
              <w:t>Probability strip</w:t>
            </w:r>
          </w:p>
          <w:p>
            <w:pPr>
              <w:pStyle w:val="BodySmall"/>
              <w:spacing w:before="0" w:after="0" w:line="240" w:lineRule="auto"/>
            </w:pPr>
            <w:r>
              <w:t>Divergence timeline</w:t>
            </w:r>
          </w:p>
          <w:p>
            <w:pPr>
              <w:pStyle w:val="BodySmall"/>
              <w:spacing w:before="0" w:after="0" w:line="240" w:lineRule="auto"/>
            </w:pPr>
            <w:r>
              <w:t>Trader note</w:t>
            </w:r>
          </w:p>
          <w:p>
            <w:pPr>
              <w:pStyle w:val="BodySmall"/>
              <w:spacing w:before="0" w:after="0" w:line="240" w:lineRule="auto"/>
            </w:pPr>
            <w:r>
              <w:t>Scenario tabs</w:t>
            </w:r>
          </w:p>
        </w:tc>
        <w:tc>
          <w:tcPr>
            <w:tcW w:type="dxa" w:w="3168"/>
          </w:tcPr>
          <w:p>
            <w:pPr>
              <w:spacing w:before="0" w:after="0" w:line="240" w:lineRule="auto"/>
            </w:pPr>
            <w:r>
              <w:t>Recommended action</w:t>
            </w:r>
          </w:p>
          <w:p>
            <w:pPr>
              <w:pStyle w:val="BodySmall"/>
              <w:spacing w:before="0" w:after="0" w:line="240" w:lineRule="auto"/>
            </w:pPr>
            <w:r>
              <w:t>Confidence explanation</w:t>
            </w:r>
          </w:p>
          <w:p>
            <w:pPr>
              <w:pStyle w:val="BodySmall"/>
              <w:spacing w:before="0" w:after="0" w:line="240" w:lineRule="auto"/>
            </w:pPr>
            <w:r>
              <w:t>Exposure hot spots</w:t>
            </w:r>
          </w:p>
          <w:p>
            <w:pPr>
              <w:pStyle w:val="BodySmall"/>
              <w:spacing w:before="0" w:after="0" w:line="240" w:lineRule="auto"/>
            </w:pPr>
            <w:r>
              <w:t>Source trust</w:t>
            </w:r>
          </w:p>
          <w:p>
            <w:pPr>
              <w:pStyle w:val="BodySmall"/>
              <w:spacing w:before="0" w:after="0" w:line="240" w:lineRule="auto"/>
            </w:pPr>
            <w:r>
              <w:t>Audit events</w:t>
            </w:r>
          </w:p>
        </w:tc>
      </w:tr>
    </w:tbl>
    <w:p>
      <w:pPr>
        <w:pStyle w:val="AccentHeading"/>
        <w:spacing w:before="40" w:after="40" w:line="240" w:lineRule="auto"/>
      </w:pPr>
      <w:r>
        <w:t>What the product feels like</w:t>
      </w:r>
    </w:p>
    <w:tbl>
      <w:tblPr>
        <w:tblW w:type="auto" w:w="0"/>
        <w:jc w:val="left"/>
        <w:tblLook w:firstColumn="1" w:firstRow="1" w:lastColumn="0" w:lastRow="0" w:noHBand="0" w:noVBand="1" w:val="04A0"/>
      </w:tblPr>
      <w:tblGrid>
        <w:gridCol w:w="10052"/>
      </w:tblGrid>
      <w:tr>
        <w:tc>
          <w:tcPr>
            <w:tcW w:type="dxa" w:w="10052"/>
            <w:shd w:fill="F8FAFC"/>
            <w:tcBorders>
              <w:left w:sz="16" w:val="single" w:color="64748B"/>
              <w:top w:sz="4" w:val="single" w:color="CBD5E1"/>
              <w:right w:sz="4" w:val="single" w:color="CBD5E1"/>
              <w:bottom w:sz="4" w:val="single" w:color="CBD5E1"/>
            </w:tcBorders>
          </w:tcPr>
          <w:p>
            <w:pPr>
              <w:spacing w:before="0" w:after="0" w:line="240" w:lineRule="auto"/>
            </w:pPr>
            <w:r>
              <w:rPr>
                <w:b/>
              </w:rPr>
              <w:t xml:space="preserve">Example alert: </w:t>
            </w:r>
            <w:r>
              <w:t>Knicks @ Celtics | High severity | 38 minutes to tip</w:t>
            </w:r>
          </w:p>
          <w:p>
            <w:pPr>
              <w:pStyle w:val="BodySmall"/>
              <w:spacing w:before="0" w:after="0" w:line="240" w:lineRule="auto"/>
            </w:pPr>
            <w:r>
              <w:t>bet365 58.1%   •   Kalshi 62.4%   •   Polymarket 64.1%   •   Internal model 61.5%</w:t>
            </w:r>
          </w:p>
          <w:p>
            <w:pPr>
              <w:spacing w:before="0" w:after="0" w:line="240" w:lineRule="auto"/>
            </w:pPr>
            <w:r>
              <w:t>Recommended action: reprice the main line, tighten selected props, and monitor lineup confirmation.</w:t>
            </w:r>
          </w:p>
        </w:tc>
      </w:tr>
    </w:tbl>
    <w:p>
      <w:pPr>
        <w:spacing w:before="0" w:after="0" w:line="240" w:lineRule="auto"/>
      </w:pPr>
    </w:p>
    <w:p>
      <w:pPr>
        <w:pStyle w:val="AccentHeading"/>
        <w:spacing w:before="40" w:after="60" w:line="240" w:lineRule="auto"/>
      </w:pPr>
      <w:r>
        <w:t>Delivery plan and KPIs</w:t>
      </w:r>
    </w:p>
    <w:tbl>
      <w:tblPr>
        <w:tblStyle w:val="TableGrid"/>
        <w:tblW w:type="auto" w:w="0"/>
        <w:jc w:val="left"/>
        <w:tblLayout w:type="fixed"/>
        <w:tblLook w:firstColumn="1" w:firstRow="1" w:lastColumn="0" w:lastRow="0" w:noHBand="0" w:noVBand="1" w:val="04A0"/>
      </w:tblPr>
      <w:tblGrid>
        <w:gridCol w:w="1584"/>
        <w:gridCol w:w="4536"/>
        <w:gridCol w:w="3384"/>
      </w:tblGrid>
      <w:tr>
        <w:tc>
          <w:tcPr>
            <w:tcW w:type="dxa" w:w="3351"/>
            <w:shd w:fill="E5E7EB"/>
          </w:tcPr>
          <w:p>
            <w:pPr>
              <w:spacing w:before="0" w:after="0" w:line="240" w:lineRule="auto"/>
            </w:pPr>
            <w:r>
              <w:rPr>
                <w:b/>
              </w:rPr>
              <w:t>Timeframe</w:t>
            </w:r>
          </w:p>
        </w:tc>
        <w:tc>
          <w:tcPr>
            <w:tcW w:type="dxa" w:w="3351"/>
            <w:shd w:fill="E5E7EB"/>
          </w:tcPr>
          <w:p>
            <w:pPr>
              <w:spacing w:before="0" w:after="0" w:line="240" w:lineRule="auto"/>
            </w:pPr>
            <w:r>
              <w:rPr>
                <w:b/>
              </w:rPr>
              <w:t>Deliverables</w:t>
            </w:r>
          </w:p>
        </w:tc>
        <w:tc>
          <w:tcPr>
            <w:tcW w:type="dxa" w:w="3351"/>
            <w:shd w:fill="E5E7EB"/>
          </w:tcPr>
          <w:p>
            <w:pPr>
              <w:spacing w:before="0" w:after="0" w:line="240" w:lineRule="auto"/>
            </w:pPr>
            <w:r>
              <w:rPr>
                <w:b/>
              </w:rPr>
              <w:t>Outcome</w:t>
            </w:r>
          </w:p>
        </w:tc>
      </w:tr>
      <w:tr>
        <w:tc>
          <w:tcPr>
            <w:tcW w:type="dxa" w:w="1584"/>
          </w:tcPr>
          <w:p>
            <w:pPr>
              <w:spacing w:before="0" w:after="0" w:line="240" w:lineRule="auto"/>
            </w:pPr>
            <w:r>
              <w:t>30 days</w:t>
            </w:r>
          </w:p>
        </w:tc>
        <w:tc>
          <w:tcPr>
            <w:tcW w:type="dxa" w:w="4536"/>
          </w:tcPr>
          <w:p>
            <w:pPr>
              <w:pStyle w:val="BodySmall"/>
              <w:spacing w:before="0" w:after="0" w:line="240" w:lineRule="auto"/>
            </w:pPr>
            <w:r>
              <w:t>Mapping, ingestion, odds feed, NBA baseline, UI shell</w:t>
            </w:r>
          </w:p>
        </w:tc>
        <w:tc>
          <w:tcPr>
            <w:tcW w:type="dxa" w:w="3384"/>
          </w:tcPr>
          <w:p>
            <w:pPr>
              <w:spacing w:before="0" w:after="0" w:line="240" w:lineRule="auto"/>
            </w:pPr>
            <w:r>
              <w:t>End-to-end signal pipeline</w:t>
            </w:r>
          </w:p>
        </w:tc>
      </w:tr>
      <w:tr>
        <w:tc>
          <w:tcPr>
            <w:tcW w:type="dxa" w:w="1584"/>
          </w:tcPr>
          <w:p>
            <w:pPr>
              <w:spacing w:before="0" w:after="0" w:line="240" w:lineRule="auto"/>
            </w:pPr>
            <w:r>
              <w:t>60 days</w:t>
            </w:r>
          </w:p>
        </w:tc>
        <w:tc>
          <w:tcPr>
            <w:tcW w:type="dxa" w:w="4536"/>
          </w:tcPr>
          <w:p>
            <w:pPr>
              <w:pStyle w:val="BodySmall"/>
              <w:spacing w:before="0" w:after="0" w:line="240" w:lineRule="auto"/>
            </w:pPr>
            <w:r>
              <w:t>Divergence scoring, trust model, alerts, notes, backtests</w:t>
            </w:r>
          </w:p>
        </w:tc>
        <w:tc>
          <w:tcPr>
            <w:tcW w:type="dxa" w:w="3384"/>
          </w:tcPr>
          <w:p>
            <w:pPr>
              <w:spacing w:before="0" w:after="0" w:line="240" w:lineRule="auto"/>
            </w:pPr>
            <w:r>
              <w:t>Usable internal pilot</w:t>
            </w:r>
          </w:p>
        </w:tc>
      </w:tr>
      <w:tr>
        <w:tc>
          <w:tcPr>
            <w:tcW w:type="dxa" w:w="1584"/>
          </w:tcPr>
          <w:p>
            <w:pPr>
              <w:spacing w:before="0" w:after="0" w:line="240" w:lineRule="auto"/>
            </w:pPr>
            <w:r>
              <w:t>90 days</w:t>
            </w:r>
          </w:p>
        </w:tc>
        <w:tc>
          <w:tcPr>
            <w:tcW w:type="dxa" w:w="4536"/>
          </w:tcPr>
          <w:p>
            <w:pPr>
              <w:pStyle w:val="BodySmall"/>
              <w:spacing w:before="0" w:after="0" w:line="240" w:lineRule="auto"/>
            </w:pPr>
            <w:r>
              <w:t>Exposure-aware actions, live updates, props, calibration</w:t>
            </w:r>
          </w:p>
        </w:tc>
        <w:tc>
          <w:tcPr>
            <w:tcW w:type="dxa" w:w="3384"/>
          </w:tcPr>
          <w:p>
            <w:pPr>
              <w:spacing w:before="0" w:after="0" w:line="240" w:lineRule="auto"/>
            </w:pPr>
            <w:r>
              <w:t>Desk-ready product</w:t>
            </w:r>
          </w:p>
        </w:tc>
      </w:tr>
    </w:tbl>
    <w:p>
      <w:pPr>
        <w:spacing w:before="0" w:after="0" w:line="240" w:lineRule="auto"/>
      </w:pPr>
    </w:p>
    <w:tbl>
      <w:tblPr>
        <w:tblStyle w:val="TableGrid"/>
        <w:tblW w:type="auto" w:w="0"/>
        <w:jc w:val="left"/>
        <w:tblLayout w:type="fixed"/>
        <w:tblLook w:firstColumn="1" w:firstRow="1" w:lastColumn="0" w:lastRow="0" w:noHBand="0" w:noVBand="1" w:val="04A0"/>
      </w:tblPr>
      <w:tblGrid>
        <w:gridCol w:w="4176"/>
        <w:gridCol w:w="5328"/>
      </w:tblGrid>
      <w:tr>
        <w:tc>
          <w:tcPr>
            <w:tcW w:type="dxa" w:w="5026"/>
            <w:shd w:fill="E5E7EB"/>
          </w:tcPr>
          <w:p>
            <w:pPr>
              <w:spacing w:before="0" w:after="0" w:line="240" w:lineRule="auto"/>
            </w:pPr>
            <w:r>
              <w:rPr>
                <w:b/>
              </w:rPr>
              <w:t>KPI</w:t>
            </w:r>
          </w:p>
        </w:tc>
        <w:tc>
          <w:tcPr>
            <w:tcW w:type="dxa" w:w="5026"/>
            <w:shd w:fill="E5E7EB"/>
          </w:tcPr>
          <w:p>
            <w:pPr>
              <w:spacing w:before="0" w:after="0" w:line="240" w:lineRule="auto"/>
            </w:pPr>
            <w:r>
              <w:rPr>
                <w:b/>
              </w:rPr>
              <w:t>Why it matters</w:t>
            </w:r>
          </w:p>
        </w:tc>
      </w:tr>
      <w:tr>
        <w:tc>
          <w:tcPr>
            <w:tcW w:type="dxa" w:w="4176"/>
          </w:tcPr>
          <w:p>
            <w:pPr>
              <w:pStyle w:val="BodySmall"/>
              <w:spacing w:before="0" w:after="0" w:line="240" w:lineRule="auto"/>
            </w:pPr>
            <w:r>
              <w:t>Time-to-reprice after new info</w:t>
            </w:r>
          </w:p>
        </w:tc>
        <w:tc>
          <w:tcPr>
            <w:tcW w:type="dxa" w:w="5328"/>
          </w:tcPr>
          <w:p>
            <w:pPr>
              <w:pStyle w:val="BodySmall"/>
              <w:spacing w:before="0" w:after="0" w:line="240" w:lineRule="auto"/>
            </w:pPr>
            <w:r>
              <w:t>Measures workflow speed</w:t>
            </w:r>
          </w:p>
        </w:tc>
      </w:tr>
      <w:tr>
        <w:tc>
          <w:tcPr>
            <w:tcW w:type="dxa" w:w="4176"/>
          </w:tcPr>
          <w:p>
            <w:pPr>
              <w:pStyle w:val="BodySmall"/>
              <w:spacing w:before="0" w:after="0" w:line="240" w:lineRule="auto"/>
            </w:pPr>
            <w:r>
              <w:t>Alert precision</w:t>
            </w:r>
          </w:p>
        </w:tc>
        <w:tc>
          <w:tcPr>
            <w:tcW w:type="dxa" w:w="5328"/>
          </w:tcPr>
          <w:p>
            <w:pPr>
              <w:pStyle w:val="BodySmall"/>
              <w:spacing w:before="0" w:after="0" w:line="240" w:lineRule="auto"/>
            </w:pPr>
            <w:r>
              <w:t>Prevents noisy systems from being ignored</w:t>
            </w:r>
          </w:p>
        </w:tc>
      </w:tr>
      <w:tr>
        <w:tc>
          <w:tcPr>
            <w:tcW w:type="dxa" w:w="4176"/>
          </w:tcPr>
          <w:p>
            <w:pPr>
              <w:pStyle w:val="BodySmall"/>
              <w:spacing w:before="0" w:after="0" w:line="240" w:lineRule="auto"/>
            </w:pPr>
            <w:r>
              <w:t>Closing-line quality on flagged markets</w:t>
            </w:r>
          </w:p>
        </w:tc>
        <w:tc>
          <w:tcPr>
            <w:tcW w:type="dxa" w:w="5328"/>
          </w:tcPr>
          <w:p>
            <w:pPr>
              <w:pStyle w:val="BodySmall"/>
              <w:spacing w:before="0" w:after="0" w:line="240" w:lineRule="auto"/>
            </w:pPr>
            <w:r>
              <w:t>Connects alerts to market performance</w:t>
            </w:r>
          </w:p>
        </w:tc>
      </w:tr>
      <w:tr>
        <w:tc>
          <w:tcPr>
            <w:tcW w:type="dxa" w:w="4176"/>
          </w:tcPr>
          <w:p>
            <w:pPr>
              <w:pStyle w:val="BodySmall"/>
              <w:spacing w:before="0" w:after="0" w:line="240" w:lineRule="auto"/>
            </w:pPr>
            <w:r>
              <w:t>Liability avoided on high-risk moves</w:t>
            </w:r>
          </w:p>
        </w:tc>
        <w:tc>
          <w:tcPr>
            <w:tcW w:type="dxa" w:w="5328"/>
          </w:tcPr>
          <w:p>
            <w:pPr>
              <w:pStyle w:val="BodySmall"/>
              <w:spacing w:before="0" w:after="0" w:line="240" w:lineRule="auto"/>
            </w:pPr>
            <w:r>
              <w:t>Links the product to risk savings</w:t>
            </w:r>
          </w:p>
        </w:tc>
      </w:tr>
      <w:tr>
        <w:tc>
          <w:tcPr>
            <w:tcW w:type="dxa" w:w="4176"/>
          </w:tcPr>
          <w:p>
            <w:pPr>
              <w:pStyle w:val="BodySmall"/>
              <w:spacing w:before="0" w:after="0" w:line="240" w:lineRule="auto"/>
            </w:pPr>
            <w:r>
              <w:t>Trader adoption</w:t>
            </w:r>
          </w:p>
        </w:tc>
        <w:tc>
          <w:tcPr>
            <w:tcW w:type="dxa" w:w="5328"/>
          </w:tcPr>
          <w:p>
            <w:pPr>
              <w:pStyle w:val="BodySmall"/>
              <w:spacing w:before="0" w:after="0" w:line="240" w:lineRule="auto"/>
            </w:pPr>
            <w:r>
              <w:t>Shows the console is actually useful</w:t>
            </w:r>
          </w:p>
        </w:tc>
      </w:tr>
    </w:tbl>
    <w:p>
      <w:pPr>
        <w:spacing w:before="0" w:after="0" w:line="240" w:lineRule="auto"/>
      </w:pPr>
    </w:p>
    <w:p>
      <w:pPr>
        <w:pStyle w:val="AccentHeading"/>
        <w:spacing w:before="40" w:after="40" w:line="240" w:lineRule="auto"/>
      </w:pPr>
      <w:r>
        <w:t>Risk and governance</w:t>
      </w:r>
    </w:p>
    <w:p>
      <w:pPr>
        <w:spacing w:before="0" w:after="0" w:line="240" w:lineRule="auto"/>
        <w:ind w:left="317"/>
      </w:pPr>
      <w:r>
        <w:rPr>
          <w:b/>
        </w:rPr>
        <w:t xml:space="preserve">• </w:t>
      </w:r>
      <w:r>
        <w:t>External prediction markets are advisory inputs, not automatic pricing commands.</w:t>
      </w:r>
    </w:p>
    <w:p>
      <w:pPr>
        <w:spacing w:before="0" w:after="0" w:line="240" w:lineRule="auto"/>
        <w:ind w:left="317"/>
      </w:pPr>
      <w:r>
        <w:rPr>
          <w:b/>
        </w:rPr>
        <w:t xml:space="preserve">• </w:t>
      </w:r>
      <w:r>
        <w:t>Every alert should preserve an audit trail.</w:t>
      </w:r>
    </w:p>
    <w:p>
      <w:pPr>
        <w:spacing w:before="0" w:after="0" w:line="240" w:lineRule="auto"/>
        <w:ind w:left="317"/>
      </w:pPr>
      <w:r>
        <w:rPr>
          <w:b/>
        </w:rPr>
        <w:t xml:space="preserve">• </w:t>
      </w:r>
      <w:r>
        <w:t>Human approval remains in the loop for repricing.</w:t>
      </w:r>
    </w:p>
    <w:p>
      <w:pPr>
        <w:spacing w:before="0" w:after="0" w:line="240" w:lineRule="auto"/>
        <w:ind w:left="317"/>
      </w:pPr>
      <w:r>
        <w:rPr>
          <w:b/>
        </w:rPr>
        <w:t xml:space="preserve">• </w:t>
      </w:r>
      <w:r>
        <w:t>Source quality must be explicit, not hidden.</w:t>
      </w:r>
    </w:p>
    <w:p>
      <w:pPr>
        <w:spacing w:before="0" w:after="0" w:line="240" w:lineRule="auto"/>
        <w:ind w:left="317"/>
      </w:pPr>
      <w:r>
        <w:rPr>
          <w:b/>
        </w:rPr>
        <w:t xml:space="preserve">• </w:t>
      </w:r>
      <w:r>
        <w:t>Live dependency failures should degrade gracefully.</w:t>
      </w:r>
    </w:p>
    <w:p>
      <w:pPr>
        <w:pStyle w:val="AccentHeading"/>
        <w:spacing w:before="40" w:after="20" w:line="240" w:lineRule="auto"/>
      </w:pPr>
      <w:r>
        <w:t>Bottom line</w:t>
      </w:r>
    </w:p>
    <w:p>
      <w:pPr>
        <w:spacing w:before="0" w:after="0" w:line="240" w:lineRule="auto"/>
      </w:pPr>
      <w:r>
        <w:rPr>
          <w:b/>
          <w:color w:val="0B5D3B"/>
        </w:rPr>
        <w:t xml:space="preserve">Prediction markets are not the product. </w:t>
      </w:r>
      <w:r>
        <w:t>The product is a trader workstation that turns external market motion into actionable pricing intelligence.</w:t>
      </w:r>
    </w:p>
    <w:sectPr w:rsidR="00FC693F" w:rsidRPr="0006063C" w:rsidSect="00034616">
      <w:footerReference w:type="default" r:id="rId9"/>
      <w:pgSz w:w="12240" w:h="15840"/>
      <w:pgMar w:top="979"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bet365 NBA Signal Console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rPr>
      <w:rFonts w:ascii="Aptos" w:hAnsi="Aptos"/>
      <w:color w:val="4B5563"/>
      <w:sz w:val="17"/>
    </w:rPr>
  </w:style>
  <w:style w:type="paragraph" w:customStyle="1" w:styleId="AccentHeading">
    <w:name w:val="Accent Heading"/>
    <w:basedOn w:val="Heading1"/>
    <w:rPr>
      <w:rFonts w:ascii="Aptos Display" w:hAnsi="Aptos Display"/>
      <w:b/>
      <w:color w:val="0B5D3B"/>
      <w:sz w:val="33"/>
    </w:rPr>
  </w:style>
  <w:style w:type="paragraph" w:customStyle="1" w:styleId="SectionLead">
    <w:name w:val="Section Lead"/>
    <w:rPr>
      <w:rFonts w:ascii="Aptos" w:hAnsi="Aptos"/>
      <w:color w:val="374151"/>
      <w:sz w:val="20"/>
    </w:rPr>
  </w:style>
  <w:style w:type="paragraph" w:customStyle="1" w:styleId="CalloutText">
    <w:name w:val="Callout Text"/>
    <w:rPr>
      <w:rFonts w:ascii="Aptos" w:hAnsi="Aptos"/>
      <w:b/>
      <w:color w:val="134E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