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0558C" w:val="clear"/>
            <w:tcMar>
              <w:top w:type="dxa" w:w="400"/>
              <w:left w:type="dxa" w:w="400"/>
              <w:bottom w:type="dxa" w:w="400"/>
              <w:right w:type="dxa" w:w="400"/>
            </w:tcMar>
          </w:tcPr>
          <w:p>
            <w:pPr>
              <w:spacing w:after="80"/>
            </w:pPr>
            <w:r>
              <w:rPr>
                <w:rFonts w:ascii="Montserrat" w:cs="Montserrat" w:eastAsia="Montserrat" w:hAnsi="Montserrat"/>
                <w:b/>
                <w:bCs/>
                <w:color w:val="78DED4"/>
                <w:spacing w:val="60"/>
                <w:sz w:val="16"/>
                <w:szCs w:val="16"/>
              </w:rPr>
              <w:t xml:space="preserve">HURON ASEAN · INNOVATION FACTORY · S4 ACCOUNT INTELLIGENCE</w:t>
            </w:r>
          </w:p>
          <w:p>
            <w:pPr>
              <w:spacing w:after="120"/>
            </w:pPr>
            <w:r>
              <w:rPr>
                <w:rFonts w:ascii="Montserrat" w:cs="Montserrat" w:eastAsia="Montserrat" w:hAnsi="Montserrat"/>
                <w:b/>
                <w:bCs/>
                <w:color w:val="FFFFFF"/>
                <w:sz w:val="48"/>
                <w:szCs w:val="48"/>
              </w:rPr>
              <w:t xml:space="preserve">Pulse360 North Star</w:t>
            </w:r>
          </w:p>
          <w:p>
            <w:pPr>
              <w:spacing w:after="40"/>
            </w:pPr>
            <w:r>
              <w:rPr>
                <w:rFonts w:ascii="Montserrat" w:cs="Montserrat" w:eastAsia="Montserrat" w:hAnsi="Montserrat"/>
                <w:color w:val="FFFFFF"/>
                <w:sz w:val="36"/>
                <w:szCs w:val="36"/>
              </w:rPr>
              <w:t xml:space="preserve">Solution Specification</w:t>
            </w:r>
          </w:p>
          <w:p>
            <w:pPr>
              <w:spacing w:after="200"/>
            </w:pPr>
          </w:p>
          <w:p>
            <w:pPr>
              <w:spacing w:after="60"/>
            </w:pPr>
            <w:r>
              <w:rPr>
                <w:rFonts w:ascii="Montserrat" w:cs="Montserrat" w:eastAsia="Montserrat" w:hAnsi="Montserrat"/>
                <w:color w:val="A8C8DF"/>
                <w:sz w:val="22"/>
                <w:szCs w:val="22"/>
              </w:rPr>
              <w:t xml:space="preserve">From data quality demo to account intelligence platform</w:t>
            </w:r>
          </w:p>
          <w:p>
            <w:pPr>
              <w:spacing w:after="60"/>
            </w:pPr>
            <w:r>
              <w:rPr>
                <w:rFonts w:ascii="Montserrat" w:cs="Montserrat" w:eastAsia="Montserrat" w:hAnsi="Montserrat"/>
                <w:color w:val="A8C8DF"/>
                <w:sz w:val="22"/>
                <w:szCs w:val="22"/>
              </w:rPr>
              <w:t xml:space="preserve">Philippines Market · ASEAN Expansion</w:t>
            </w:r>
          </w:p>
          <w:p>
            <w:pPr>
              <w:spacing w:after="200"/>
            </w:pPr>
          </w:p>
          <w:p>
            <w:r>
              <w:rPr>
                <w:rFonts w:ascii="Montserrat" w:cs="Montserrat" w:eastAsia="Montserrat" w:hAnsi="Montserrat"/>
                <w:color w:val="78DED4"/>
                <w:sz w:val="18"/>
                <w:szCs w:val="18"/>
              </w:rPr>
              <w:t xml:space="preserve">Salesforce Agentforce</w:t>
            </w:r>
            <w:r>
              <w:rPr>
                <w:rFonts w:ascii="Montserrat" w:cs="Montserrat" w:eastAsia="Montserrat" w:hAnsi="Montserrat"/>
                <w:color w:val="A8C8DF"/>
                <w:sz w:val="18"/>
                <w:szCs w:val="18"/>
              </w:rPr>
              <w:t xml:space="preserve">   ·   </w:t>
            </w:r>
            <w:r>
              <w:rPr>
                <w:rFonts w:ascii="Montserrat" w:cs="Montserrat" w:eastAsia="Montserrat" w:hAnsi="Montserrat"/>
                <w:color w:val="78DED4"/>
                <w:sz w:val="18"/>
                <w:szCs w:val="18"/>
              </w:rPr>
              <w:t xml:space="preserve">Databricks</w:t>
            </w:r>
            <w:r>
              <w:rPr>
                <w:rFonts w:ascii="Montserrat" w:cs="Montserrat" w:eastAsia="Montserrat" w:hAnsi="Montserrat"/>
                <w:color w:val="A8C8DF"/>
                <w:sz w:val="18"/>
                <w:szCs w:val="18"/>
              </w:rPr>
              <w:t xml:space="preserve">   ·   </w:t>
            </w:r>
            <w:r>
              <w:rPr>
                <w:rFonts w:ascii="Montserrat" w:cs="Montserrat" w:eastAsia="Montserrat" w:hAnsi="Montserrat"/>
                <w:color w:val="78DED4"/>
                <w:sz w:val="18"/>
                <w:szCs w:val="18"/>
              </w:rPr>
              <w:t xml:space="preserve">Data Cloud</w:t>
            </w:r>
            <w:r>
              <w:rPr>
                <w:rFonts w:ascii="Montserrat" w:cs="Montserrat" w:eastAsia="Montserrat" w:hAnsi="Montserrat"/>
                <w:color w:val="A8C8DF"/>
                <w:sz w:val="18"/>
                <w:szCs w:val="18"/>
              </w:rPr>
              <w:t xml:space="preserve">   ·   </w:t>
            </w:r>
            <w:r>
              <w:rPr>
                <w:rFonts w:ascii="Montserrat" w:cs="Montserrat" w:eastAsia="Montserrat" w:hAnsi="Montserrat"/>
                <w:color w:val="78DED4"/>
                <w:sz w:val="18"/>
                <w:szCs w:val="18"/>
              </w:rPr>
              <w:t xml:space="preserve">Claude API</w:t>
            </w:r>
          </w:p>
        </w:tc>
      </w:tr>
    </w:tbl>
    <w:p>
      <w:pPr>
        <w:spacing w:after="4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color="FFFFFF" w:sz="0"/>
              <w:left w:val="none" w:color="FFFFFF" w:sz="0"/>
              <w:bottom w:val="none" w:color="FFFFFF" w:sz="0"/>
              <w:right w:val="none" w:color="FFFFFF" w:sz="0"/>
            </w:tcBorders>
          </w:tcPr>
          <w:p>
            <w:r>
              <w:rPr>
                <w:rFonts w:ascii="Montserrat" w:cs="Montserrat" w:eastAsia="Montserrat" w:hAnsi="Montserrat"/>
                <w:b/>
                <w:bCs/>
                <w:color w:val="C1C6C8"/>
                <w:sz w:val="16"/>
                <w:szCs w:val="16"/>
              </w:rPr>
              <w:t xml:space="preserve">DATE</w:t>
            </w:r>
          </w:p>
          <w:p>
            <w:r>
              <w:rPr>
                <w:rFonts w:ascii="Montserrat" w:cs="Montserrat" w:eastAsia="Montserrat" w:hAnsi="Montserrat"/>
                <w:color w:val="242724"/>
                <w:sz w:val="20"/>
                <w:szCs w:val="20"/>
              </w:rPr>
              <w:t xml:space="preserve">28 March 2026</w:t>
            </w:r>
          </w:p>
        </w:tc>
        <w:tc>
          <w:tcPr>
            <w:tcW w:type="dxa" w:w="2460"/>
            <w:tcBorders>
              <w:top w:val="none" w:color="FFFFFF" w:sz="0"/>
              <w:left w:val="none" w:color="FFFFFF" w:sz="0"/>
              <w:bottom w:val="none" w:color="FFFFFF" w:sz="0"/>
              <w:right w:val="none" w:color="FFFFFF" w:sz="0"/>
            </w:tcBorders>
          </w:tcPr>
          <w:p>
            <w:r>
              <w:rPr>
                <w:rFonts w:ascii="Montserrat" w:cs="Montserrat" w:eastAsia="Montserrat" w:hAnsi="Montserrat"/>
                <w:b/>
                <w:bCs/>
                <w:color w:val="C1C6C8"/>
                <w:sz w:val="16"/>
                <w:szCs w:val="16"/>
              </w:rPr>
              <w:t xml:space="preserve">CLASSIFICATION</w:t>
            </w:r>
          </w:p>
          <w:p>
            <w:r>
              <w:rPr>
                <w:rFonts w:ascii="Montserrat" w:cs="Montserrat" w:eastAsia="Montserrat" w:hAnsi="Montserrat"/>
                <w:color w:val="242724"/>
                <w:sz w:val="20"/>
                <w:szCs w:val="20"/>
              </w:rPr>
              <w:t xml:space="preserve">Confidential</w:t>
            </w:r>
          </w:p>
        </w:tc>
        <w:tc>
          <w:tcPr>
            <w:tcW w:type="dxa" w:w="2460"/>
            <w:tcBorders>
              <w:top w:val="none" w:color="FFFFFF" w:sz="0"/>
              <w:left w:val="none" w:color="FFFFFF" w:sz="0"/>
              <w:bottom w:val="none" w:color="FFFFFF" w:sz="0"/>
              <w:right w:val="none" w:color="FFFFFF" w:sz="0"/>
            </w:tcBorders>
          </w:tcPr>
          <w:p>
            <w:r>
              <w:rPr>
                <w:rFonts w:ascii="Montserrat" w:cs="Montserrat" w:eastAsia="Montserrat" w:hAnsi="Montserrat"/>
                <w:b/>
                <w:bCs/>
                <w:color w:val="C1C6C8"/>
                <w:sz w:val="16"/>
                <w:szCs w:val="16"/>
              </w:rPr>
              <w:t xml:space="preserve">REFERENCE</w:t>
            </w:r>
          </w:p>
          <w:p>
            <w:r>
              <w:rPr>
                <w:rFonts w:ascii="Montserrat" w:cs="Montserrat" w:eastAsia="Montserrat" w:hAnsi="Montserrat"/>
                <w:color w:val="242724"/>
                <w:sz w:val="20"/>
                <w:szCs w:val="20"/>
              </w:rPr>
              <w:t xml:space="preserve">SPEC-S4-NS-001</w:t>
            </w:r>
          </w:p>
        </w:tc>
        <w:tc>
          <w:tcPr>
            <w:tcW w:type="dxa" w:w="2460"/>
            <w:tcBorders>
              <w:top w:val="none" w:color="FFFFFF" w:sz="0"/>
              <w:left w:val="none" w:color="FFFFFF" w:sz="0"/>
              <w:bottom w:val="none" w:color="FFFFFF" w:sz="0"/>
              <w:right w:val="none" w:color="FFFFFF" w:sz="0"/>
            </w:tcBorders>
          </w:tcPr>
          <w:p>
            <w:r>
              <w:rPr>
                <w:rFonts w:ascii="Montserrat" w:cs="Montserrat" w:eastAsia="Montserrat" w:hAnsi="Montserrat"/>
                <w:b/>
                <w:bCs/>
                <w:color w:val="C1C6C8"/>
                <w:sz w:val="16"/>
                <w:szCs w:val="16"/>
              </w:rPr>
              <w:t xml:space="preserve">CYCLE</w:t>
            </w:r>
          </w:p>
          <w:p>
            <w:r>
              <w:rPr>
                <w:rFonts w:ascii="Montserrat" w:cs="Montserrat" w:eastAsia="Montserrat" w:hAnsi="Montserrat"/>
                <w:color w:val="242724"/>
                <w:sz w:val="20"/>
                <w:szCs w:val="20"/>
              </w:rPr>
              <w:t xml:space="preserve">H2-2026</w:t>
            </w:r>
          </w:p>
        </w:tc>
      </w:tr>
    </w:tbl>
    <w:p>
      <w:pPr>
        <w:spacing w:after="600"/>
      </w:pPr>
    </w:p>
    <w:p>
      <w:r>
        <w:rPr>
          <w:rFonts w:ascii="Montserrat" w:cs="Montserrat" w:eastAsia="Montserrat" w:hAnsi="Montserrat"/>
          <w:color w:val="C1C6C8"/>
          <w:sz w:val="16"/>
          <w:szCs w:val="16"/>
        </w:rPr>
        <w:t xml:space="preserve">© 2026 Huron Consulting Group Inc. and affiliates.</w:t>
      </w:r>
    </w:p>
    <w:p>
      <w:pPr>
        <w:sectPr>
          <w:headerReference w:type="default" r:id="rId6"/>
          <w:pgSz w:w="12240" w:h="15840" w:orient="portrait"/>
          <w:pgMar w:top="1200" w:right="1200" w:bottom="1200" w:left="1200" w:header="708" w:footer="708" w:gutter="0"/>
          <w:pgNumType/>
          <w:docGrid w:linePitch="360"/>
        </w:sectPr>
      </w:pPr>
    </w:p>
    <w:p>
      <w:pPr>
        <w:pStyle w:val="Heading1"/>
        <w:spacing w:before="360" w:after="200"/>
      </w:pPr>
      <w:r>
        <w:rPr>
          <w:rFonts w:ascii="Montserrat" w:cs="Montserrat" w:eastAsia="Montserrat" w:hAnsi="Montserrat"/>
          <w:b/>
          <w:bCs/>
          <w:color w:val="00558C"/>
          <w:sz w:val="28"/>
          <w:szCs w:val="28"/>
        </w:rPr>
        <w:t xml:space="preserve">1. Executive Context</w:t>
      </w:r>
    </w:p>
    <w:p>
      <w:pPr>
        <w:pStyle w:val="Heading2"/>
        <w:spacing w:before="280" w:after="160"/>
      </w:pPr>
      <w:r>
        <w:rPr>
          <w:rFonts w:ascii="Montserrat" w:cs="Montserrat" w:eastAsia="Montserrat" w:hAnsi="Montserrat"/>
          <w:b/>
          <w:bCs/>
          <w:color w:val="00558C"/>
          <w:sz w:val="24"/>
          <w:szCs w:val="24"/>
        </w:rPr>
        <w:t xml:space="preserve">1.1 The Business Problem</w:t>
      </w:r>
    </w:p>
    <w:p>
      <w:pPr>
        <w:spacing w:after="120" w:line="276"/>
      </w:pPr>
      <w:r>
        <w:rPr>
          <w:rFonts w:ascii="Montserrat" w:cs="Montserrat" w:eastAsia="Montserrat" w:hAnsi="Montserrat"/>
          <w:color w:val="242724"/>
          <w:sz w:val="20"/>
          <w:szCs w:val="20"/>
        </w:rPr>
        <w:t xml:space="preserve">Enterprise account management in ASEAN is constrained by four recurring operational failures: the same business entity appears as multiple conflicting CRM records; group relationships between parents, subsidiaries, brands, and related entities are not trusted or visible enough; stewardship and governance decisions are slow because supporting evidence is fragmented across systems; and useful commercial signals do not become timely actions inside CRM workflow.</w:t>
      </w:r>
    </w:p>
    <w:p>
      <w:pPr>
        <w:spacing w:after="120" w:line="276"/>
      </w:pPr>
      <w:r>
        <w:rPr>
          <w:rFonts w:ascii="Montserrat" w:cs="Montserrat" w:eastAsia="Montserrat" w:hAnsi="Montserrat"/>
          <w:color w:val="242724"/>
          <w:sz w:val="20"/>
          <w:szCs w:val="20"/>
        </w:rPr>
        <w:t xml:space="preserve">The result is that teams make account decisions from partial truth. Sellers do not know the real group context or whitespace. Planners cannot trust group-level coverage analysis. Stewards cannot make fast, defensible merge decisions. Leadership sees reporting, but not trusted account understanding.</w:t>
      </w:r>
    </w:p>
    <w:p>
      <w:pPr>
        <w:pStyle w:val="Heading2"/>
        <w:spacing w:before="280" w:after="160"/>
      </w:pPr>
      <w:r>
        <w:rPr>
          <w:rFonts w:ascii="Montserrat" w:cs="Montserrat" w:eastAsia="Montserrat" w:hAnsi="Montserrat"/>
          <w:b/>
          <w:bCs/>
          <w:color w:val="00558C"/>
          <w:sz w:val="24"/>
          <w:szCs w:val="24"/>
        </w:rPr>
        <w:t xml:space="preserve">1.2 Why Philippines, Why Now</w:t>
      </w:r>
    </w:p>
    <w:p>
      <w:pPr>
        <w:spacing w:after="120" w:line="276"/>
      </w:pPr>
      <w:r>
        <w:rPr>
          <w:rFonts w:ascii="Montserrat" w:cs="Montserrat" w:eastAsia="Montserrat" w:hAnsi="Montserrat"/>
          <w:color w:val="242724"/>
          <w:sz w:val="20"/>
          <w:szCs w:val="20"/>
        </w:rPr>
        <w:t xml:space="preserve">Five converging factors make the Philippines the highest-priority market for the S4 Account Intelligence proposition outside Singapore:</w:t>
      </w:r>
    </w:p>
    <w:p>
      <w:pPr>
        <w:pStyle w:val="ListParagraph"/>
        <w:numPr>
          <w:ilvl w:val="0"/>
          <w:numId w:val="2"/>
        </w:numPr>
        <w:spacing w:after="60" w:line="276"/>
      </w:pPr>
      <w:r>
        <w:rPr>
          <w:rFonts w:ascii="Montserrat" w:cs="Montserrat" w:eastAsia="Montserrat" w:hAnsi="Montserrat"/>
          <w:b/>
          <w:bCs/>
          <w:color w:val="00558C"/>
          <w:sz w:val="20"/>
          <w:szCs w:val="20"/>
        </w:rPr>
        <w:t xml:space="preserve">Salesforce Manila office</w:t>
      </w:r>
      <w:r>
        <w:rPr>
          <w:rFonts w:ascii="Montserrat" w:cs="Montserrat" w:eastAsia="Montserrat" w:hAnsi="Montserrat"/>
          <w:color w:val="242724"/>
          <w:sz w:val="20"/>
          <w:szCs w:val="20"/>
        </w:rPr>
        <w:t xml:space="preserve"> — Opened November 2025. Abraham Cuevas appointed Country Manager. AE co-sell motion is live and actively introducing SI partners.</w:t>
      </w:r>
    </w:p>
    <w:p>
      <w:pPr>
        <w:pStyle w:val="ListParagraph"/>
        <w:numPr>
          <w:ilvl w:val="0"/>
          <w:numId w:val="2"/>
        </w:numPr>
        <w:spacing w:after="60" w:line="276"/>
      </w:pPr>
      <w:r>
        <w:rPr>
          <w:rFonts w:ascii="Montserrat" w:cs="Montserrat" w:eastAsia="Montserrat" w:hAnsi="Montserrat"/>
          <w:b/>
          <w:bCs/>
          <w:color w:val="00558C"/>
          <w:sz w:val="20"/>
          <w:szCs w:val="20"/>
        </w:rPr>
        <w:t xml:space="preserve">Nine confirmed Salesforce customers</w:t>
      </w:r>
      <w:r>
        <w:rPr>
          <w:rFonts w:ascii="Montserrat" w:cs="Montserrat" w:eastAsia="Montserrat" w:hAnsi="Montserrat"/>
          <w:color w:val="242724"/>
          <w:sz w:val="20"/>
          <w:szCs w:val="20"/>
        </w:rPr>
        <w:t xml:space="preserve"> — PLDT, Converge ICT, BPI, Ayala Land, Meralco, Philippine Airlines, Cebu Pacific, Maxicare, GoTyme Bank. Each is a large multi-BU enterprise.</w:t>
      </w:r>
    </w:p>
    <w:p>
      <w:pPr>
        <w:pStyle w:val="ListParagraph"/>
        <w:numPr>
          <w:ilvl w:val="0"/>
          <w:numId w:val="2"/>
        </w:numPr>
        <w:spacing w:after="60" w:line="276"/>
      </w:pPr>
      <w:r>
        <w:rPr>
          <w:rFonts w:ascii="Montserrat" w:cs="Montserrat" w:eastAsia="Montserrat" w:hAnsi="Montserrat"/>
          <w:b/>
          <w:bCs/>
          <w:color w:val="00558C"/>
          <w:sz w:val="20"/>
          <w:szCs w:val="20"/>
        </w:rPr>
        <w:t xml:space="preserve">Conglomerate economy</w:t>
      </w:r>
      <w:r>
        <w:rPr>
          <w:rFonts w:ascii="Montserrat" w:cs="Montserrat" w:eastAsia="Montserrat" w:hAnsi="Montserrat"/>
          <w:color w:val="242724"/>
          <w:sz w:val="20"/>
          <w:szCs w:val="20"/>
        </w:rPr>
        <w:t xml:space="preserve"> — Five of the ten largest Philippine companies are diversified conglomerates (Ayala, JG Summit, SM Investments, Aboitiz, San Miguel). Cross-BU fragmentation is structurally guaranteed.</w:t>
      </w:r>
    </w:p>
    <w:p>
      <w:pPr>
        <w:pStyle w:val="ListParagraph"/>
        <w:numPr>
          <w:ilvl w:val="0"/>
          <w:numId w:val="2"/>
        </w:numPr>
        <w:spacing w:after="60" w:line="276"/>
      </w:pPr>
      <w:r>
        <w:rPr>
          <w:rFonts w:ascii="Montserrat" w:cs="Montserrat" w:eastAsia="Montserrat" w:hAnsi="Montserrat"/>
          <w:b/>
          <w:bCs/>
          <w:color w:val="00558C"/>
          <w:sz w:val="20"/>
          <w:szCs w:val="20"/>
        </w:rPr>
        <w:t xml:space="preserve">BSP Circular 1213 deadline</w:t>
      </w:r>
      <w:r>
        <w:rPr>
          <w:rFonts w:ascii="Montserrat" w:cs="Montserrat" w:eastAsia="Montserrat" w:hAnsi="Montserrat"/>
          <w:color w:val="242724"/>
          <w:sz w:val="20"/>
          <w:szCs w:val="20"/>
        </w:rPr>
        <w:t xml:space="preserve"> — June 2026 compliance deadline for ML-based fraud management systems. Cannot be achieved on fragmented customer identity data. Board-level urgency.</w:t>
      </w:r>
    </w:p>
    <w:p>
      <w:pPr>
        <w:pStyle w:val="ListParagraph"/>
        <w:numPr>
          <w:ilvl w:val="0"/>
          <w:numId w:val="2"/>
        </w:numPr>
        <w:spacing w:after="60" w:line="276"/>
      </w:pPr>
      <w:r>
        <w:rPr>
          <w:rFonts w:ascii="Montserrat" w:cs="Montserrat" w:eastAsia="Montserrat" w:hAnsi="Montserrat"/>
          <w:b/>
          <w:bCs/>
          <w:color w:val="00558C"/>
          <w:sz w:val="20"/>
          <w:szCs w:val="20"/>
        </w:rPr>
        <w:t xml:space="preserve">AI investments underperforming</w:t>
      </w:r>
      <w:r>
        <w:rPr>
          <w:rFonts w:ascii="Montserrat" w:cs="Montserrat" w:eastAsia="Montserrat" w:hAnsi="Montserrat"/>
          <w:color w:val="242724"/>
          <w:sz w:val="20"/>
          <w:szCs w:val="20"/>
        </w:rPr>
        <w:t xml:space="preserve"> — Active Agentforce deployments (Converge ICT, Maxicare) almost certainly underperforming because subscriber/member data is fragmented. The AI disillusionment signal is live.</w:t>
      </w:r>
    </w:p>
    <w:p>
      <w:pPr>
        <w:pStyle w:val="Heading2"/>
        <w:spacing w:before="280" w:after="160"/>
      </w:pPr>
      <w:r>
        <w:rPr>
          <w:rFonts w:ascii="Montserrat" w:cs="Montserrat" w:eastAsia="Montserrat" w:hAnsi="Montserrat"/>
          <w:b/>
          <w:bCs/>
          <w:color w:val="00558C"/>
          <w:sz w:val="24"/>
          <w:szCs w:val="24"/>
        </w:rPr>
        <w:t xml:space="preserve">1.3 The Prototype Today</w:t>
      </w:r>
    </w:p>
    <w:p>
      <w:pPr>
        <w:spacing w:after="120" w:line="276"/>
      </w:pPr>
      <w:r>
        <w:rPr>
          <w:rFonts w:ascii="Montserrat" w:cs="Montserrat" w:eastAsia="Montserrat" w:hAnsi="Montserrat"/>
          <w:color w:val="242724"/>
          <w:sz w:val="20"/>
          <w:szCs w:val="20"/>
        </w:rPr>
        <w:t xml:space="preserve">Pulse360 is an account intelligence prototype that has proven the core three-layer architecture:</w:t>
      </w:r>
    </w:p>
    <w:p>
      <w:pPr>
        <w:pStyle w:val="ListParagraph"/>
        <w:numPr>
          <w:ilvl w:val="0"/>
          <w:numId w:val="2"/>
        </w:numPr>
        <w:spacing w:after="60" w:line="276"/>
      </w:pPr>
      <w:r>
        <w:rPr>
          <w:rFonts w:ascii="Montserrat" w:cs="Montserrat" w:eastAsia="Montserrat" w:hAnsi="Montserrat"/>
          <w:b/>
          <w:bCs/>
          <w:color w:val="00558C"/>
          <w:sz w:val="20"/>
          <w:szCs w:val="20"/>
        </w:rPr>
        <w:t xml:space="preserve">Databricks</w:t>
      </w:r>
      <w:r>
        <w:rPr>
          <w:rFonts w:ascii="Montserrat" w:cs="Montserrat" w:eastAsia="Montserrat" w:hAnsi="Montserrat"/>
          <w:color w:val="242724"/>
          <w:sz w:val="20"/>
          <w:szCs w:val="20"/>
        </w:rPr>
        <w:t xml:space="preserve"> — computes trusted, explainable account intelligence (duplicate detection, hierarchy stitching, enrichment validity scoring)</w:t>
      </w:r>
    </w:p>
    <w:p>
      <w:pPr>
        <w:pStyle w:val="ListParagraph"/>
        <w:numPr>
          <w:ilvl w:val="0"/>
          <w:numId w:val="2"/>
        </w:numPr>
        <w:spacing w:after="60" w:line="276"/>
      </w:pPr>
      <w:r>
        <w:rPr>
          <w:rFonts w:ascii="Montserrat" w:cs="Montserrat" w:eastAsia="Montserrat" w:hAnsi="Montserrat"/>
          <w:b/>
          <w:bCs/>
          <w:color w:val="00558C"/>
          <w:sz w:val="20"/>
          <w:szCs w:val="20"/>
        </w:rPr>
        <w:t xml:space="preserve">Salesforce Data Cloud</w:t>
      </w:r>
      <w:r>
        <w:rPr>
          <w:rFonts w:ascii="Montserrat" w:cs="Montserrat" w:eastAsia="Montserrat" w:hAnsi="Montserrat"/>
          <w:color w:val="242724"/>
          <w:sz w:val="20"/>
          <w:szCs w:val="20"/>
        </w:rPr>
        <w:t xml:space="preserve"> — operationalises that intelligence into a CRM-centred account model (identity resolution, calculated insights, operational DMO)</w:t>
      </w:r>
    </w:p>
    <w:p>
      <w:pPr>
        <w:pStyle w:val="ListParagraph"/>
        <w:numPr>
          <w:ilvl w:val="0"/>
          <w:numId w:val="2"/>
        </w:numPr>
        <w:spacing w:after="60" w:line="276"/>
      </w:pPr>
      <w:r>
        <w:rPr>
          <w:rFonts w:ascii="Montserrat" w:cs="Montserrat" w:eastAsia="Montserrat" w:hAnsi="Montserrat"/>
          <w:b/>
          <w:bCs/>
          <w:color w:val="00558C"/>
          <w:sz w:val="20"/>
          <w:szCs w:val="20"/>
        </w:rPr>
        <w:t xml:space="preserve">Salesforce CRM + Agentforce</w:t>
      </w:r>
      <w:r>
        <w:rPr>
          <w:rFonts w:ascii="Montserrat" w:cs="Montserrat" w:eastAsia="Montserrat" w:hAnsi="Montserrat"/>
          <w:color w:val="242724"/>
          <w:sz w:val="20"/>
          <w:szCs w:val="20"/>
        </w:rPr>
        <w:t xml:space="preserve"> — surfaces the intelligence as actionable, governed decisions and seller actions</w:t>
      </w:r>
    </w:p>
    <w:p>
      <w:pPr>
        <w:spacing w:after="80"/>
      </w:pPr>
    </w:p>
    <w:p>
      <w:pPr>
        <w:spacing w:after="120" w:line="276"/>
      </w:pPr>
      <w:r>
        <w:rPr>
          <w:rFonts w:ascii="Montserrat" w:cs="Montserrat" w:eastAsia="Montserrat" w:hAnsi="Montserrat"/>
          <w:color w:val="242724"/>
          <w:sz w:val="20"/>
          <w:szCs w:val="20"/>
        </w:rPr>
        <w:t xml:space="preserve">The end-to-end CRM-safe keying works: native Salesforce Account.Id survives ingestion, enrichment, export, Data Cloud modelling, and CRM writeback via Copy Field Enrichment. The governance case workflow (DS-02) is source-backed and complete. The Account 360 view shows populated intelligence values on live CRM records.</w:t>
      </w:r>
    </w:p>
    <w:p>
      <w:pPr>
        <w:pStyle w:val="Heading2"/>
        <w:spacing w:before="280" w:after="160"/>
      </w:pPr>
      <w:r>
        <w:rPr>
          <w:rFonts w:ascii="Montserrat" w:cs="Montserrat" w:eastAsia="Montserrat" w:hAnsi="Montserrat"/>
          <w:b/>
          <w:bCs/>
          <w:color w:val="00558C"/>
          <w:sz w:val="24"/>
          <w:szCs w:val="24"/>
        </w:rPr>
        <w:t xml:space="preserve">1.4 The Critical Gap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C10230" w:sz="12"/>
              <w:bottom w:val="none" w:color="FFFFFF" w:sz="0"/>
              <w:right w:val="none" w:color="FFFFFF" w:sz="0"/>
            </w:tcBorders>
            <w:shd w:fill="FDF0F3" w:val="clear"/>
            <w:tcMar>
              <w:top w:type="dxa" w:w="120"/>
              <w:left w:type="dxa" w:w="200"/>
              <w:bottom w:type="dxa" w:w="120"/>
              <w:right w:type="dxa" w:w="200"/>
            </w:tcMar>
          </w:tcPr>
          <w:p>
            <w:pPr>
              <w:spacing w:after="60"/>
            </w:pPr>
            <w:r>
              <w:rPr>
                <w:rFonts w:ascii="Montserrat" w:cs="Montserrat" w:eastAsia="Montserrat" w:hAnsi="Montserrat"/>
                <w:b/>
                <w:bCs/>
                <w:color w:val="C10230"/>
                <w:sz w:val="18"/>
                <w:szCs w:val="18"/>
              </w:rPr>
              <w:t xml:space="preserve">THE GIGO PROBLEM</w:t>
            </w:r>
          </w:p>
          <w:p>
            <w:pPr>
              <w:spacing w:after="0"/>
            </w:pPr>
            <w:r>
              <w:rPr>
                <w:rFonts w:ascii="Montserrat" w:cs="Montserrat" w:eastAsia="Montserrat" w:hAnsi="Montserrat"/>
                <w:color w:val="242724"/>
                <w:sz w:val="19"/>
                <w:szCs w:val="19"/>
              </w:rPr>
              <w:t xml:space="preserve">The prototype is a closed loop. CRM data goes to Databricks, gets cleaned and scored, flows through Data Cloud, and lands back in Salesforce. If the source CRM data is thin (sparse revenue fields, no firmographic depth, incomplete hierarchy), the intelligence layer is polishing incomplete data rather than creating new knowledge. The firmographic enrichment described in the intelligence brief is aspirational — the implementation computes validity from internal field consistency, not from external truth.</w:t>
            </w:r>
          </w:p>
        </w:tc>
      </w:tr>
    </w:tbl>
    <w:p>
      <w:pPr>
        <w:spacing w:after="80"/>
      </w:pPr>
    </w:p>
    <w:p>
      <w:pPr>
        <w:spacing w:after="120" w:line="276"/>
      </w:pPr>
      <w:r>
        <w:rPr>
          <w:rFonts w:ascii="Montserrat" w:cs="Montserrat" w:eastAsia="Montserrat" w:hAnsi="Montserrat"/>
          <w:color w:val="242724"/>
          <w:sz w:val="20"/>
          <w:szCs w:val="20"/>
        </w:rPr>
        <w:t xml:space="preserve">Additionally, the intelligence is static scores without explanation, the Agentforce actions described in the intelligence brief do not exist as implementation, and value is one-time rather than compounding.</w:t>
      </w:r>
    </w:p>
    <w:p>
      <w:pPr>
        <w:pStyle w:val="Heading2"/>
        <w:spacing w:before="280" w:after="160"/>
      </w:pPr>
      <w:r>
        <w:rPr>
          <w:rFonts w:ascii="Montserrat" w:cs="Montserrat" w:eastAsia="Montserrat" w:hAnsi="Montserrat"/>
          <w:b/>
          <w:bCs/>
          <w:color w:val="00558C"/>
          <w:sz w:val="24"/>
          <w:szCs w:val="24"/>
        </w:rPr>
        <w:t xml:space="preserve">1.5 The North Star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00558C" w:sz="12"/>
              <w:bottom w:val="none" w:color="FFFFFF" w:sz="0"/>
              <w:right w:val="none" w:color="FFFFFF" w:sz="0"/>
            </w:tcBorders>
            <w:shd w:fill="E8F4FB" w:val="clear"/>
            <w:tcMar>
              <w:top w:type="dxa" w:w="120"/>
              <w:left w:type="dxa" w:w="200"/>
              <w:bottom w:type="dxa" w:w="120"/>
              <w:right w:type="dxa" w:w="200"/>
            </w:tcMar>
          </w:tcPr>
          <w:p>
            <w:pPr>
              <w:spacing w:after="60"/>
            </w:pPr>
            <w:r>
              <w:rPr>
                <w:rFonts w:ascii="Montserrat" w:cs="Montserrat" w:eastAsia="Montserrat" w:hAnsi="Montserrat"/>
                <w:b/>
                <w:bCs/>
                <w:color w:val="00558C"/>
                <w:sz w:val="18"/>
                <w:szCs w:val="18"/>
              </w:rPr>
              <w:t xml:space="preserve">NORTH STAR</w:t>
            </w:r>
          </w:p>
          <w:p>
            <w:pPr>
              <w:spacing w:after="0"/>
            </w:pPr>
            <w:r>
              <w:rPr>
                <w:rFonts w:ascii="Montserrat" w:cs="Montserrat" w:eastAsia="Montserrat" w:hAnsi="Montserrat"/>
                <w:color w:val="242724"/>
                <w:sz w:val="19"/>
                <w:szCs w:val="19"/>
              </w:rPr>
              <w:t xml:space="preserve">Continuously discover things about your customers that your own systems cannot see, and surface that intelligence where decisions happen — in the workflow, at the moment of action, with the reasoning to act confidently.</w:t>
            </w:r>
          </w:p>
        </w:tc>
      </w:tr>
    </w:tbl>
    <w:p>
      <w:pPr>
        <w:spacing w:after="80"/>
      </w:pPr>
    </w:p>
    <w:p>
      <w:pPr>
        <w:spacing w:after="120" w:line="276"/>
      </w:pPr>
      <w:r>
        <w:rPr>
          <w:rFonts w:ascii="Montserrat" w:cs="Montserrat" w:eastAsia="Montserrat" w:hAnsi="Montserrat"/>
          <w:color w:val="242724"/>
          <w:sz w:val="20"/>
          <w:szCs w:val="20"/>
        </w:rPr>
        <w:t xml:space="preserve">This transforms Pulse360 from a data quality tool into an account intelligence platform. The shift requires three moves:</w:t>
      </w:r>
    </w:p>
    <w:p>
      <w:pPr>
        <w:pStyle w:val="ListParagraph"/>
        <w:numPr>
          <w:ilvl w:val="0"/>
          <w:numId w:val="2"/>
        </w:numPr>
        <w:spacing w:after="60" w:line="276"/>
      </w:pPr>
      <w:r>
        <w:rPr>
          <w:rFonts w:ascii="Montserrat" w:cs="Montserrat" w:eastAsia="Montserrat" w:hAnsi="Montserrat"/>
          <w:b/>
          <w:bCs/>
          <w:color w:val="00558C"/>
          <w:sz w:val="20"/>
          <w:szCs w:val="20"/>
        </w:rPr>
        <w:t xml:space="preserve">From internal data cleaning to external knowledge creation</w:t>
      </w:r>
      <w:r>
        <w:rPr>
          <w:rFonts w:ascii="Montserrat" w:cs="Montserrat" w:eastAsia="Montserrat" w:hAnsi="Montserrat"/>
          <w:color w:val="242724"/>
          <w:sz w:val="20"/>
          <w:szCs w:val="20"/>
        </w:rPr>
        <w:t xml:space="preserve"> — Third-party registries, firmographic providers, and public signals break the closed loop. The system discovers subsidiaries the CRM does not know about, confirms legal entities from government filings, and detects competitive signals from job postings and procurement data.</w:t>
      </w:r>
    </w:p>
    <w:p>
      <w:pPr>
        <w:pStyle w:val="ListParagraph"/>
        <w:numPr>
          <w:ilvl w:val="0"/>
          <w:numId w:val="2"/>
        </w:numPr>
        <w:spacing w:after="60" w:line="276"/>
      </w:pPr>
      <w:r>
        <w:rPr>
          <w:rFonts w:ascii="Montserrat" w:cs="Montserrat" w:eastAsia="Montserrat" w:hAnsi="Montserrat"/>
          <w:b/>
          <w:bCs/>
          <w:color w:val="00558C"/>
          <w:sz w:val="20"/>
          <w:szCs w:val="20"/>
        </w:rPr>
        <w:t xml:space="preserve">From static scores to Gen AI reasoning</w:t>
      </w:r>
      <w:r>
        <w:rPr>
          <w:rFonts w:ascii="Montserrat" w:cs="Montserrat" w:eastAsia="Montserrat" w:hAnsi="Montserrat"/>
          <w:color w:val="242724"/>
          <w:sz w:val="20"/>
          <w:szCs w:val="20"/>
        </w:rPr>
        <w:t xml:space="preserve"> — An LLM-powered layer in Databricks turns opaque health scores into paragraph-length explanations, generates ranked next-best-actions with revenue impact estimates, and extracts structured intelligence from unstructured filings and news.</w:t>
      </w:r>
    </w:p>
    <w:p>
      <w:pPr>
        <w:pStyle w:val="ListParagraph"/>
        <w:numPr>
          <w:ilvl w:val="0"/>
          <w:numId w:val="2"/>
        </w:numPr>
        <w:spacing w:after="60" w:line="276"/>
      </w:pPr>
      <w:r>
        <w:rPr>
          <w:rFonts w:ascii="Montserrat" w:cs="Montserrat" w:eastAsia="Montserrat" w:hAnsi="Montserrat"/>
          <w:b/>
          <w:bCs/>
          <w:color w:val="00558C"/>
          <w:sz w:val="20"/>
          <w:szCs w:val="20"/>
        </w:rPr>
        <w:t xml:space="preserve">From one-time demo to continuous compounding value</w:t>
      </w:r>
      <w:r>
        <w:rPr>
          <w:rFonts w:ascii="Montserrat" w:cs="Montserrat" w:eastAsia="Montserrat" w:hAnsi="Montserrat"/>
          <w:color w:val="242724"/>
          <w:sz w:val="20"/>
          <w:szCs w:val="20"/>
        </w:rPr>
        <w:t xml:space="preserve"> — Weekly automated re-enrichment, material signal detection, and a feedback loop from steward and seller actions back into the intelligence model.</w:t>
      </w:r>
    </w:p>
    <w:p>
      <w:pPr>
        <w:spacing w:after="80"/>
      </w:pPr>
    </w:p>
    <w:p>
      <w:pPr>
        <w:pStyle w:val="Heading2"/>
        <w:spacing w:before="280" w:after="160"/>
      </w:pPr>
      <w:r>
        <w:rPr>
          <w:rFonts w:ascii="Montserrat" w:cs="Montserrat" w:eastAsia="Montserrat" w:hAnsi="Montserrat"/>
          <w:b/>
          <w:bCs/>
          <w:color w:val="00558C"/>
          <w:sz w:val="24"/>
          <w:szCs w:val="24"/>
        </w:rPr>
        <w:t xml:space="preserve">1.6 Solution Vision</w:t>
      </w:r>
    </w:p>
    <w:p>
      <w:pPr>
        <w:spacing w:after="200"/>
        <w:jc w:val="center"/>
      </w:pPr>
      <w:r>
        <w:drawing>
          <wp:inline distT="0" distB="0" distL="0" distR="0">
            <wp:extent cx="7048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48500" cy="4819650"/>
                    </a:xfrm>
                    <a:prstGeom prst="rect">
                      <a:avLst/>
                    </a:prstGeom>
                  </pic:spPr>
                </pic:pic>
              </a:graphicData>
            </a:graphic>
          </wp:inline>
        </w:drawing>
      </w:r>
    </w:p>
    <w:p>
      <w:pPr>
        <w:spacing w:after="100" w:line="276"/>
      </w:pPr>
      <w:r>
        <w:rPr>
          <w:rFonts w:ascii="Montserrat" w:cs="Montserrat" w:eastAsia="Montserrat" w:hAnsi="Montserrat"/>
          <w:i/>
          <w:iCs/>
          <w:color w:val="5A6370"/>
          <w:sz w:val="20"/>
          <w:szCs w:val="20"/>
        </w:rPr>
        <w:t xml:space="preserve">Figure 1: Pulse360 North Star architecture — five layers from external data sources through Gen AI intelligence to user outcomes, with governance spine.</w:t>
      </w:r>
    </w:p>
    <w:p>
      <w:r>
        <w:br w:type="page"/>
      </w:r>
    </w:p>
    <w:p>
      <w:pPr>
        <w:pStyle w:val="Heading1"/>
        <w:spacing w:before="360" w:after="200"/>
      </w:pPr>
      <w:r>
        <w:rPr>
          <w:rFonts w:ascii="Montserrat" w:cs="Montserrat" w:eastAsia="Montserrat" w:hAnsi="Montserrat"/>
          <w:b/>
          <w:bCs/>
          <w:color w:val="00558C"/>
          <w:sz w:val="28"/>
          <w:szCs w:val="28"/>
        </w:rPr>
        <w:t xml:space="preserve">2. What to Keep — Proven Foundation</w:t>
      </w:r>
    </w:p>
    <w:p>
      <w:pPr>
        <w:spacing w:after="120" w:line="276"/>
      </w:pPr>
      <w:r>
        <w:rPr>
          <w:rFonts w:ascii="Montserrat" w:cs="Montserrat" w:eastAsia="Montserrat" w:hAnsi="Montserrat"/>
          <w:color w:val="242724"/>
          <w:sz w:val="20"/>
          <w:szCs w:val="20"/>
        </w:rPr>
        <w:t xml:space="preserve">These assets are validated, working, and form the stable base the north star builds on. Do not rebuild, replace, or refactor these unless a specific change item in Section 4 requires modification.</w:t>
      </w:r>
    </w:p>
    <w:p>
      <w:pPr>
        <w:pStyle w:val="Heading2"/>
        <w:spacing w:before="280" w:after="160"/>
      </w:pPr>
      <w:r>
        <w:rPr>
          <w:rFonts w:ascii="Montserrat" w:cs="Montserrat" w:eastAsia="Montserrat" w:hAnsi="Montserrat"/>
          <w:b/>
          <w:bCs/>
          <w:color w:val="00558C"/>
          <w:sz w:val="24"/>
          <w:szCs w:val="24"/>
        </w:rPr>
        <w:t xml:space="preserve">2.1 Databricks Silver Layer</w:t>
      </w:r>
    </w:p>
    <w:p>
      <w:pPr>
        <w:spacing w:after="120" w:line="276"/>
      </w:pPr>
      <w:r>
        <w:rPr>
          <w:rFonts w:ascii="Montserrat" w:cs="Montserrat" w:eastAsia="Montserrat" w:hAnsi="Montserrat"/>
          <w:color w:val="242724"/>
          <w:sz w:val="20"/>
          <w:szCs w:val="20"/>
        </w:rPr>
        <w:t xml:space="preserve">Eight source-backed silver normalisation views (account, contact, opportunity, opportunity contact role, product, opportunity line item, account-contact bridge, account hierarchy edge). These correctly preserve crm_account_id as the deterministic key and provide the broad CRM source domain ingestion the north star requires.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6AAA37" w:sz="12"/>
              <w:bottom w:val="none" w:color="FFFFFF" w:sz="0"/>
              <w:right w:val="none" w:color="FFFFFF" w:sz="0"/>
            </w:tcBorders>
            <w:shd w:fill="EDF7E5" w:val="clear"/>
            <w:tcMar>
              <w:top w:type="dxa" w:w="120"/>
              <w:left w:type="dxa" w:w="200"/>
              <w:bottom w:type="dxa" w:w="120"/>
              <w:right w:type="dxa" w:w="200"/>
            </w:tcMar>
          </w:tcPr>
          <w:p>
            <w:pPr>
              <w:spacing w:after="60"/>
            </w:pPr>
            <w:r>
              <w:rPr>
                <w:rFonts w:ascii="Montserrat" w:cs="Montserrat" w:eastAsia="Montserrat" w:hAnsi="Montserrat"/>
                <w:b/>
                <w:bCs/>
                <w:color w:val="6AAA37"/>
                <w:sz w:val="18"/>
                <w:szCs w:val="18"/>
              </w:rPr>
              <w:t xml:space="preserve">KEEP AS-IS</w:t>
            </w:r>
          </w:p>
          <w:p>
            <w:pPr>
              <w:spacing w:after="0"/>
            </w:pPr>
            <w:r>
              <w:rPr>
                <w:rFonts w:ascii="Montserrat" w:cs="Montserrat" w:eastAsia="Montserrat" w:hAnsi="Montserrat"/>
                <w:color w:val="242724"/>
                <w:sz w:val="19"/>
                <w:szCs w:val="19"/>
              </w:rPr>
              <w:t xml:space="preserve">The broad CRM source domain ingestion (not just Account) was a deliberate design decision that now pays off — the north star needs all of these domains for Gen AI reasoning context.</w:t>
            </w:r>
          </w:p>
        </w:tc>
      </w:tr>
    </w:tbl>
    <w:p>
      <w:pPr>
        <w:pStyle w:val="Heading2"/>
        <w:spacing w:before="280" w:after="160"/>
      </w:pPr>
      <w:r>
        <w:rPr>
          <w:rFonts w:ascii="Montserrat" w:cs="Montserrat" w:eastAsia="Montserrat" w:hAnsi="Montserrat"/>
          <w:b/>
          <w:bCs/>
          <w:color w:val="00558C"/>
          <w:sz w:val="24"/>
          <w:szCs w:val="24"/>
        </w:rPr>
        <w:t xml:space="preserve">2.2 Databricks Gold Export</w:t>
      </w:r>
    </w:p>
    <w:p>
      <w:pPr>
        <w:spacing w:after="120" w:line="276"/>
      </w:pPr>
      <w:r>
        <w:rPr>
          <w:rFonts w:ascii="Montserrat" w:cs="Montserrat" w:eastAsia="Montserrat" w:hAnsi="Montserrat"/>
          <w:color w:val="242724"/>
          <w:sz w:val="20"/>
          <w:szCs w:val="20"/>
        </w:rPr>
        <w:t xml:space="preserve">Three source-backed gold artifacts: account export base, account core export, and Data Cloud export accounts. The gold export contract structure is correct. The materialised export table approach is proven. Extensions (Section 3) add new columns without replacing the existing structure.</w:t>
      </w:r>
    </w:p>
    <w:p>
      <w:pPr>
        <w:pStyle w:val="Heading2"/>
        <w:spacing w:before="280" w:after="160"/>
      </w:pPr>
      <w:r>
        <w:rPr>
          <w:rFonts w:ascii="Montserrat" w:cs="Montserrat" w:eastAsia="Montserrat" w:hAnsi="Montserrat"/>
          <w:b/>
          <w:bCs/>
          <w:color w:val="00558C"/>
          <w:sz w:val="24"/>
          <w:szCs w:val="24"/>
        </w:rPr>
        <w:t xml:space="preserve">2.3 Integration Contracts</w:t>
      </w:r>
    </w:p>
    <w:p>
      <w:pPr>
        <w:spacing w:after="120" w:line="276"/>
      </w:pPr>
      <w:r>
        <w:rPr>
          <w:rFonts w:ascii="Montserrat" w:cs="Montserrat" w:eastAsia="Montserrat" w:hAnsi="Montserrat"/>
          <w:color w:val="242724"/>
          <w:sz w:val="20"/>
          <w:szCs w:val="20"/>
        </w:rPr>
        <w:t xml:space="preserve">Four source-backed contracts define the interfaces between platforms: CRM-to-Databricks ingestion, Databricks-to-Data Cloud export, Data Cloud-to-Salesforce/Agentforce, and the governance case implementation spec. The contract-first design principle is one of the prototype’s genuine strengths. Contracts will be extended, not replaced.</w:t>
      </w:r>
    </w:p>
    <w:p>
      <w:pPr>
        <w:pStyle w:val="Heading2"/>
        <w:spacing w:before="280" w:after="160"/>
      </w:pPr>
      <w:r>
        <w:rPr>
          <w:rFonts w:ascii="Montserrat" w:cs="Montserrat" w:eastAsia="Montserrat" w:hAnsi="Montserrat"/>
          <w:b/>
          <w:bCs/>
          <w:color w:val="00558C"/>
          <w:sz w:val="24"/>
          <w:szCs w:val="24"/>
        </w:rPr>
        <w:t xml:space="preserve">2.4 Data Cloud Configuration</w:t>
      </w:r>
    </w:p>
    <w:p>
      <w:pPr>
        <w:spacing w:after="120" w:line="276"/>
      </w:pPr>
      <w:r>
        <w:rPr>
          <w:rFonts w:ascii="Montserrat" w:cs="Montserrat" w:eastAsia="Montserrat" w:hAnsi="Montserrat"/>
          <w:color w:val="242724"/>
          <w:sz w:val="20"/>
          <w:szCs w:val="20"/>
        </w:rPr>
        <w:t xml:space="preserve">Stream ingest from Databricks export, DLO/DMO mapping, and Copy Field Enrichment to Salesforce Account — all runtime-validated. Copy Field Enrichment is the proven CRM realisation mechanism. The north star adds more fields through the same channel.</w:t>
      </w:r>
    </w:p>
    <w:p>
      <w:pPr>
        <w:pStyle w:val="Heading2"/>
        <w:spacing w:before="280" w:after="160"/>
      </w:pPr>
      <w:r>
        <w:rPr>
          <w:rFonts w:ascii="Montserrat" w:cs="Montserrat" w:eastAsia="Montserrat" w:hAnsi="Montserrat"/>
          <w:b/>
          <w:bCs/>
          <w:color w:val="00558C"/>
          <w:sz w:val="24"/>
          <w:szCs w:val="24"/>
        </w:rPr>
        <w:t xml:space="preserve">2.5 Salesforce Governance Case</w:t>
      </w:r>
    </w:p>
    <w:p>
      <w:pPr>
        <w:spacing w:after="120" w:line="276"/>
      </w:pPr>
      <w:r>
        <w:rPr>
          <w:rFonts w:ascii="Montserrat" w:cs="Montserrat" w:eastAsia="Montserrat" w:hAnsi="Montserrat"/>
          <w:color w:val="242724"/>
          <w:sz w:val="20"/>
          <w:szCs w:val="20"/>
        </w:rPr>
        <w:t xml:space="preserve">The complete DS-02 stewardship implementation: Governance_Case__c object metadata, validation rules, governance review LWC, record page, steward permission set, tab, and fixture seeding scripts. All source-backed in repo. This is the prototype’s strongest implementation asset. The north star enhances the evidence displayed but does not change the governance model.</w:t>
      </w:r>
    </w:p>
    <w:p>
      <w:pPr>
        <w:pStyle w:val="Heading2"/>
        <w:spacing w:before="280" w:after="160"/>
      </w:pPr>
      <w:r>
        <w:rPr>
          <w:rFonts w:ascii="Montserrat" w:cs="Montserrat" w:eastAsia="Montserrat" w:hAnsi="Montserrat"/>
          <w:b/>
          <w:bCs/>
          <w:color w:val="00558C"/>
          <w:sz w:val="24"/>
          <w:szCs w:val="24"/>
        </w:rPr>
        <w:t xml:space="preserve">2.6 Salesforce Account Intelligence Fields</w:t>
      </w:r>
    </w:p>
    <w:p>
      <w:pPr>
        <w:spacing w:after="120" w:line="276"/>
      </w:pPr>
      <w:r>
        <w:rPr>
          <w:rFonts w:ascii="Montserrat" w:cs="Montserrat" w:eastAsia="Montserrat" w:hAnsi="Montserrat"/>
          <w:color w:val="242724"/>
          <w:sz w:val="20"/>
          <w:szCs w:val="20"/>
        </w:rPr>
        <w:t xml:space="preserve">Thirteen custom fields on Account providing the current intelligence surface: Unified_Profile_Id__c, Identity_Confidence__c, Group_Revenue_Rollup__c, Health_Score__c, Cross_Sell_Propensity__c, Coverage_Gap_Flag__c, Competitor_Risk_Signal__c, Primary_Brand_Name__c, Active_Product_Count__c, Engagement_Intensity_Score__c, Open_Opportunity_Count__c, Last_Engagement_Timestamp__c, and DataCloud_Last_Synced__c. These remain. New fields are added alongside them.</w:t>
      </w:r>
    </w:p>
    <w:p>
      <w:pPr>
        <w:pStyle w:val="Heading2"/>
        <w:spacing w:before="280" w:after="160"/>
      </w:pPr>
      <w:r>
        <w:rPr>
          <w:rFonts w:ascii="Montserrat" w:cs="Montserrat" w:eastAsia="Montserrat" w:hAnsi="Montserrat"/>
          <w:b/>
          <w:bCs/>
          <w:color w:val="00558C"/>
          <w:sz w:val="24"/>
          <w:szCs w:val="24"/>
        </w:rPr>
        <w:t xml:space="preserve">2.7 Validation Scripts</w:t>
      </w:r>
    </w:p>
    <w:p>
      <w:pPr>
        <w:spacing w:after="120" w:line="276"/>
      </w:pPr>
      <w:r>
        <w:rPr>
          <w:rFonts w:ascii="Montserrat" w:cs="Montserrat" w:eastAsia="Montserrat" w:hAnsi="Montserrat"/>
          <w:color w:val="242724"/>
          <w:sz w:val="20"/>
          <w:szCs w:val="20"/>
        </w:rPr>
        <w:t xml:space="preserve">Seven validation script categories covering contract validation, Databricks SQL-pack validation, Salesforce account field validation, hierarchy and identity validation, governance case metadata validation, Data Cloud insight configuration validation, and governance case fixture seeding. These are design enforcement, not just release checks. They are extended as new capabilities are added.</w:t>
      </w:r>
    </w:p>
    <w:p>
      <w:r>
        <w:br w:type="page"/>
      </w:r>
    </w:p>
    <w:p>
      <w:pPr>
        <w:pStyle w:val="Heading1"/>
        <w:spacing w:before="360" w:after="200"/>
      </w:pPr>
      <w:r>
        <w:rPr>
          <w:rFonts w:ascii="Montserrat" w:cs="Montserrat" w:eastAsia="Montserrat" w:hAnsi="Montserrat"/>
          <w:b/>
          <w:bCs/>
          <w:color w:val="00558C"/>
          <w:sz w:val="28"/>
          <w:szCs w:val="28"/>
        </w:rPr>
        <w:t xml:space="preserve">3. What to Add — New Capabilities</w:t>
      </w:r>
    </w:p>
    <w:p>
      <w:pPr>
        <w:spacing w:after="120" w:line="276"/>
      </w:pPr>
      <w:r>
        <w:rPr>
          <w:rFonts w:ascii="Montserrat" w:cs="Montserrat" w:eastAsia="Montserrat" w:hAnsi="Montserrat"/>
          <w:color w:val="242724"/>
          <w:sz w:val="20"/>
          <w:szCs w:val="20"/>
        </w:rPr>
        <w:t xml:space="preserve">Net-new assets that do not exist in the current prototype. Each addresses a specific gap identified in the critical review, organised by the four differentiating features from the north star vision.</w:t>
      </w:r>
    </w:p>
    <w:p>
      <w:pPr>
        <w:pStyle w:val="Heading2"/>
        <w:spacing w:before="280" w:after="160"/>
      </w:pPr>
      <w:r>
        <w:rPr>
          <w:rFonts w:ascii="Montserrat" w:cs="Montserrat" w:eastAsia="Montserrat" w:hAnsi="Montserrat"/>
          <w:b/>
          <w:bCs/>
          <w:color w:val="00558C"/>
          <w:sz w:val="24"/>
          <w:szCs w:val="24"/>
        </w:rPr>
        <w:t xml:space="preserve">3.1 Feature 1: External Enrichment Pipeline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6AAA37" w:sz="12"/>
              <w:bottom w:val="none" w:color="FFFFFF" w:sz="0"/>
              <w:right w:val="none" w:color="FFFFFF" w:sz="0"/>
            </w:tcBorders>
            <w:shd w:fill="EDF7E5" w:val="clear"/>
            <w:tcMar>
              <w:top w:type="dxa" w:w="120"/>
              <w:left w:type="dxa" w:w="200"/>
              <w:bottom w:type="dxa" w:w="120"/>
              <w:right w:type="dxa" w:w="200"/>
            </w:tcMar>
          </w:tcPr>
          <w:p>
            <w:pPr>
              <w:spacing w:after="60"/>
            </w:pPr>
            <w:r>
              <w:rPr>
                <w:rFonts w:ascii="Montserrat" w:cs="Montserrat" w:eastAsia="Montserrat" w:hAnsi="Montserrat"/>
                <w:b/>
                <w:bCs/>
                <w:color w:val="6AAA37"/>
                <w:sz w:val="18"/>
                <w:szCs w:val="18"/>
              </w:rPr>
              <w:t xml:space="preserve">BREAKS THE CLOSED LOOP</w:t>
            </w:r>
          </w:p>
          <w:p>
            <w:pPr>
              <w:spacing w:after="0"/>
            </w:pPr>
            <w:r>
              <w:rPr>
                <w:rFonts w:ascii="Montserrat" w:cs="Montserrat" w:eastAsia="Montserrat" w:hAnsi="Montserrat"/>
                <w:color w:val="242724"/>
                <w:sz w:val="19"/>
                <w:szCs w:val="19"/>
              </w:rPr>
              <w:t xml:space="preserve">Third-party data is the single most important addition. Without it, the prototype is polishing incomplete CRM data. With it, Pulse360 discovers things about accounts that the CRM cannot see.</w:t>
            </w:r>
          </w:p>
        </w:tc>
      </w:tr>
    </w:tbl>
    <w:p>
      <w:pPr>
        <w:spacing w:after="60"/>
      </w:pPr>
    </w:p>
    <w:p>
      <w:pPr>
        <w:spacing w:before="200" w:after="120"/>
      </w:pPr>
      <w:r>
        <w:rPr>
          <w:rFonts w:ascii="Montserrat" w:cs="Montserrat" w:eastAsia="Montserrat" w:hAnsi="Montserrat"/>
          <w:b/>
          <w:bCs/>
          <w:color w:val="003D66"/>
          <w:sz w:val="20"/>
          <w:szCs w:val="20"/>
        </w:rPr>
        <w:t xml:space="preserve">3.1.1 Philippine SEC Corporate Registry Connector</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bronze layer</w:t>
      </w:r>
    </w:p>
    <w:p>
      <w:pPr>
        <w:spacing w:after="100" w:line="276"/>
      </w:pPr>
      <w:r>
        <w:rPr>
          <w:rFonts w:ascii="Montserrat" w:cs="Montserrat" w:eastAsia="Montserrat" w:hAnsi="Montserrat"/>
          <w:b/>
          <w:bCs/>
          <w:color w:val="00558C"/>
          <w:sz w:val="20"/>
          <w:szCs w:val="20"/>
        </w:rPr>
        <w:t xml:space="preserve">Data source:</w:t>
      </w:r>
      <w:r>
        <w:rPr>
          <w:rFonts w:ascii="Montserrat" w:cs="Montserrat" w:eastAsia="Montserrat" w:hAnsi="Montserrat"/>
          <w:color w:val="242724"/>
          <w:sz w:val="20"/>
          <w:szCs w:val="20"/>
        </w:rPr>
        <w:t xml:space="preserve"> Philippine SEC iReports portal (publicly accessible)</w:t>
      </w:r>
    </w:p>
    <w:p>
      <w:pPr>
        <w:spacing w:after="100" w:line="276"/>
      </w:pPr>
      <w:r>
        <w:rPr>
          <w:rFonts w:ascii="Montserrat" w:cs="Montserrat" w:eastAsia="Montserrat" w:hAnsi="Montserrat"/>
          <w:b/>
          <w:bCs/>
          <w:color w:val="00558C"/>
          <w:sz w:val="20"/>
          <w:szCs w:val="20"/>
        </w:rPr>
        <w:t xml:space="preserve">Output:</w:t>
      </w:r>
      <w:r>
        <w:rPr>
          <w:rFonts w:ascii="Montserrat" w:cs="Montserrat" w:eastAsia="Montserrat" w:hAnsi="Montserrat"/>
          <w:color w:val="242724"/>
          <w:sz w:val="20"/>
          <w:szCs w:val="20"/>
        </w:rPr>
        <w:t xml:space="preserve"> bronze_external.sec_ph_entities table</w:t>
      </w:r>
    </w:p>
    <w:p>
      <w:pPr>
        <w:spacing w:after="120" w:line="276"/>
      </w:pPr>
      <w:r>
        <w:rPr>
          <w:rFonts w:ascii="Montserrat" w:cs="Montserrat" w:eastAsia="Montserrat" w:hAnsi="Montserrat"/>
          <w:color w:val="242724"/>
          <w:sz w:val="20"/>
          <w:szCs w:val="20"/>
        </w:rPr>
        <w:t xml:space="preserve">Pulls legal entity data: SEC registration number, legal name, trade names, incorporation date, directors, company type, status, registered address. Each record carries extraction_date and source_url for provenance. Python scraping script, scheduled weekly.</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2–3 days</w:t>
      </w:r>
    </w:p>
    <w:p>
      <w:pPr>
        <w:spacing w:before="200" w:after="120"/>
      </w:pPr>
      <w:r>
        <w:rPr>
          <w:rFonts w:ascii="Montserrat" w:cs="Montserrat" w:eastAsia="Montserrat" w:hAnsi="Montserrat"/>
          <w:b/>
          <w:bCs/>
          <w:color w:val="003D66"/>
          <w:sz w:val="20"/>
          <w:szCs w:val="20"/>
        </w:rPr>
        <w:t xml:space="preserve">3.1.2 PSE EDGE Listed Company Connector</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bronze layer</w:t>
      </w:r>
    </w:p>
    <w:p>
      <w:pPr>
        <w:spacing w:after="100" w:line="276"/>
      </w:pPr>
      <w:r>
        <w:rPr>
          <w:rFonts w:ascii="Montserrat" w:cs="Montserrat" w:eastAsia="Montserrat" w:hAnsi="Montserrat"/>
          <w:b/>
          <w:bCs/>
          <w:color w:val="00558C"/>
          <w:sz w:val="20"/>
          <w:szCs w:val="20"/>
        </w:rPr>
        <w:t xml:space="preserve">Data source:</w:t>
      </w:r>
      <w:r>
        <w:rPr>
          <w:rFonts w:ascii="Montserrat" w:cs="Montserrat" w:eastAsia="Montserrat" w:hAnsi="Montserrat"/>
          <w:color w:val="242724"/>
          <w:sz w:val="20"/>
          <w:szCs w:val="20"/>
        </w:rPr>
        <w:t xml:space="preserve"> Philippine Stock Exchange EDGE portal (structured disclosures)</w:t>
      </w:r>
    </w:p>
    <w:p>
      <w:pPr>
        <w:spacing w:after="100" w:line="276"/>
      </w:pPr>
      <w:r>
        <w:rPr>
          <w:rFonts w:ascii="Montserrat" w:cs="Montserrat" w:eastAsia="Montserrat" w:hAnsi="Montserrat"/>
          <w:b/>
          <w:bCs/>
          <w:color w:val="00558C"/>
          <w:sz w:val="20"/>
          <w:szCs w:val="20"/>
        </w:rPr>
        <w:t xml:space="preserve">Output:</w:t>
      </w:r>
      <w:r>
        <w:rPr>
          <w:rFonts w:ascii="Montserrat" w:cs="Montserrat" w:eastAsia="Montserrat" w:hAnsi="Montserrat"/>
          <w:color w:val="242724"/>
          <w:sz w:val="20"/>
          <w:szCs w:val="20"/>
        </w:rPr>
        <w:t xml:space="preserve"> bronze_external.pse_disclosures table</w:t>
      </w:r>
    </w:p>
    <w:p>
      <w:pPr>
        <w:spacing w:after="120" w:line="276"/>
      </w:pPr>
      <w:r>
        <w:rPr>
          <w:rFonts w:ascii="Montserrat" w:cs="Montserrat" w:eastAsia="Montserrat" w:hAnsi="Montserrat"/>
          <w:color w:val="242724"/>
          <w:sz w:val="20"/>
          <w:szCs w:val="20"/>
        </w:rPr>
        <w:t xml:space="preserve">Pulls financial disclosures: ticker, company name, disclosure type, revenue reported, headcount, named subsidiaries, raw text excerpts from filings. Uses Claude API to extract structured data from PDF filing text. Weekly batch.</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3–4 days</w:t>
      </w:r>
    </w:p>
    <w:p>
      <w:pPr>
        <w:spacing w:before="200" w:after="120"/>
      </w:pPr>
      <w:r>
        <w:rPr>
          <w:rFonts w:ascii="Montserrat" w:cs="Montserrat" w:eastAsia="Montserrat" w:hAnsi="Montserrat"/>
          <w:b/>
          <w:bCs/>
          <w:color w:val="003D66"/>
          <w:sz w:val="20"/>
          <w:szCs w:val="20"/>
        </w:rPr>
        <w:t xml:space="preserve">3.1.3 Commercial Firmographic Provider</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bronze layer</w:t>
      </w:r>
    </w:p>
    <w:p>
      <w:pPr>
        <w:spacing w:after="100" w:line="276"/>
      </w:pPr>
      <w:r>
        <w:rPr>
          <w:rFonts w:ascii="Montserrat" w:cs="Montserrat" w:eastAsia="Montserrat" w:hAnsi="Montserrat"/>
          <w:b/>
          <w:bCs/>
          <w:color w:val="00558C"/>
          <w:sz w:val="20"/>
          <w:szCs w:val="20"/>
        </w:rPr>
        <w:t xml:space="preserve">Data source:</w:t>
      </w:r>
      <w:r>
        <w:rPr>
          <w:rFonts w:ascii="Montserrat" w:cs="Montserrat" w:eastAsia="Montserrat" w:hAnsi="Montserrat"/>
          <w:color w:val="242724"/>
          <w:sz w:val="20"/>
          <w:szCs w:val="20"/>
        </w:rPr>
        <w:t xml:space="preserve"> OpenCorporates API (free tier for prototype; D&amp;B or Bureau van Dijk for production)</w:t>
      </w:r>
    </w:p>
    <w:p>
      <w:pPr>
        <w:spacing w:after="100" w:line="276"/>
      </w:pPr>
      <w:r>
        <w:rPr>
          <w:rFonts w:ascii="Montserrat" w:cs="Montserrat" w:eastAsia="Montserrat" w:hAnsi="Montserrat"/>
          <w:b/>
          <w:bCs/>
          <w:color w:val="00558C"/>
          <w:sz w:val="20"/>
          <w:szCs w:val="20"/>
        </w:rPr>
        <w:t xml:space="preserve">Output:</w:t>
      </w:r>
      <w:r>
        <w:rPr>
          <w:rFonts w:ascii="Montserrat" w:cs="Montserrat" w:eastAsia="Montserrat" w:hAnsi="Montserrat"/>
          <w:color w:val="242724"/>
          <w:sz w:val="20"/>
          <w:szCs w:val="20"/>
        </w:rPr>
        <w:t xml:space="preserve"> bronze_external.firmographic_entities table</w:t>
      </w:r>
    </w:p>
    <w:p>
      <w:pPr>
        <w:spacing w:after="120" w:line="276"/>
      </w:pPr>
      <w:r>
        <w:rPr>
          <w:rFonts w:ascii="Montserrat" w:cs="Montserrat" w:eastAsia="Montserrat" w:hAnsi="Montserrat"/>
          <w:color w:val="242724"/>
          <w:sz w:val="20"/>
          <w:szCs w:val="20"/>
        </w:rPr>
        <w:t xml:space="preserve">Hierarchy discovery: finds subsidiaries the CRM does not know about. Pulls legal name, jurisdiction, company type, status, parent company, officers. Matches against CRM accounts using fuzzy name matching plus jurisdiction. Weekly batch.</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before="200" w:after="120"/>
      </w:pPr>
      <w:r>
        <w:rPr>
          <w:rFonts w:ascii="Montserrat" w:cs="Montserrat" w:eastAsia="Montserrat" w:hAnsi="Montserrat"/>
          <w:b/>
          <w:bCs/>
          <w:color w:val="003D66"/>
          <w:sz w:val="20"/>
          <w:szCs w:val="20"/>
        </w:rPr>
        <w:t xml:space="preserve">3.1.4 Public Signals — Job Postings</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bronze layer</w:t>
      </w:r>
    </w:p>
    <w:p>
      <w:pPr>
        <w:spacing w:after="100" w:line="276"/>
      </w:pPr>
      <w:r>
        <w:rPr>
          <w:rFonts w:ascii="Montserrat" w:cs="Montserrat" w:eastAsia="Montserrat" w:hAnsi="Montserrat"/>
          <w:b/>
          <w:bCs/>
          <w:color w:val="00558C"/>
          <w:sz w:val="20"/>
          <w:szCs w:val="20"/>
        </w:rPr>
        <w:t xml:space="preserve">Data source:</w:t>
      </w:r>
      <w:r>
        <w:rPr>
          <w:rFonts w:ascii="Montserrat" w:cs="Montserrat" w:eastAsia="Montserrat" w:hAnsi="Montserrat"/>
          <w:color w:val="242724"/>
          <w:sz w:val="20"/>
          <w:szCs w:val="20"/>
        </w:rPr>
        <w:t xml:space="preserve"> LinkedIn public job search, JobStreet Philippines</w:t>
      </w:r>
    </w:p>
    <w:p>
      <w:pPr>
        <w:spacing w:after="100" w:line="276"/>
      </w:pPr>
      <w:r>
        <w:rPr>
          <w:rFonts w:ascii="Montserrat" w:cs="Montserrat" w:eastAsia="Montserrat" w:hAnsi="Montserrat"/>
          <w:b/>
          <w:bCs/>
          <w:color w:val="00558C"/>
          <w:sz w:val="20"/>
          <w:szCs w:val="20"/>
        </w:rPr>
        <w:t xml:space="preserve">Output:</w:t>
      </w:r>
      <w:r>
        <w:rPr>
          <w:rFonts w:ascii="Montserrat" w:cs="Montserrat" w:eastAsia="Montserrat" w:hAnsi="Montserrat"/>
          <w:color w:val="242724"/>
          <w:sz w:val="20"/>
          <w:szCs w:val="20"/>
        </w:rPr>
        <w:t xml:space="preserve"> bronze_external.job_signals table</w:t>
      </w:r>
    </w:p>
    <w:p>
      <w:pPr>
        <w:spacing w:after="120" w:line="276"/>
      </w:pPr>
      <w:r>
        <w:rPr>
          <w:rFonts w:ascii="Montserrat" w:cs="Montserrat" w:eastAsia="Montserrat" w:hAnsi="Montserrat"/>
          <w:color w:val="242724"/>
          <w:sz w:val="20"/>
          <w:szCs w:val="20"/>
        </w:rPr>
        <w:t xml:space="preserve">Technology stack signals and hiring intent as competitive intelligence. Claude API extracts technology tags (Databricks, Snowflake, Salesforce, etc.) from job descriptions. Filtered to target account company names. Weekly batch.</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before="200" w:after="120"/>
      </w:pPr>
      <w:r>
        <w:rPr>
          <w:rFonts w:ascii="Montserrat" w:cs="Montserrat" w:eastAsia="Montserrat" w:hAnsi="Montserrat"/>
          <w:b/>
          <w:bCs/>
          <w:color w:val="003D66"/>
          <w:sz w:val="20"/>
          <w:szCs w:val="20"/>
        </w:rPr>
        <w:t xml:space="preserve">3.1.5 External Enrichment Silver Views</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silver layer</w:t>
      </w:r>
    </w:p>
    <w:p>
      <w:pPr>
        <w:spacing w:after="120" w:line="276"/>
      </w:pPr>
      <w:r>
        <w:rPr>
          <w:rFonts w:ascii="Montserrat" w:cs="Montserrat" w:eastAsia="Montserrat" w:hAnsi="Montserrat"/>
          <w:color w:val="242724"/>
          <w:sz w:val="20"/>
          <w:szCs w:val="20"/>
        </w:rPr>
        <w:t xml:space="preserve">Four new silver views that join external bronze data against CRM accounts: SEC PH match (fuzzy legal name + registration number), firmographic hierarchy match (fuzzy name + jurisdiction), PSE disclosure match (ticker/name), and aggregated signal summary (company name match).</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3 days</w:t>
      </w:r>
    </w:p>
    <w:p>
      <w:pPr>
        <w:spacing w:before="200" w:after="120"/>
      </w:pPr>
      <w:r>
        <w:rPr>
          <w:rFonts w:ascii="Montserrat" w:cs="Montserrat" w:eastAsia="Montserrat" w:hAnsi="Montserrat"/>
          <w:b/>
          <w:bCs/>
          <w:color w:val="003D66"/>
          <w:sz w:val="20"/>
          <w:szCs w:val="20"/>
        </w:rPr>
        <w:t xml:space="preserve">3.1.6 Gold Export Schema Extension</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gold layer</w:t>
      </w:r>
    </w:p>
    <w:p>
      <w:pPr>
        <w:spacing w:after="120" w:line="276"/>
      </w:pPr>
      <w:r>
        <w:rPr>
          <w:rFonts w:ascii="Montserrat" w:cs="Montserrat" w:eastAsia="Montserrat" w:hAnsi="Montserrat"/>
          <w:color w:val="242724"/>
          <w:sz w:val="20"/>
          <w:szCs w:val="20"/>
        </w:rPr>
        <w:t xml:space="preserve">New columns added to the existing datacloud_export_accounts table. Includes: external_legal_name, external_registration_number, external_subsidiaries_discovered, external_revenue_reported, external_tech_signals, is_externally_validated, validity_score_external, enrichment_run_id, enrichment_run_timestamp. Plus Gen AI output columns (populated by Feature 2). All existing columns remain unchanged.</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after="80"/>
      </w:pPr>
    </w:p>
    <w:p>
      <w:pPr>
        <w:pStyle w:val="Heading2"/>
        <w:spacing w:before="280" w:after="160"/>
      </w:pPr>
      <w:r>
        <w:rPr>
          <w:rFonts w:ascii="Montserrat" w:cs="Montserrat" w:eastAsia="Montserrat" w:hAnsi="Montserrat"/>
          <w:b/>
          <w:bCs/>
          <w:color w:val="00558C"/>
          <w:sz w:val="24"/>
          <w:szCs w:val="24"/>
        </w:rPr>
        <w:t xml:space="preserve">3.2 Feature 2: Gen AI Reasoning Engine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7A2682" w:sz="12"/>
              <w:bottom w:val="none" w:color="FFFFFF" w:sz="0"/>
              <w:right w:val="none" w:color="FFFFFF" w:sz="0"/>
            </w:tcBorders>
            <w:shd w:fill="F5EAF6" w:val="clear"/>
            <w:tcMar>
              <w:top w:type="dxa" w:w="120"/>
              <w:left w:type="dxa" w:w="200"/>
              <w:bottom w:type="dxa" w:w="120"/>
              <w:right w:type="dxa" w:w="200"/>
            </w:tcMar>
          </w:tcPr>
          <w:p>
            <w:pPr>
              <w:spacing w:after="60"/>
            </w:pPr>
            <w:r>
              <w:rPr>
                <w:rFonts w:ascii="Montserrat" w:cs="Montserrat" w:eastAsia="Montserrat" w:hAnsi="Montserrat"/>
                <w:b/>
                <w:bCs/>
                <w:color w:val="7A2682"/>
                <w:sz w:val="18"/>
                <w:szCs w:val="18"/>
              </w:rPr>
              <w:t xml:space="preserve">INTELLIGENCE, NOT JUST DATA</w:t>
            </w:r>
          </w:p>
          <w:p>
            <w:pPr>
              <w:spacing w:after="0"/>
            </w:pPr>
            <w:r>
              <w:rPr>
                <w:rFonts w:ascii="Montserrat" w:cs="Montserrat" w:eastAsia="Montserrat" w:hAnsi="Montserrat"/>
                <w:color w:val="242724"/>
                <w:sz w:val="19"/>
                <w:szCs w:val="19"/>
              </w:rPr>
              <w:t xml:space="preserve">Scores alone are insufficient. Intelligence must be accompanied by explanation, reasoning, and recommended action. The Gen AI engine transforms opaque numbers into human-readable account understanding.</w:t>
            </w:r>
          </w:p>
        </w:tc>
      </w:tr>
    </w:tbl>
    <w:p>
      <w:pPr>
        <w:spacing w:after="60"/>
      </w:pPr>
    </w:p>
    <w:p>
      <w:pPr>
        <w:spacing w:before="200" w:after="120"/>
      </w:pPr>
      <w:r>
        <w:rPr>
          <w:rFonts w:ascii="Montserrat" w:cs="Montserrat" w:eastAsia="Montserrat" w:hAnsi="Montserrat"/>
          <w:b/>
          <w:bCs/>
          <w:color w:val="003D66"/>
          <w:sz w:val="20"/>
          <w:szCs w:val="20"/>
        </w:rPr>
        <w:t xml:space="preserve">3.2.1 Structured Extraction Agent</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 Claude API</w:t>
      </w:r>
    </w:p>
    <w:p>
      <w:pPr>
        <w:spacing w:after="120" w:line="276"/>
      </w:pPr>
      <w:r>
        <w:rPr>
          <w:rFonts w:ascii="Montserrat" w:cs="Montserrat" w:eastAsia="Montserrat" w:hAnsi="Montserrat"/>
          <w:color w:val="242724"/>
          <w:sz w:val="20"/>
          <w:szCs w:val="20"/>
        </w:rPr>
        <w:t xml:space="preserve">Processes unstructured external sources (PSE filings, news, job postings) into structured enrichment payloads. For each account with external source data, assembles a context payload (CRM fields + external raw text), calls Claude API with a structured output schema, parses JSON response. Each extracted fact carries: fact_type, value, confidence, source_url, source_date.</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3 days</w:t>
      </w:r>
    </w:p>
    <w:p>
      <w:pPr>
        <w:spacing w:before="200" w:after="120"/>
      </w:pPr>
      <w:r>
        <w:rPr>
          <w:rFonts w:ascii="Montserrat" w:cs="Montserrat" w:eastAsia="Montserrat" w:hAnsi="Montserrat"/>
          <w:b/>
          <w:bCs/>
          <w:color w:val="003D66"/>
          <w:sz w:val="20"/>
          <w:szCs w:val="20"/>
        </w:rPr>
        <w:t xml:space="preserve">3.2.2 Account Narrative Generator</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 Claude API</w:t>
      </w:r>
    </w:p>
    <w:p>
      <w:pPr>
        <w:spacing w:after="120" w:line="276"/>
      </w:pPr>
      <w:r>
        <w:rPr>
          <w:rFonts w:ascii="Montserrat" w:cs="Montserrat" w:eastAsia="Montserrat" w:hAnsi="Montserrat"/>
          <w:color w:val="242724"/>
          <w:sz w:val="20"/>
          <w:szCs w:val="20"/>
        </w:rPr>
        <w:t xml:space="preserve">Generates a paragraph-length explanation (max 500 words) of each account’s intelligence state. Covers: why the health score is what it is, what the key risks and opportunities are, what has changed since last enrichment, what the recommended priorities are. Stored as ai_narrative in the gold export. Regenerated each enrichment cycle.</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before="200" w:after="120"/>
      </w:pPr>
      <w:r>
        <w:rPr>
          <w:rFonts w:ascii="Montserrat" w:cs="Montserrat" w:eastAsia="Montserrat" w:hAnsi="Montserrat"/>
          <w:b/>
          <w:bCs/>
          <w:color w:val="003D66"/>
          <w:sz w:val="20"/>
          <w:szCs w:val="20"/>
        </w:rPr>
        <w:t xml:space="preserve">3.2.3 Next Best Actions Generator</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 Claude API</w:t>
      </w:r>
    </w:p>
    <w:p>
      <w:pPr>
        <w:spacing w:after="120" w:line="276"/>
      </w:pPr>
      <w:r>
        <w:rPr>
          <w:rFonts w:ascii="Montserrat" w:cs="Montserrat" w:eastAsia="Montserrat" w:hAnsi="Montserrat"/>
          <w:color w:val="242724"/>
          <w:sz w:val="20"/>
          <w:szCs w:val="20"/>
        </w:rPr>
        <w:t xml:space="preserve">Generates 2–3 ranked recommended actions per account. Each action includes: action_type (create_opportunity, escalate_governance, investigate_subsidiary), target entity, reasoning, estimated_revenue_impact, confidence, source_attribution. Stored as JSON in ai_recommended_actions column. Feeds directly into Agentforce action surfaces.</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before="200" w:after="120"/>
      </w:pPr>
      <w:r>
        <w:rPr>
          <w:rFonts w:ascii="Montserrat" w:cs="Montserrat" w:eastAsia="Montserrat" w:hAnsi="Montserrat"/>
          <w:b/>
          <w:bCs/>
          <w:color w:val="003D66"/>
          <w:sz w:val="20"/>
          <w:szCs w:val="20"/>
        </w:rPr>
        <w:t xml:space="preserve">3.2.4 Gen AI Orchestration Job</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Workflow</w:t>
      </w:r>
    </w:p>
    <w:p>
      <w:pPr>
        <w:spacing w:after="120" w:line="276"/>
      </w:pPr>
      <w:r>
        <w:rPr>
          <w:rFonts w:ascii="Montserrat" w:cs="Montserrat" w:eastAsia="Montserrat" w:hAnsi="Montserrat"/>
          <w:color w:val="242724"/>
          <w:sz w:val="20"/>
          <w:szCs w:val="20"/>
        </w:rPr>
        <w:t xml:space="preserve">Coordinates the full Gen AI pipeline: wait for external bronze ingestion, run structured extraction, run narrative generator, run next best actions, write results to gold export, materialise export table, log run metadata (run_id, timestamp, accounts processed, API calls, cost). Scheduled weekly.</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after="80"/>
      </w:pPr>
    </w:p>
    <w:p>
      <w:pPr>
        <w:pStyle w:val="Heading2"/>
        <w:spacing w:before="280" w:after="160"/>
      </w:pPr>
      <w:r>
        <w:rPr>
          <w:rFonts w:ascii="Montserrat" w:cs="Montserrat" w:eastAsia="Montserrat" w:hAnsi="Montserrat"/>
          <w:b/>
          <w:bCs/>
          <w:color w:val="00558C"/>
          <w:sz w:val="24"/>
          <w:szCs w:val="24"/>
        </w:rPr>
        <w:t xml:space="preserve">3.3 Feature 3: Agentforce Intelligence Surfaces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00558C" w:sz="12"/>
              <w:bottom w:val="none" w:color="FFFFFF" w:sz="0"/>
              <w:right w:val="none" w:color="FFFFFF" w:sz="0"/>
            </w:tcBorders>
            <w:shd w:fill="E8F4FB" w:val="clear"/>
            <w:tcMar>
              <w:top w:type="dxa" w:w="120"/>
              <w:left w:type="dxa" w:w="200"/>
              <w:bottom w:type="dxa" w:w="120"/>
              <w:right w:type="dxa" w:w="200"/>
            </w:tcMar>
          </w:tcPr>
          <w:p>
            <w:pPr>
              <w:spacing w:after="60"/>
            </w:pPr>
            <w:r>
              <w:rPr>
                <w:rFonts w:ascii="Montserrat" w:cs="Montserrat" w:eastAsia="Montserrat" w:hAnsi="Montserrat"/>
                <w:b/>
                <w:bCs/>
                <w:color w:val="00558C"/>
                <w:sz w:val="18"/>
                <w:szCs w:val="18"/>
              </w:rPr>
              <w:t xml:space="preserve">DECISIONS, NOT DASHBOARDS</w:t>
            </w:r>
          </w:p>
          <w:p>
            <w:pPr>
              <w:spacing w:after="0"/>
            </w:pPr>
            <w:r>
              <w:rPr>
                <w:rFonts w:ascii="Montserrat" w:cs="Montserrat" w:eastAsia="Montserrat" w:hAnsi="Montserrat"/>
                <w:color w:val="242724"/>
                <w:sz w:val="19"/>
                <w:szCs w:val="19"/>
              </w:rPr>
              <w:t xml:space="preserve">The intelligence brief describes Agentforce actions that do not exist in the implementation. These are the demo moments that differentiate the proposition. Without them, Pulse360 is a data pipeline. With them, it is an intelligent agent.</w:t>
            </w:r>
          </w:p>
        </w:tc>
      </w:tr>
    </w:tbl>
    <w:p>
      <w:pPr>
        <w:spacing w:after="60"/>
      </w:pPr>
    </w:p>
    <w:p>
      <w:pPr>
        <w:spacing w:before="200" w:after="120"/>
      </w:pPr>
      <w:r>
        <w:rPr>
          <w:rFonts w:ascii="Montserrat" w:cs="Montserrat" w:eastAsia="Montserrat" w:hAnsi="Montserrat"/>
          <w:b/>
          <w:bCs/>
          <w:color w:val="003D66"/>
          <w:sz w:val="20"/>
          <w:szCs w:val="20"/>
        </w:rPr>
        <w:t xml:space="preserve">3.3.1 Account Health Scan Action</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Salesforce (Apex + Agentforce)</w:t>
      </w:r>
    </w:p>
    <w:p>
      <w:pPr>
        <w:spacing w:after="100" w:line="276"/>
      </w:pPr>
      <w:r>
        <w:rPr>
          <w:rFonts w:ascii="Montserrat" w:cs="Montserrat" w:eastAsia="Montserrat" w:hAnsi="Montserrat"/>
          <w:b/>
          <w:bCs/>
          <w:color w:val="00558C"/>
          <w:sz w:val="20"/>
          <w:szCs w:val="20"/>
        </w:rPr>
        <w:t xml:space="preserve">Scenario:</w:t>
      </w:r>
      <w:r>
        <w:rPr>
          <w:rFonts w:ascii="Montserrat" w:cs="Montserrat" w:eastAsia="Montserrat" w:hAnsi="Montserrat"/>
          <w:color w:val="242724"/>
          <w:sz w:val="20"/>
          <w:szCs w:val="20"/>
        </w:rPr>
        <w:t xml:space="preserve"> DS-01 payoff moment</w:t>
      </w:r>
    </w:p>
    <w:p>
      <w:pPr>
        <w:spacing w:after="120" w:line="276"/>
      </w:pPr>
      <w:r>
        <w:rPr>
          <w:rFonts w:ascii="Montserrat" w:cs="Montserrat" w:eastAsia="Montserrat" w:hAnsi="Montserrat"/>
          <w:color w:val="242724"/>
          <w:sz w:val="20"/>
          <w:szCs w:val="20"/>
        </w:rPr>
        <w:t xml:space="preserve">User triggers from Account page. Reads all Pulse360 intelligence fields, ai_narrative, and ai_recommended_actions. Returns a structured health card: health score, regulatory readiness score, duplicate exposure, group revenue (confirmed vs. CRM-visible), subsidiary count (known vs. in CRM), external validation status, last enriched timestamp, AI assessment narrative, and ranked recommended actions.</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3 days</w:t>
      </w:r>
    </w:p>
    <w:p>
      <w:pPr>
        <w:spacing w:before="200" w:after="120"/>
      </w:pPr>
      <w:r>
        <w:rPr>
          <w:rFonts w:ascii="Montserrat" w:cs="Montserrat" w:eastAsia="Montserrat" w:hAnsi="Montserrat"/>
          <w:b/>
          <w:bCs/>
          <w:color w:val="003D66"/>
          <w:sz w:val="20"/>
          <w:szCs w:val="20"/>
        </w:rPr>
        <w:t xml:space="preserve">3.3.2 Governance Case Enrichment Action</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Salesforce (Apex + LWC extension)</w:t>
      </w:r>
    </w:p>
    <w:p>
      <w:pPr>
        <w:spacing w:after="100" w:line="276"/>
      </w:pPr>
      <w:r>
        <w:rPr>
          <w:rFonts w:ascii="Montserrat" w:cs="Montserrat" w:eastAsia="Montserrat" w:hAnsi="Montserrat"/>
          <w:b/>
          <w:bCs/>
          <w:color w:val="00558C"/>
          <w:sz w:val="20"/>
          <w:szCs w:val="20"/>
        </w:rPr>
        <w:t xml:space="preserve">Scenario:</w:t>
      </w:r>
      <w:r>
        <w:rPr>
          <w:rFonts w:ascii="Montserrat" w:cs="Montserrat" w:eastAsia="Montserrat" w:hAnsi="Montserrat"/>
          <w:color w:val="242724"/>
          <w:sz w:val="20"/>
          <w:szCs w:val="20"/>
        </w:rPr>
        <w:t xml:space="preserve"> DS-02 enhancement</w:t>
      </w:r>
    </w:p>
    <w:p>
      <w:pPr>
        <w:spacing w:after="120" w:line="276"/>
      </w:pPr>
      <w:r>
        <w:rPr>
          <w:rFonts w:ascii="Montserrat" w:cs="Montserrat" w:eastAsia="Montserrat" w:hAnsi="Montserrat"/>
          <w:color w:val="242724"/>
          <w:sz w:val="20"/>
          <w:szCs w:val="20"/>
        </w:rPr>
        <w:t xml:space="preserve">When a steward opens a governance case, auto-populates external evidence for both candidate accounts: registry-confirmed legal name, SEC registration number, external validity score, and registry match status. Extends the existing governance review LWC with an External Evidence section. Adds seven new fields to Governance_Case__c.</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before="200" w:after="120"/>
      </w:pPr>
      <w:r>
        <w:rPr>
          <w:rFonts w:ascii="Montserrat" w:cs="Montserrat" w:eastAsia="Montserrat" w:hAnsi="Montserrat"/>
          <w:b/>
          <w:bCs/>
          <w:color w:val="003D66"/>
          <w:sz w:val="20"/>
          <w:szCs w:val="20"/>
        </w:rPr>
        <w:t xml:space="preserve">3.3.3 Next Best Action Surface</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Salesforce LWC (pulse360NextBestAction)</w:t>
      </w:r>
    </w:p>
    <w:p>
      <w:pPr>
        <w:spacing w:after="100" w:line="276"/>
      </w:pPr>
      <w:r>
        <w:rPr>
          <w:rFonts w:ascii="Montserrat" w:cs="Montserrat" w:eastAsia="Montserrat" w:hAnsi="Montserrat"/>
          <w:b/>
          <w:bCs/>
          <w:color w:val="00558C"/>
          <w:sz w:val="20"/>
          <w:szCs w:val="20"/>
        </w:rPr>
        <w:t xml:space="preserve">Scenario:</w:t>
      </w:r>
      <w:r>
        <w:rPr>
          <w:rFonts w:ascii="Montserrat" w:cs="Montserrat" w:eastAsia="Montserrat" w:hAnsi="Montserrat"/>
          <w:color w:val="242724"/>
          <w:sz w:val="20"/>
          <w:szCs w:val="20"/>
        </w:rPr>
        <w:t xml:space="preserve"> DS-03 seller action moment</w:t>
      </w:r>
    </w:p>
    <w:p>
      <w:pPr>
        <w:spacing w:after="120" w:line="276"/>
      </w:pPr>
      <w:r>
        <w:rPr>
          <w:rFonts w:ascii="Montserrat" w:cs="Montserrat" w:eastAsia="Montserrat" w:hAnsi="Montserrat"/>
          <w:color w:val="242724"/>
          <w:sz w:val="20"/>
          <w:szCs w:val="20"/>
        </w:rPr>
        <w:t xml:space="preserve">Always visible in the Pulse360 section of the Account page. Reads AI_Recommended_Actions__c JSON, renders as interactive cards with Execute buttons. Each card shows: action type, target, reasoning, estimated revenue impact. Execute buttons trigger standard Salesforce actions (create Opportunity, create Task). Action logged with intelligence source attribution.</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3 days</w:t>
      </w:r>
    </w:p>
    <w:p>
      <w:pPr>
        <w:spacing w:before="200" w:after="120"/>
      </w:pPr>
      <w:r>
        <w:rPr>
          <w:rFonts w:ascii="Montserrat" w:cs="Montserrat" w:eastAsia="Montserrat" w:hAnsi="Montserrat"/>
          <w:b/>
          <w:bCs/>
          <w:color w:val="003D66"/>
          <w:sz w:val="20"/>
          <w:szCs w:val="20"/>
        </w:rPr>
        <w:t xml:space="preserve">3.3.4 Group Revenue Reveal Component</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Salesforce LWC (pulse360GroupRevenueReveal)</w:t>
      </w:r>
    </w:p>
    <w:p>
      <w:pPr>
        <w:spacing w:after="100" w:line="276"/>
      </w:pPr>
      <w:r>
        <w:rPr>
          <w:rFonts w:ascii="Montserrat" w:cs="Montserrat" w:eastAsia="Montserrat" w:hAnsi="Montserrat"/>
          <w:b/>
          <w:bCs/>
          <w:color w:val="00558C"/>
          <w:sz w:val="20"/>
          <w:szCs w:val="20"/>
        </w:rPr>
        <w:t xml:space="preserve">Scenario:</w:t>
      </w:r>
      <w:r>
        <w:rPr>
          <w:rFonts w:ascii="Montserrat" w:cs="Montserrat" w:eastAsia="Montserrat" w:hAnsi="Montserrat"/>
          <w:color w:val="242724"/>
          <w:sz w:val="20"/>
          <w:szCs w:val="20"/>
        </w:rPr>
        <w:t xml:space="preserve"> The ASEAN wow moment</w:t>
      </w:r>
    </w:p>
    <w:p>
      <w:pPr>
        <w:spacing w:after="120" w:line="276"/>
      </w:pPr>
      <w:r>
        <w:rPr>
          <w:rFonts w:ascii="Montserrat" w:cs="Montserrat" w:eastAsia="Montserrat" w:hAnsi="Montserrat"/>
          <w:color w:val="242724"/>
          <w:sz w:val="20"/>
          <w:szCs w:val="20"/>
        </w:rPr>
        <w:t xml:space="preserve">Visual before/after on Account page: CRM-visible revenue vs. true group revenue. Shows subsidiary breakdown with coverage status (covered / not in CRM). Delta callout highlights hidden revenue. This is the component that makes a CRO’s eyes widen.</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before="200" w:after="120"/>
      </w:pPr>
      <w:r>
        <w:rPr>
          <w:rFonts w:ascii="Montserrat" w:cs="Montserrat" w:eastAsia="Montserrat" w:hAnsi="Montserrat"/>
          <w:b/>
          <w:bCs/>
          <w:color w:val="003D66"/>
          <w:sz w:val="20"/>
          <w:szCs w:val="20"/>
        </w:rPr>
        <w:t xml:space="preserve">3.3.5 Regulatory Readiness Calculated Insight</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 Cloud</w:t>
      </w:r>
    </w:p>
    <w:p>
      <w:pPr>
        <w:spacing w:after="120" w:line="276"/>
      </w:pPr>
      <w:r>
        <w:rPr>
          <w:rFonts w:ascii="Montserrat" w:cs="Montserrat" w:eastAsia="Montserrat" w:hAnsi="Montserrat"/>
          <w:color w:val="242724"/>
          <w:sz w:val="20"/>
          <w:szCs w:val="20"/>
        </w:rPr>
        <w:t xml:space="preserve">New Calculated Insight: Regulatory_Readiness_Score. Formula deducts points for low identity confidence, missing external validation, unresolved duplicates, coverage gaps, and low group revenue visibility. Output: integer 0–100, synced to Account via Copy Field Enrichment. Answers: if a BSP examiner audited this account’s identity resolution today, would we pass?</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1 day</w:t>
      </w:r>
    </w:p>
    <w:p>
      <w:pPr>
        <w:spacing w:after="80"/>
      </w:pPr>
    </w:p>
    <w:p>
      <w:pPr>
        <w:pStyle w:val="Heading2"/>
        <w:spacing w:before="280" w:after="160"/>
      </w:pPr>
      <w:r>
        <w:rPr>
          <w:rFonts w:ascii="Montserrat" w:cs="Montserrat" w:eastAsia="Montserrat" w:hAnsi="Montserrat"/>
          <w:b/>
          <w:bCs/>
          <w:color w:val="00558C"/>
          <w:sz w:val="24"/>
          <w:szCs w:val="24"/>
        </w:rPr>
        <w:t xml:space="preserve">3.4 Feature 4: Continuous Intelligence Loop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EE7623" w:sz="12"/>
              <w:bottom w:val="none" w:color="FFFFFF" w:sz="0"/>
              <w:right w:val="none" w:color="FFFFFF" w:sz="0"/>
            </w:tcBorders>
            <w:shd w:fill="FFF4EC" w:val="clear"/>
            <w:tcMar>
              <w:top w:type="dxa" w:w="120"/>
              <w:left w:type="dxa" w:w="200"/>
              <w:bottom w:type="dxa" w:w="120"/>
              <w:right w:type="dxa" w:w="200"/>
            </w:tcMar>
          </w:tcPr>
          <w:p>
            <w:pPr>
              <w:spacing w:after="60"/>
            </w:pPr>
            <w:r>
              <w:rPr>
                <w:rFonts w:ascii="Montserrat" w:cs="Montserrat" w:eastAsia="Montserrat" w:hAnsi="Montserrat"/>
                <w:b/>
                <w:bCs/>
                <w:color w:val="EE7623"/>
                <w:sz w:val="18"/>
                <w:szCs w:val="18"/>
              </w:rPr>
              <w:t xml:space="preserve">PLATFORM, NOT PROJECT</w:t>
            </w:r>
          </w:p>
          <w:p>
            <w:pPr>
              <w:spacing w:after="0"/>
            </w:pPr>
            <w:r>
              <w:rPr>
                <w:rFonts w:ascii="Montserrat" w:cs="Montserrat" w:eastAsia="Montserrat" w:hAnsi="Montserrat"/>
                <w:color w:val="242724"/>
                <w:sz w:val="19"/>
                <w:szCs w:val="19"/>
              </w:rPr>
              <w:t xml:space="preserve">A demo shows a point-in-time snapshot. A product compounds value over time. The continuous loop is what justifies a recurring engagement rather than a one-time implementation.</w:t>
            </w:r>
          </w:p>
        </w:tc>
      </w:tr>
    </w:tbl>
    <w:p>
      <w:pPr>
        <w:spacing w:after="60"/>
      </w:pPr>
    </w:p>
    <w:p>
      <w:pPr>
        <w:spacing w:before="200" w:after="120"/>
      </w:pPr>
      <w:r>
        <w:rPr>
          <w:rFonts w:ascii="Montserrat" w:cs="Montserrat" w:eastAsia="Montserrat" w:hAnsi="Montserrat"/>
          <w:b/>
          <w:bCs/>
          <w:color w:val="003D66"/>
          <w:sz w:val="20"/>
          <w:szCs w:val="20"/>
        </w:rPr>
        <w:t xml:space="preserve">3.4.1 Scheduled Enrichment Cycle</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Workflow</w:t>
      </w:r>
    </w:p>
    <w:p>
      <w:pPr>
        <w:spacing w:after="120" w:line="276"/>
      </w:pPr>
      <w:r>
        <w:rPr>
          <w:rFonts w:ascii="Montserrat" w:cs="Montserrat" w:eastAsia="Montserrat" w:hAnsi="Montserrat"/>
          <w:color w:val="242724"/>
          <w:sz w:val="20"/>
          <w:szCs w:val="20"/>
        </w:rPr>
        <w:t xml:space="preserve">Weekly automated re-enrichment: external bronze ingest, silver matching, gold export, Gen AI pipeline, materialised export, validation. Delta flag in export: enrichment_changed_since_last_run. Run log table: ops.enrichment_run_log.</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spacing w:before="200" w:after="120"/>
      </w:pPr>
      <w:r>
        <w:rPr>
          <w:rFonts w:ascii="Montserrat" w:cs="Montserrat" w:eastAsia="Montserrat" w:hAnsi="Montserrat"/>
          <w:b/>
          <w:bCs/>
          <w:color w:val="003D66"/>
          <w:sz w:val="20"/>
          <w:szCs w:val="20"/>
        </w:rPr>
        <w:t xml:space="preserve">3.4.2 Signal Detection and Notification</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Databricks + Salesforce</w:t>
      </w:r>
    </w:p>
    <w:p>
      <w:pPr>
        <w:spacing w:after="120" w:line="276"/>
      </w:pPr>
      <w:r>
        <w:rPr>
          <w:rFonts w:ascii="Montserrat" w:cs="Montserrat" w:eastAsia="Montserrat" w:hAnsi="Montserrat"/>
          <w:color w:val="242724"/>
          <w:sz w:val="20"/>
          <w:szCs w:val="20"/>
        </w:rPr>
        <w:t xml:space="preserve">Material change triggers: new SEC filing detected, new subsidiary discovered, revenue change &gt;10%, new competitor technology signal, duplicate confidence change &gt;10 points. Databricks compares current enrichment with previous run. For material changes, writes to ops.signal_alerts table. Salesforce scheduled job creates Chatter posts or Tasks on affected Accounts. Alert text generated by Claude API.</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3 days</w:t>
      </w:r>
    </w:p>
    <w:p>
      <w:pPr>
        <w:spacing w:before="200" w:after="120"/>
      </w:pPr>
      <w:r>
        <w:rPr>
          <w:rFonts w:ascii="Montserrat" w:cs="Montserrat" w:eastAsia="Montserrat" w:hAnsi="Montserrat"/>
          <w:b/>
          <w:bCs/>
          <w:color w:val="003D66"/>
          <w:sz w:val="20"/>
          <w:szCs w:val="20"/>
        </w:rPr>
        <w:t xml:space="preserve">3.4.3 Philippine Demo Data Set</w:t>
      </w:r>
    </w:p>
    <w:p>
      <w:pPr>
        <w:spacing w:after="100" w:line="276"/>
      </w:pPr>
      <w:r>
        <w:rPr>
          <w:rFonts w:ascii="Montserrat" w:cs="Montserrat" w:eastAsia="Montserrat" w:hAnsi="Montserrat"/>
          <w:b/>
          <w:bCs/>
          <w:color w:val="00558C"/>
          <w:sz w:val="20"/>
          <w:szCs w:val="20"/>
        </w:rPr>
        <w:t xml:space="preserve">Platform:</w:t>
      </w:r>
      <w:r>
        <w:rPr>
          <w:rFonts w:ascii="Montserrat" w:cs="Montserrat" w:eastAsia="Montserrat" w:hAnsi="Montserrat"/>
          <w:color w:val="242724"/>
          <w:sz w:val="20"/>
          <w:szCs w:val="20"/>
        </w:rPr>
        <w:t xml:space="preserve"> All layers</w:t>
      </w:r>
    </w:p>
    <w:p>
      <w:pPr>
        <w:spacing w:after="120" w:line="276"/>
      </w:pPr>
      <w:r>
        <w:rPr>
          <w:rFonts w:ascii="Montserrat" w:cs="Montserrat" w:eastAsia="Montserrat" w:hAnsi="Montserrat"/>
          <w:color w:val="242724"/>
          <w:sz w:val="20"/>
          <w:szCs w:val="20"/>
        </w:rPr>
        <w:t xml:space="preserve">Philippine-contextualised demo accounts replacing generic data: Pacific Holdings Group (parent conglomerate), Pacific Telecom Inc. (telco BU), Pacific Infrastructure Corp. (construction BU, discovered subsidiary), Pacific Digital Services (tech BU, competitor signal target), Pacific Financial Holdings (banking BU, BSP urgency), Pacific Energy Solutions (utilities BU, whitespace opportunity). All with PHP currency, BSP regulatory references, SEC PH registration numbers, mock filings, and Gen AI narratives referencing Philippine context.</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3 days</w:t>
      </w:r>
    </w:p>
    <w:p>
      <w:r>
        <w:br w:type="page"/>
      </w:r>
    </w:p>
    <w:p>
      <w:pPr>
        <w:pStyle w:val="Heading1"/>
        <w:spacing w:before="360" w:after="200"/>
      </w:pPr>
      <w:r>
        <w:rPr>
          <w:rFonts w:ascii="Montserrat" w:cs="Montserrat" w:eastAsia="Montserrat" w:hAnsi="Montserrat"/>
          <w:b/>
          <w:bCs/>
          <w:color w:val="00558C"/>
          <w:sz w:val="28"/>
          <w:szCs w:val="28"/>
        </w:rPr>
        <w:t xml:space="preserve">4. What to Change — Modifications to Existing Assets</w:t>
      </w:r>
    </w:p>
    <w:p>
      <w:pPr>
        <w:spacing w:after="120" w:line="276"/>
      </w:pPr>
      <w:r>
        <w:rPr>
          <w:rFonts w:ascii="Montserrat" w:cs="Montserrat" w:eastAsia="Montserrat" w:hAnsi="Montserrat"/>
          <w:color w:val="242724"/>
          <w:sz w:val="20"/>
          <w:szCs w:val="20"/>
        </w:rPr>
        <w:t xml:space="preserve">Targeted modifications to existing assets. These extend or adjust; they do not replace.</w:t>
      </w:r>
    </w:p>
    <w:p>
      <w:pPr>
        <w:pStyle w:val="Heading2"/>
        <w:spacing w:before="280" w:after="160"/>
      </w:pPr>
      <w:r>
        <w:rPr>
          <w:rFonts w:ascii="Montserrat" w:cs="Montserrat" w:eastAsia="Montserrat" w:hAnsi="Montserrat"/>
          <w:b/>
          <w:bCs/>
          <w:color w:val="00558C"/>
          <w:sz w:val="24"/>
          <w:szCs w:val="24"/>
        </w:rPr>
        <w:t xml:space="preserve">4.1 Integration Contract Extensions</w:t>
      </w:r>
    </w:p>
    <w:p>
      <w:pPr>
        <w:spacing w:after="120" w:line="276"/>
      </w:pPr>
      <w:r>
        <w:rPr>
          <w:rFonts w:ascii="Montserrat" w:cs="Montserrat" w:eastAsia="Montserrat" w:hAnsi="Montserrat"/>
          <w:color w:val="242724"/>
          <w:sz w:val="20"/>
          <w:szCs w:val="20"/>
        </w:rPr>
        <w:t xml:space="preserve">The Databricks-to-Data Cloud export contract adds all external enrichment and Gen AI output fields with explicit provenance rules (every external field must carry source, extraction_date, confidence). The Data Cloud-to-Salesforce contract adds new CRM target fields, Agentforce action definitions, and the Regulatory Readiness Calculated Insight definition.</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1 day</w:t>
      </w:r>
    </w:p>
    <w:p>
      <w:pPr>
        <w:pStyle w:val="Heading2"/>
        <w:spacing w:before="280" w:after="160"/>
      </w:pPr>
      <w:r>
        <w:rPr>
          <w:rFonts w:ascii="Montserrat" w:cs="Montserrat" w:eastAsia="Montserrat" w:hAnsi="Montserrat"/>
          <w:b/>
          <w:bCs/>
          <w:color w:val="00558C"/>
          <w:sz w:val="24"/>
          <w:szCs w:val="24"/>
        </w:rPr>
        <w:t xml:space="preserve">4.2 Governance Case LWC Enhancement</w:t>
      </w:r>
    </w:p>
    <w:p>
      <w:pPr>
        <w:spacing w:after="120" w:line="276"/>
      </w:pPr>
      <w:r>
        <w:rPr>
          <w:rFonts w:ascii="Montserrat" w:cs="Montserrat" w:eastAsia="Montserrat" w:hAnsi="Montserrat"/>
          <w:color w:val="242724"/>
          <w:sz w:val="20"/>
          <w:szCs w:val="20"/>
        </w:rPr>
        <w:t xml:space="preserve">Extend the existing governance review LWC to display external evidence alongside Databricks evidence. New External Evidence section per candidate account showing: registry-confirmed legal name, SEC registration number, external validity score, registry match status. Reads from new Governance_Case__c fields.</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1 day</w:t>
      </w:r>
    </w:p>
    <w:p>
      <w:pPr>
        <w:pStyle w:val="Heading2"/>
        <w:spacing w:before="280" w:after="160"/>
      </w:pPr>
      <w:r>
        <w:rPr>
          <w:rFonts w:ascii="Montserrat" w:cs="Montserrat" w:eastAsia="Montserrat" w:hAnsi="Montserrat"/>
          <w:b/>
          <w:bCs/>
          <w:color w:val="00558C"/>
          <w:sz w:val="24"/>
          <w:szCs w:val="24"/>
        </w:rPr>
        <w:t xml:space="preserve">4.3 Salesforce Account Custom Fields Extension</w:t>
      </w:r>
    </w:p>
    <w:p>
      <w:pPr>
        <w:spacing w:after="120" w:line="276"/>
      </w:pPr>
      <w:r>
        <w:rPr>
          <w:rFonts w:ascii="Montserrat" w:cs="Montserrat" w:eastAsia="Montserrat" w:hAnsi="Montserrat"/>
          <w:color w:val="242724"/>
          <w:sz w:val="20"/>
          <w:szCs w:val="20"/>
        </w:rPr>
        <w:t xml:space="preserve">Nine new custom fields on Account: External_Legal_Name__c (Text 255), Externally_Validated__c (Checkbox), Validity_Score_External__c (Number), AI_Narrative__c (Long Text Area 10000), AI_Recommended_Actions__c (Long Text Area 10000), AI_Narrative_Generated__c (DateTime), External_Subsidiaries_Found__c (Number), Enrichment_Run_Id__c (Text 50), Regulatory_Readiness_Score__c (Number).</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0.5 days</w:t>
      </w:r>
    </w:p>
    <w:p>
      <w:pPr>
        <w:pStyle w:val="Heading2"/>
        <w:spacing w:before="280" w:after="160"/>
      </w:pPr>
      <w:r>
        <w:rPr>
          <w:rFonts w:ascii="Montserrat" w:cs="Montserrat" w:eastAsia="Montserrat" w:hAnsi="Montserrat"/>
          <w:b/>
          <w:bCs/>
          <w:color w:val="00558C"/>
          <w:sz w:val="24"/>
          <w:szCs w:val="24"/>
        </w:rPr>
        <w:t xml:space="preserve">4.4 Account Record Page Enhancement</w:t>
      </w:r>
    </w:p>
    <w:p>
      <w:pPr>
        <w:spacing w:after="120" w:line="276"/>
      </w:pPr>
      <w:r>
        <w:rPr>
          <w:rFonts w:ascii="Montserrat" w:cs="Montserrat" w:eastAsia="Montserrat" w:hAnsi="Montserrat"/>
          <w:color w:val="242724"/>
          <w:sz w:val="20"/>
          <w:szCs w:val="20"/>
        </w:rPr>
        <w:t xml:space="preserve">Extend the Account flexipage: Group Revenue Reveal component (visual before/after), AI Narrative card, Next Best Actions component, existing intelligence fields (retained in collapsible detail section), enrichment provenance footer.</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1 day</w:t>
      </w:r>
    </w:p>
    <w:p>
      <w:pPr>
        <w:pStyle w:val="Heading2"/>
        <w:spacing w:before="280" w:after="160"/>
      </w:pPr>
      <w:r>
        <w:rPr>
          <w:rFonts w:ascii="Montserrat" w:cs="Montserrat" w:eastAsia="Montserrat" w:hAnsi="Montserrat"/>
          <w:b/>
          <w:bCs/>
          <w:color w:val="00558C"/>
          <w:sz w:val="24"/>
          <w:szCs w:val="24"/>
        </w:rPr>
        <w:t xml:space="preserve">4.5 Data Cloud Schema and Sync Extension</w:t>
      </w:r>
    </w:p>
    <w:p>
      <w:pPr>
        <w:spacing w:after="120" w:line="276"/>
      </w:pPr>
      <w:r>
        <w:rPr>
          <w:rFonts w:ascii="Montserrat" w:cs="Montserrat" w:eastAsia="Montserrat" w:hAnsi="Montserrat"/>
          <w:color w:val="242724"/>
          <w:sz w:val="20"/>
          <w:szCs w:val="20"/>
        </w:rPr>
        <w:t xml:space="preserve">Add new fields to the existing data stream mapping and DMO, then extend Copy Field Enrichment configuration. Ten new fields mapped through the same proven sync channel. Plus the Regulatory Readiness Calculated Insight.</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1.5 days</w:t>
      </w:r>
    </w:p>
    <w:p>
      <w:pPr>
        <w:pStyle w:val="Heading2"/>
        <w:spacing w:before="280" w:after="160"/>
      </w:pPr>
      <w:r>
        <w:rPr>
          <w:rFonts w:ascii="Montserrat" w:cs="Montserrat" w:eastAsia="Montserrat" w:hAnsi="Montserrat"/>
          <w:b/>
          <w:bCs/>
          <w:color w:val="00558C"/>
          <w:sz w:val="24"/>
          <w:szCs w:val="24"/>
        </w:rPr>
        <w:t xml:space="preserve">4.6 Validation Script Extensions</w:t>
      </w:r>
    </w:p>
    <w:p>
      <w:pPr>
        <w:spacing w:after="120" w:line="276"/>
      </w:pPr>
      <w:r>
        <w:rPr>
          <w:rFonts w:ascii="Montserrat" w:cs="Montserrat" w:eastAsia="Montserrat" w:hAnsi="Montserrat"/>
          <w:color w:val="242724"/>
          <w:sz w:val="20"/>
          <w:szCs w:val="20"/>
        </w:rPr>
        <w:t xml:space="preserve">Six new validation categories: external enrichment freshness, Gen AI output completeness, external-to-CRM match rate, gold export schema validation, Agentforce action validation, regulatory readiness validation.</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2 days</w:t>
      </w:r>
    </w:p>
    <w:p>
      <w:pPr>
        <w:pStyle w:val="Heading2"/>
        <w:spacing w:before="280" w:after="160"/>
      </w:pPr>
      <w:r>
        <w:rPr>
          <w:rFonts w:ascii="Montserrat" w:cs="Montserrat" w:eastAsia="Montserrat" w:hAnsi="Montserrat"/>
          <w:b/>
          <w:bCs/>
          <w:color w:val="00558C"/>
          <w:sz w:val="24"/>
          <w:szCs w:val="24"/>
        </w:rPr>
        <w:t xml:space="preserve">4.7 Milestone C Acceptance Language</w:t>
      </w:r>
    </w:p>
    <w:p>
      <w:pPr>
        <w:spacing w:after="120" w:line="276"/>
      </w:pPr>
      <w:r>
        <w:rPr>
          <w:rFonts w:ascii="Montserrat" w:cs="Montserrat" w:eastAsia="Montserrat" w:hAnsi="Montserrat"/>
          <w:color w:val="242724"/>
          <w:sz w:val="20"/>
          <w:szCs w:val="20"/>
        </w:rPr>
        <w:t xml:space="preserve">Replace ActivationTarget references with Copy Field Enrichment as the canonical CRM realisation mechanism. Add external enrichment, Gen AI output, Agentforce action, and regulatory readiness acceptance criteria.</w:t>
      </w:r>
    </w:p>
    <w:p>
      <w:pPr>
        <w:spacing w:after="100" w:line="276"/>
      </w:pPr>
      <w:r>
        <w:rPr>
          <w:rFonts w:ascii="Montserrat" w:cs="Montserrat" w:eastAsia="Montserrat" w:hAnsi="Montserrat"/>
          <w:b/>
          <w:bCs/>
          <w:color w:val="00558C"/>
          <w:sz w:val="20"/>
          <w:szCs w:val="20"/>
        </w:rPr>
        <w:t xml:space="preserve">Build estimate:</w:t>
      </w:r>
      <w:r>
        <w:rPr>
          <w:rFonts w:ascii="Montserrat" w:cs="Montserrat" w:eastAsia="Montserrat" w:hAnsi="Montserrat"/>
          <w:color w:val="242724"/>
          <w:sz w:val="20"/>
          <w:szCs w:val="20"/>
        </w:rPr>
        <w:t xml:space="preserve"> 0.5 days</w:t>
      </w:r>
    </w:p>
    <w:p>
      <w:r>
        <w:br w:type="page"/>
      </w:r>
    </w:p>
    <w:p>
      <w:pPr>
        <w:pStyle w:val="Heading1"/>
        <w:spacing w:before="360" w:after="200"/>
      </w:pPr>
      <w:r>
        <w:rPr>
          <w:rFonts w:ascii="Montserrat" w:cs="Montserrat" w:eastAsia="Montserrat" w:hAnsi="Montserrat"/>
          <w:b/>
          <w:bCs/>
          <w:color w:val="00558C"/>
          <w:sz w:val="28"/>
          <w:szCs w:val="28"/>
        </w:rPr>
        <w:t xml:space="preserve">5. Build Priority and Sequencing</w:t>
      </w:r>
    </w:p>
    <w:p>
      <w:pPr>
        <w:spacing w:after="120" w:line="276"/>
      </w:pPr>
      <w:r>
        <w:rPr>
          <w:rFonts w:ascii="Montserrat" w:cs="Montserrat" w:eastAsia="Montserrat" w:hAnsi="Montserrat"/>
          <w:color w:val="242724"/>
          <w:sz w:val="20"/>
          <w:szCs w:val="20"/>
        </w:rPr>
        <w:t xml:space="preserve">Four phases, each delivering a demonstrable improvement. Phase 1 alone transforms the demo. Phases 2+3 together transform the proposition. Phase 4 transforms the commercial story.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1300"/>
        <w:gridCol w:w="1540"/>
      </w:tblGrid>
      <w:tr>
        <w:tc>
          <w:tcPr>
            <w:tcW w:type="dxa" w:w="120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Phase</w:t>
            </w:r>
          </w:p>
        </w:tc>
        <w:tc>
          <w:tcPr>
            <w:tcW w:type="dxa" w:w="380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Focus</w:t>
            </w:r>
          </w:p>
        </w:tc>
        <w:tc>
          <w:tcPr>
            <w:tcW w:type="dxa" w:w="200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Key Deliverables</w:t>
            </w:r>
          </w:p>
        </w:tc>
        <w:tc>
          <w:tcPr>
            <w:tcW w:type="dxa" w:w="130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Days</w:t>
            </w:r>
          </w:p>
        </w:tc>
        <w:tc>
          <w:tcPr>
            <w:tcW w:type="dxa" w:w="154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Cumulative</w:t>
            </w:r>
          </w:p>
        </w:tc>
      </w:tr>
      <w:tr>
        <w:tc>
          <w:tcPr>
            <w:tcW w:type="dxa" w:w="1200"/>
            <w:tcBorders>
              <w:top w:val="single" w:color="C1C6C8" w:sz="1"/>
              <w:left w:val="single" w:color="C1C6C8" w:sz="1"/>
              <w:bottom w:val="single" w:color="C1C6C8" w:sz="1"/>
              <w:right w:val="single" w:color="C1C6C8" w:sz="1"/>
            </w:tcBorders>
            <w:shd w:fill="EDF7E5" w:val="clear"/>
            <w:tcMar>
              <w:top w:type="dxa" w:w="60"/>
              <w:left w:type="dxa" w:w="120"/>
              <w:bottom w:type="dxa" w:w="60"/>
              <w:right w:type="dxa" w:w="120"/>
            </w:tcMar>
          </w:tcPr>
          <w:p>
            <w:r>
              <w:rPr>
                <w:rFonts w:ascii="Montserrat" w:cs="Montserrat" w:eastAsia="Montserrat" w:hAnsi="Montserrat"/>
                <w:b/>
                <w:bCs/>
                <w:color w:val="00558C"/>
                <w:sz w:val="18"/>
                <w:szCs w:val="18"/>
              </w:rPr>
              <w:t xml:space="preserve">1</w:t>
            </w:r>
          </w:p>
        </w:tc>
        <w:tc>
          <w:tcPr>
            <w:tcW w:type="dxa" w:w="38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Agentforce Surfaces</w:t>
            </w:r>
          </w:p>
        </w:tc>
        <w:tc>
          <w:tcPr>
            <w:tcW w:type="dxa" w:w="20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Health Scan, NBA, Revenue Reveal, page layout</w:t>
            </w:r>
          </w:p>
        </w:tc>
        <w:tc>
          <w:tcPr>
            <w:tcW w:type="dxa" w:w="13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7</w:t>
            </w:r>
          </w:p>
        </w:tc>
        <w:tc>
          <w:tcPr>
            <w:tcW w:type="dxa" w:w="154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7</w:t>
            </w:r>
          </w:p>
        </w:tc>
      </w:tr>
      <w:tr>
        <w:tc>
          <w:tcPr>
            <w:tcW w:type="dxa" w:w="1200"/>
            <w:tcBorders>
              <w:top w:val="single" w:color="C1C6C8" w:sz="1"/>
              <w:left w:val="single" w:color="C1C6C8" w:sz="1"/>
              <w:bottom w:val="single" w:color="C1C6C8" w:sz="1"/>
              <w:right w:val="single" w:color="C1C6C8" w:sz="1"/>
            </w:tcBorders>
            <w:shd w:fill="E8F4FB" w:val="clear"/>
            <w:tcMar>
              <w:top w:type="dxa" w:w="60"/>
              <w:left w:type="dxa" w:w="120"/>
              <w:bottom w:type="dxa" w:w="60"/>
              <w:right w:type="dxa" w:w="120"/>
            </w:tcMar>
          </w:tcPr>
          <w:p>
            <w:r>
              <w:rPr>
                <w:rFonts w:ascii="Montserrat" w:cs="Montserrat" w:eastAsia="Montserrat" w:hAnsi="Montserrat"/>
                <w:b/>
                <w:bCs/>
                <w:color w:val="00558C"/>
                <w:sz w:val="18"/>
                <w:szCs w:val="18"/>
              </w:rPr>
              <w:t xml:space="preserve">2</w:t>
            </w:r>
          </w:p>
        </w:tc>
        <w:tc>
          <w:tcPr>
            <w:tcW w:type="dxa" w:w="38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External Enrichment</w:t>
            </w:r>
          </w:p>
        </w:tc>
        <w:tc>
          <w:tcPr>
            <w:tcW w:type="dxa" w:w="20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SEC PH, OpenCorp, PSE connectors, silver views, gold extension</w:t>
            </w:r>
          </w:p>
        </w:tc>
        <w:tc>
          <w:tcPr>
            <w:tcW w:type="dxa" w:w="13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10</w:t>
            </w:r>
          </w:p>
        </w:tc>
        <w:tc>
          <w:tcPr>
            <w:tcW w:type="dxa" w:w="154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17</w:t>
            </w:r>
          </w:p>
        </w:tc>
      </w:tr>
      <w:tr>
        <w:tc>
          <w:tcPr>
            <w:tcW w:type="dxa" w:w="1200"/>
            <w:tcBorders>
              <w:top w:val="single" w:color="C1C6C8" w:sz="1"/>
              <w:left w:val="single" w:color="C1C6C8" w:sz="1"/>
              <w:bottom w:val="single" w:color="C1C6C8" w:sz="1"/>
              <w:right w:val="single" w:color="C1C6C8" w:sz="1"/>
            </w:tcBorders>
            <w:shd w:fill="F5EAF6" w:val="clear"/>
            <w:tcMar>
              <w:top w:type="dxa" w:w="60"/>
              <w:left w:type="dxa" w:w="120"/>
              <w:bottom w:type="dxa" w:w="60"/>
              <w:right w:type="dxa" w:w="120"/>
            </w:tcMar>
          </w:tcPr>
          <w:p>
            <w:r>
              <w:rPr>
                <w:rFonts w:ascii="Montserrat" w:cs="Montserrat" w:eastAsia="Montserrat" w:hAnsi="Montserrat"/>
                <w:b/>
                <w:bCs/>
                <w:color w:val="00558C"/>
                <w:sz w:val="18"/>
                <w:szCs w:val="18"/>
              </w:rPr>
              <w:t xml:space="preserve">3</w:t>
            </w:r>
          </w:p>
        </w:tc>
        <w:tc>
          <w:tcPr>
            <w:tcW w:type="dxa" w:w="38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Gen AI Pipeline</w:t>
            </w:r>
          </w:p>
        </w:tc>
        <w:tc>
          <w:tcPr>
            <w:tcW w:type="dxa" w:w="20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Extraction, narrative, actions, orchestration, reg readiness</w:t>
            </w:r>
          </w:p>
        </w:tc>
        <w:tc>
          <w:tcPr>
            <w:tcW w:type="dxa" w:w="13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9</w:t>
            </w:r>
          </w:p>
        </w:tc>
        <w:tc>
          <w:tcPr>
            <w:tcW w:type="dxa" w:w="154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26</w:t>
            </w:r>
          </w:p>
        </w:tc>
      </w:tr>
      <w:tr>
        <w:tc>
          <w:tcPr>
            <w:tcW w:type="dxa" w:w="1200"/>
            <w:tcBorders>
              <w:top w:val="single" w:color="C1C6C8" w:sz="1"/>
              <w:left w:val="single" w:color="C1C6C8" w:sz="1"/>
              <w:bottom w:val="single" w:color="C1C6C8" w:sz="1"/>
              <w:right w:val="single" w:color="C1C6C8" w:sz="1"/>
            </w:tcBorders>
            <w:shd w:fill="FFF4EC" w:val="clear"/>
            <w:tcMar>
              <w:top w:type="dxa" w:w="60"/>
              <w:left w:type="dxa" w:w="120"/>
              <w:bottom w:type="dxa" w:w="60"/>
              <w:right w:type="dxa" w:w="120"/>
            </w:tcMar>
          </w:tcPr>
          <w:p>
            <w:r>
              <w:rPr>
                <w:rFonts w:ascii="Montserrat" w:cs="Montserrat" w:eastAsia="Montserrat" w:hAnsi="Montserrat"/>
                <w:b/>
                <w:bCs/>
                <w:color w:val="00558C"/>
                <w:sz w:val="18"/>
                <w:szCs w:val="18"/>
              </w:rPr>
              <w:t xml:space="preserve">4</w:t>
            </w:r>
          </w:p>
        </w:tc>
        <w:tc>
          <w:tcPr>
            <w:tcW w:type="dxa" w:w="38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Enhancement + Loop</w:t>
            </w:r>
          </w:p>
        </w:tc>
        <w:tc>
          <w:tcPr>
            <w:tcW w:type="dxa" w:w="20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LWC updates, PH demo data, scheduled cycle, signals, validation</w:t>
            </w:r>
          </w:p>
        </w:tc>
        <w:tc>
          <w:tcPr>
            <w:tcW w:type="dxa" w:w="13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8</w:t>
            </w:r>
          </w:p>
        </w:tc>
        <w:tc>
          <w:tcPr>
            <w:tcW w:type="dxa" w:w="154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34</w:t>
            </w:r>
          </w:p>
        </w:tc>
      </w:tr>
    </w:tbl>
    <w:p>
      <w:pPr>
        <w:spacing w:after="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single" w:color="00558C" w:sz="12"/>
              <w:bottom w:val="none" w:color="FFFFFF" w:sz="0"/>
              <w:right w:val="none" w:color="FFFFFF" w:sz="0"/>
            </w:tcBorders>
            <w:shd w:fill="E8F4FB" w:val="clear"/>
            <w:tcMar>
              <w:top w:type="dxa" w:w="120"/>
              <w:left w:type="dxa" w:w="200"/>
              <w:bottom w:type="dxa" w:w="120"/>
              <w:right w:type="dxa" w:w="200"/>
            </w:tcMar>
          </w:tcPr>
          <w:p>
            <w:pPr>
              <w:spacing w:after="60"/>
            </w:pPr>
            <w:r>
              <w:rPr>
                <w:rFonts w:ascii="Montserrat" w:cs="Montserrat" w:eastAsia="Montserrat" w:hAnsi="Montserrat"/>
                <w:b/>
                <w:bCs/>
                <w:color w:val="00558C"/>
                <w:sz w:val="18"/>
                <w:szCs w:val="18"/>
              </w:rPr>
              <w:t xml:space="preserve">PHASE 1 NOTE</w:t>
            </w:r>
          </w:p>
          <w:p>
            <w:pPr>
              <w:spacing w:after="0"/>
            </w:pPr>
            <w:r>
              <w:rPr>
                <w:rFonts w:ascii="Montserrat" w:cs="Montserrat" w:eastAsia="Montserrat" w:hAnsi="Montserrat"/>
                <w:color w:val="242724"/>
                <w:sz w:val="19"/>
                <w:szCs w:val="19"/>
              </w:rPr>
              <w:t xml:space="preserve">Phase 1 uses existing field values with mock Gen AI data pre-loaded via fixture scripts. This lets the demo work immediately while the real Gen AI pipeline is being built in Phase 2. Each phase delivers independently demonstrable value.</w:t>
            </w:r>
          </w:p>
        </w:tc>
      </w:tr>
    </w:tbl>
    <w:p>
      <w:pPr>
        <w:spacing w:after="120"/>
      </w:pPr>
    </w:p>
    <w:p>
      <w:pPr>
        <w:pStyle w:val="Heading2"/>
        <w:spacing w:before="280" w:after="160"/>
      </w:pPr>
      <w:r>
        <w:rPr>
          <w:rFonts w:ascii="Montserrat" w:cs="Montserrat" w:eastAsia="Montserrat" w:hAnsi="Montserrat"/>
          <w:b/>
          <w:bCs/>
          <w:color w:val="00558C"/>
          <w:sz w:val="24"/>
          <w:szCs w:val="24"/>
        </w:rPr>
        <w:t xml:space="preserve">5.1 Phase 1 Detail: Agentforce Surfaces</w:t>
      </w:r>
    </w:p>
    <w:p>
      <w:pPr>
        <w:spacing w:after="120" w:line="276"/>
      </w:pPr>
      <w:r>
        <w:rPr>
          <w:rFonts w:ascii="Montserrat" w:cs="Montserrat" w:eastAsia="Montserrat" w:hAnsi="Montserrat"/>
          <w:color w:val="242724"/>
          <w:sz w:val="20"/>
          <w:szCs w:val="20"/>
        </w:rPr>
        <w:t xml:space="preserve">Highest demo impact, fastest to build. Delivers interactive moments for all three demo scenarios using existing intelligence field values.</w:t>
      </w:r>
    </w:p>
    <w:p>
      <w:pPr>
        <w:pStyle w:val="ListParagraph"/>
        <w:numPr>
          <w:ilvl w:val="0"/>
          <w:numId w:val="2"/>
        </w:numPr>
        <w:spacing w:after="60" w:line="276"/>
      </w:pPr>
      <w:r>
        <w:rPr>
          <w:rFonts w:ascii="Montserrat" w:cs="Montserrat" w:eastAsia="Montserrat" w:hAnsi="Montserrat"/>
          <w:color w:val="242724"/>
          <w:sz w:val="20"/>
          <w:szCs w:val="20"/>
        </w:rPr>
        <w:t xml:space="preserve">Account Health Scan Action (3 days) — depends on existing Account fields</w:t>
      </w:r>
    </w:p>
    <w:p>
      <w:pPr>
        <w:pStyle w:val="ListParagraph"/>
        <w:numPr>
          <w:ilvl w:val="0"/>
          <w:numId w:val="2"/>
        </w:numPr>
        <w:spacing w:after="60" w:line="276"/>
      </w:pPr>
      <w:r>
        <w:rPr>
          <w:rFonts w:ascii="Montserrat" w:cs="Montserrat" w:eastAsia="Montserrat" w:hAnsi="Montserrat"/>
          <w:color w:val="242724"/>
          <w:sz w:val="20"/>
          <w:szCs w:val="20"/>
        </w:rPr>
        <w:t xml:space="preserve">Next Best Action Surface (3 days) — depends on existing Account fields</w:t>
      </w:r>
    </w:p>
    <w:p>
      <w:pPr>
        <w:pStyle w:val="ListParagraph"/>
        <w:numPr>
          <w:ilvl w:val="0"/>
          <w:numId w:val="2"/>
        </w:numPr>
        <w:spacing w:after="60" w:line="276"/>
      </w:pPr>
      <w:r>
        <w:rPr>
          <w:rFonts w:ascii="Montserrat" w:cs="Montserrat" w:eastAsia="Montserrat" w:hAnsi="Montserrat"/>
          <w:color w:val="242724"/>
          <w:sz w:val="20"/>
          <w:szCs w:val="20"/>
        </w:rPr>
        <w:t xml:space="preserve">Group Revenue Reveal (2 days) — depends on existing Account fields</w:t>
      </w:r>
    </w:p>
    <w:p>
      <w:pPr>
        <w:pStyle w:val="ListParagraph"/>
        <w:numPr>
          <w:ilvl w:val="0"/>
          <w:numId w:val="2"/>
        </w:numPr>
        <w:spacing w:after="60" w:line="276"/>
      </w:pPr>
      <w:r>
        <w:rPr>
          <w:rFonts w:ascii="Montserrat" w:cs="Montserrat" w:eastAsia="Montserrat" w:hAnsi="Montserrat"/>
          <w:color w:val="242724"/>
          <w:sz w:val="20"/>
          <w:szCs w:val="20"/>
        </w:rPr>
        <w:t xml:space="preserve">Account page enhancement (1 day) — depends on all three components above</w:t>
      </w:r>
    </w:p>
    <w:p>
      <w:pPr>
        <w:pStyle w:val="Heading2"/>
        <w:spacing w:before="280" w:after="160"/>
      </w:pPr>
      <w:r>
        <w:rPr>
          <w:rFonts w:ascii="Montserrat" w:cs="Montserrat" w:eastAsia="Montserrat" w:hAnsi="Montserrat"/>
          <w:b/>
          <w:bCs/>
          <w:color w:val="00558C"/>
          <w:sz w:val="24"/>
          <w:szCs w:val="24"/>
        </w:rPr>
        <w:t xml:space="preserve">5.2 Phase 2 Detail: External Enrichment</w:t>
      </w:r>
    </w:p>
    <w:p>
      <w:pPr>
        <w:spacing w:after="120" w:line="276"/>
      </w:pPr>
      <w:r>
        <w:rPr>
          <w:rFonts w:ascii="Montserrat" w:cs="Montserrat" w:eastAsia="Montserrat" w:hAnsi="Montserrat"/>
          <w:color w:val="242724"/>
          <w:sz w:val="20"/>
          <w:szCs w:val="20"/>
        </w:rPr>
        <w:t xml:space="preserve">Breaks the GIGO problem. External data flowing through the full pipeline.</w:t>
      </w:r>
    </w:p>
    <w:p>
      <w:pPr>
        <w:pStyle w:val="ListParagraph"/>
        <w:numPr>
          <w:ilvl w:val="0"/>
          <w:numId w:val="2"/>
        </w:numPr>
        <w:spacing w:after="60" w:line="276"/>
      </w:pPr>
      <w:r>
        <w:rPr>
          <w:rFonts w:ascii="Montserrat" w:cs="Montserrat" w:eastAsia="Montserrat" w:hAnsi="Montserrat"/>
          <w:color w:val="242724"/>
          <w:sz w:val="20"/>
          <w:szCs w:val="20"/>
        </w:rPr>
        <w:t xml:space="preserve">SEC PH connector (3 days) and OpenCorporates connector (2 days) can run in parallel</w:t>
      </w:r>
    </w:p>
    <w:p>
      <w:pPr>
        <w:pStyle w:val="ListParagraph"/>
        <w:numPr>
          <w:ilvl w:val="0"/>
          <w:numId w:val="2"/>
        </w:numPr>
        <w:spacing w:after="60" w:line="276"/>
      </w:pPr>
      <w:r>
        <w:rPr>
          <w:rFonts w:ascii="Montserrat" w:cs="Montserrat" w:eastAsia="Montserrat" w:hAnsi="Montserrat"/>
          <w:color w:val="242724"/>
          <w:sz w:val="20"/>
          <w:szCs w:val="20"/>
        </w:rPr>
        <w:t xml:space="preserve">PSE EDGE connector (4 days) — more complex due to PDF extraction</w:t>
      </w:r>
    </w:p>
    <w:p>
      <w:pPr>
        <w:pStyle w:val="ListParagraph"/>
        <w:numPr>
          <w:ilvl w:val="0"/>
          <w:numId w:val="2"/>
        </w:numPr>
        <w:spacing w:after="60" w:line="276"/>
      </w:pPr>
      <w:r>
        <w:rPr>
          <w:rFonts w:ascii="Montserrat" w:cs="Montserrat" w:eastAsia="Montserrat" w:hAnsi="Montserrat"/>
          <w:color w:val="242724"/>
          <w:sz w:val="20"/>
          <w:szCs w:val="20"/>
        </w:rPr>
        <w:t xml:space="preserve">External silver views (3 days) — depends on all connectors</w:t>
      </w:r>
    </w:p>
    <w:p>
      <w:pPr>
        <w:pStyle w:val="ListParagraph"/>
        <w:numPr>
          <w:ilvl w:val="0"/>
          <w:numId w:val="2"/>
        </w:numPr>
        <w:spacing w:after="60" w:line="276"/>
      </w:pPr>
      <w:r>
        <w:rPr>
          <w:rFonts w:ascii="Montserrat" w:cs="Montserrat" w:eastAsia="Montserrat" w:hAnsi="Montserrat"/>
          <w:color w:val="242724"/>
          <w:sz w:val="20"/>
          <w:szCs w:val="20"/>
        </w:rPr>
        <w:t xml:space="preserve">Gold export extension (2 days) — depends on silver views</w:t>
      </w:r>
    </w:p>
    <w:p>
      <w:pPr>
        <w:pStyle w:val="ListParagraph"/>
        <w:numPr>
          <w:ilvl w:val="0"/>
          <w:numId w:val="2"/>
        </w:numPr>
        <w:spacing w:after="60" w:line="276"/>
      </w:pPr>
      <w:r>
        <w:rPr>
          <w:rFonts w:ascii="Montserrat" w:cs="Montserrat" w:eastAsia="Montserrat" w:hAnsi="Montserrat"/>
          <w:color w:val="242724"/>
          <w:sz w:val="20"/>
          <w:szCs w:val="20"/>
        </w:rPr>
        <w:t xml:space="preserve">Contract, DC schema, and SF field extensions (3 days) — depends on gold export</w:t>
      </w:r>
    </w:p>
    <w:p>
      <w:pPr>
        <w:pStyle w:val="Heading2"/>
        <w:spacing w:before="280" w:after="160"/>
      </w:pPr>
      <w:r>
        <w:rPr>
          <w:rFonts w:ascii="Montserrat" w:cs="Montserrat" w:eastAsia="Montserrat" w:hAnsi="Montserrat"/>
          <w:b/>
          <w:bCs/>
          <w:color w:val="00558C"/>
          <w:sz w:val="24"/>
          <w:szCs w:val="24"/>
        </w:rPr>
        <w:t xml:space="preserve">5.3 Phase 3 Detail: Gen AI Pipeline</w:t>
      </w:r>
    </w:p>
    <w:p>
      <w:pPr>
        <w:spacing w:after="120" w:line="276"/>
      </w:pPr>
      <w:r>
        <w:rPr>
          <w:rFonts w:ascii="Montserrat" w:cs="Montserrat" w:eastAsia="Montserrat" w:hAnsi="Montserrat"/>
          <w:color w:val="242724"/>
          <w:sz w:val="20"/>
          <w:szCs w:val="20"/>
        </w:rPr>
        <w:t xml:space="preserve">Transforms static scores into intelligence. Narratives, recommendations, structured extraction.</w:t>
      </w:r>
    </w:p>
    <w:p>
      <w:pPr>
        <w:pStyle w:val="ListParagraph"/>
        <w:numPr>
          <w:ilvl w:val="0"/>
          <w:numId w:val="2"/>
        </w:numPr>
        <w:spacing w:after="60" w:line="276"/>
      </w:pPr>
      <w:r>
        <w:rPr>
          <w:rFonts w:ascii="Montserrat" w:cs="Montserrat" w:eastAsia="Montserrat" w:hAnsi="Montserrat"/>
          <w:color w:val="242724"/>
          <w:sz w:val="20"/>
          <w:szCs w:val="20"/>
        </w:rPr>
        <w:t xml:space="preserve">Structured extraction agent (3 days) — depends on external data availability</w:t>
      </w:r>
    </w:p>
    <w:p>
      <w:pPr>
        <w:pStyle w:val="ListParagraph"/>
        <w:numPr>
          <w:ilvl w:val="0"/>
          <w:numId w:val="2"/>
        </w:numPr>
        <w:spacing w:after="60" w:line="276"/>
      </w:pPr>
      <w:r>
        <w:rPr>
          <w:rFonts w:ascii="Montserrat" w:cs="Montserrat" w:eastAsia="Montserrat" w:hAnsi="Montserrat"/>
          <w:color w:val="242724"/>
          <w:sz w:val="20"/>
          <w:szCs w:val="20"/>
        </w:rPr>
        <w:t xml:space="preserve">Account narrative generator (2 days) — depends on gold schema extension</w:t>
      </w:r>
    </w:p>
    <w:p>
      <w:pPr>
        <w:pStyle w:val="ListParagraph"/>
        <w:numPr>
          <w:ilvl w:val="0"/>
          <w:numId w:val="2"/>
        </w:numPr>
        <w:spacing w:after="60" w:line="276"/>
      </w:pPr>
      <w:r>
        <w:rPr>
          <w:rFonts w:ascii="Montserrat" w:cs="Montserrat" w:eastAsia="Montserrat" w:hAnsi="Montserrat"/>
          <w:color w:val="242724"/>
          <w:sz w:val="20"/>
          <w:szCs w:val="20"/>
        </w:rPr>
        <w:t xml:space="preserve">Next best actions generator (2 days) — depends on narrative generator</w:t>
      </w:r>
    </w:p>
    <w:p>
      <w:pPr>
        <w:pStyle w:val="ListParagraph"/>
        <w:numPr>
          <w:ilvl w:val="0"/>
          <w:numId w:val="2"/>
        </w:numPr>
        <w:spacing w:after="60" w:line="276"/>
      </w:pPr>
      <w:r>
        <w:rPr>
          <w:rFonts w:ascii="Montserrat" w:cs="Montserrat" w:eastAsia="Montserrat" w:hAnsi="Montserrat"/>
          <w:color w:val="242724"/>
          <w:sz w:val="20"/>
          <w:szCs w:val="20"/>
        </w:rPr>
        <w:t xml:space="preserve">Gen AI orchestration job (2 days) — depends on all three generators</w:t>
      </w:r>
    </w:p>
    <w:p>
      <w:pPr>
        <w:pStyle w:val="ListParagraph"/>
        <w:numPr>
          <w:ilvl w:val="0"/>
          <w:numId w:val="2"/>
        </w:numPr>
        <w:spacing w:after="60" w:line="276"/>
      </w:pPr>
      <w:r>
        <w:rPr>
          <w:rFonts w:ascii="Montserrat" w:cs="Montserrat" w:eastAsia="Montserrat" w:hAnsi="Montserrat"/>
          <w:color w:val="242724"/>
          <w:sz w:val="20"/>
          <w:szCs w:val="20"/>
        </w:rPr>
        <w:t xml:space="preserve">Regulatory readiness insight (1 day) — depends on DC schema extension</w:t>
      </w:r>
    </w:p>
    <w:p>
      <w:pPr>
        <w:pStyle w:val="Heading2"/>
        <w:spacing w:before="280" w:after="160"/>
      </w:pPr>
      <w:r>
        <w:rPr>
          <w:rFonts w:ascii="Montserrat" w:cs="Montserrat" w:eastAsia="Montserrat" w:hAnsi="Montserrat"/>
          <w:b/>
          <w:bCs/>
          <w:color w:val="00558C"/>
          <w:sz w:val="24"/>
          <w:szCs w:val="24"/>
        </w:rPr>
        <w:t xml:space="preserve">5.4 Phase 4 Detail: Enhancement and Continuous Loop</w:t>
      </w:r>
    </w:p>
    <w:p>
      <w:pPr>
        <w:spacing w:after="120" w:line="276"/>
      </w:pPr>
      <w:r>
        <w:rPr>
          <w:rFonts w:ascii="Montserrat" w:cs="Montserrat" w:eastAsia="Montserrat" w:hAnsi="Montserrat"/>
          <w:color w:val="242724"/>
          <w:sz w:val="20"/>
          <w:szCs w:val="20"/>
        </w:rPr>
        <w:t xml:space="preserve">Full demo story with Philippine context plus ongoing value mechanism.</w:t>
      </w:r>
    </w:p>
    <w:p>
      <w:pPr>
        <w:pStyle w:val="ListParagraph"/>
        <w:numPr>
          <w:ilvl w:val="0"/>
          <w:numId w:val="2"/>
        </w:numPr>
        <w:spacing w:after="60" w:line="276"/>
      </w:pPr>
      <w:r>
        <w:rPr>
          <w:rFonts w:ascii="Montserrat" w:cs="Montserrat" w:eastAsia="Montserrat" w:hAnsi="Montserrat"/>
          <w:color w:val="242724"/>
          <w:sz w:val="20"/>
          <w:szCs w:val="20"/>
        </w:rPr>
        <w:t xml:space="preserve">Governance LWC enhancement (1 day) and Governance enrichment action (2 days)</w:t>
      </w:r>
    </w:p>
    <w:p>
      <w:pPr>
        <w:pStyle w:val="ListParagraph"/>
        <w:numPr>
          <w:ilvl w:val="0"/>
          <w:numId w:val="2"/>
        </w:numPr>
        <w:spacing w:after="60" w:line="276"/>
      </w:pPr>
      <w:r>
        <w:rPr>
          <w:rFonts w:ascii="Montserrat" w:cs="Montserrat" w:eastAsia="Montserrat" w:hAnsi="Montserrat"/>
          <w:color w:val="242724"/>
          <w:sz w:val="20"/>
          <w:szCs w:val="20"/>
        </w:rPr>
        <w:t xml:space="preserve">Philippine demo data (3 days) — depends on Gen AI outputs</w:t>
      </w:r>
    </w:p>
    <w:p>
      <w:pPr>
        <w:pStyle w:val="ListParagraph"/>
        <w:numPr>
          <w:ilvl w:val="0"/>
          <w:numId w:val="2"/>
        </w:numPr>
        <w:spacing w:after="60" w:line="276"/>
      </w:pPr>
      <w:r>
        <w:rPr>
          <w:rFonts w:ascii="Montserrat" w:cs="Montserrat" w:eastAsia="Montserrat" w:hAnsi="Montserrat"/>
          <w:color w:val="242724"/>
          <w:sz w:val="20"/>
          <w:szCs w:val="20"/>
        </w:rPr>
        <w:t xml:space="preserve">Scheduled enrichment cycle (2 days) and signal detection (3 days)</w:t>
      </w:r>
    </w:p>
    <w:p>
      <w:pPr>
        <w:pStyle w:val="ListParagraph"/>
        <w:numPr>
          <w:ilvl w:val="0"/>
          <w:numId w:val="2"/>
        </w:numPr>
        <w:spacing w:after="60" w:line="276"/>
      </w:pPr>
      <w:r>
        <w:rPr>
          <w:rFonts w:ascii="Montserrat" w:cs="Montserrat" w:eastAsia="Montserrat" w:hAnsi="Montserrat"/>
          <w:color w:val="242724"/>
          <w:sz w:val="20"/>
          <w:szCs w:val="20"/>
        </w:rPr>
        <w:t xml:space="preserve">Validation extensions (2 days) and milestone language update (0.5 days)</w:t>
      </w:r>
    </w:p>
    <w:p>
      <w:r>
        <w:br w:type="page"/>
      </w:r>
    </w:p>
    <w:p>
      <w:pPr>
        <w:pStyle w:val="Heading1"/>
        <w:spacing w:before="360" w:after="200"/>
      </w:pPr>
      <w:r>
        <w:rPr>
          <w:rFonts w:ascii="Montserrat" w:cs="Montserrat" w:eastAsia="Montserrat" w:hAnsi="Montserrat"/>
          <w:b/>
          <w:bCs/>
          <w:color w:val="00558C"/>
          <w:sz w:val="28"/>
          <w:szCs w:val="28"/>
        </w:rPr>
        <w:t xml:space="preserve">6. Architecture Decisions Resolved</w:t>
      </w:r>
    </w:p>
    <w:p>
      <w:pPr>
        <w:spacing w:after="120" w:line="276"/>
      </w:pPr>
      <w:r>
        <w:rPr>
          <w:rFonts w:ascii="Montserrat" w:cs="Montserrat" w:eastAsia="Montserrat" w:hAnsi="Montserrat"/>
          <w:color w:val="242724"/>
          <w:sz w:val="20"/>
          <w:szCs w:val="20"/>
        </w:rPr>
        <w:t xml:space="preserve">This specification resolves the five open review questions from the original design document:</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c>
          <w:tcPr>
            <w:tcW w:type="dxa" w:w="400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Question</w:t>
            </w:r>
          </w:p>
        </w:tc>
        <w:tc>
          <w:tcPr>
            <w:tcW w:type="dxa" w:w="584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Decision</w:t>
            </w:r>
          </w:p>
        </w:tc>
      </w:tr>
      <w:tr>
        <w:tc>
          <w:tcPr>
            <w:tcW w:type="dxa" w:w="40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Should Copy Field Enrichment be the official CRM realisation pattern?</w:t>
            </w:r>
          </w:p>
        </w:tc>
        <w:tc>
          <w:tcPr>
            <w:tcW w:type="dxa" w:w="584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Yes. Proven mechanism. All new fields use the same path.</w:t>
            </w:r>
          </w:p>
        </w:tc>
      </w:tr>
      <w:tr>
        <w:tc>
          <w:tcPr>
            <w:tcW w:type="dxa" w:w="4000"/>
            <w:tcBorders>
              <w:top w:val="single" w:color="C1C6C8" w:sz="1"/>
              <w:left w:val="single" w:color="C1C6C8" w:sz="1"/>
              <w:bottom w:val="single" w:color="C1C6C8" w:sz="1"/>
              <w:right w:val="single" w:color="C1C6C8" w:sz="1"/>
            </w:tcBorders>
            <w:shd w:fill="F4F6F7" w:val="clear"/>
            <w:tcMar>
              <w:top w:type="dxa" w:w="60"/>
              <w:left w:type="dxa" w:w="120"/>
              <w:bottom w:type="dxa" w:w="60"/>
              <w:right w:type="dxa" w:w="120"/>
            </w:tcMar>
          </w:tcPr>
          <w:p>
            <w:r>
              <w:rPr>
                <w:rFonts w:ascii="Montserrat" w:cs="Montserrat" w:eastAsia="Montserrat" w:hAnsi="Montserrat"/>
                <w:color w:val="242724"/>
                <w:sz w:val="18"/>
                <w:szCs w:val="18"/>
              </w:rPr>
              <w:t xml:space="preserve">Should ActivationTarget be documented as non-primary?</w:t>
            </w:r>
          </w:p>
        </w:tc>
        <w:tc>
          <w:tcPr>
            <w:tcW w:type="dxa" w:w="5840"/>
            <w:tcBorders>
              <w:top w:val="single" w:color="C1C6C8" w:sz="1"/>
              <w:left w:val="single" w:color="C1C6C8" w:sz="1"/>
              <w:bottom w:val="single" w:color="C1C6C8" w:sz="1"/>
              <w:right w:val="single" w:color="C1C6C8" w:sz="1"/>
            </w:tcBorders>
            <w:shd w:fill="F4F6F7" w:val="clear"/>
            <w:tcMar>
              <w:top w:type="dxa" w:w="60"/>
              <w:left w:type="dxa" w:w="120"/>
              <w:bottom w:type="dxa" w:w="60"/>
              <w:right w:type="dxa" w:w="120"/>
            </w:tcMar>
          </w:tcPr>
          <w:p>
            <w:r>
              <w:rPr>
                <w:rFonts w:ascii="Montserrat" w:cs="Montserrat" w:eastAsia="Montserrat" w:hAnsi="Montserrat"/>
                <w:b/>
                <w:bCs/>
                <w:color w:val="00558C"/>
                <w:sz w:val="18"/>
                <w:szCs w:val="18"/>
              </w:rPr>
              <w:t xml:space="preserve">Yes. Document as investigated, not implemented. Remove from acceptance criteria.</w:t>
            </w:r>
          </w:p>
        </w:tc>
      </w:tr>
      <w:tr>
        <w:tc>
          <w:tcPr>
            <w:tcW w:type="dxa" w:w="40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Is the current field set the right Account 360 surface?</w:t>
            </w:r>
          </w:p>
        </w:tc>
        <w:tc>
          <w:tcPr>
            <w:tcW w:type="dxa" w:w="584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No. Extend with AI narrative, recommended actions, external validation, regulatory readiness, and group revenue reveal.</w:t>
            </w:r>
          </w:p>
        </w:tc>
      </w:tr>
      <w:tr>
        <w:tc>
          <w:tcPr>
            <w:tcW w:type="dxa" w:w="4000"/>
            <w:tcBorders>
              <w:top w:val="single" w:color="C1C6C8" w:sz="1"/>
              <w:left w:val="single" w:color="C1C6C8" w:sz="1"/>
              <w:bottom w:val="single" w:color="C1C6C8" w:sz="1"/>
              <w:right w:val="single" w:color="C1C6C8" w:sz="1"/>
            </w:tcBorders>
            <w:shd w:fill="F4F6F7" w:val="clear"/>
            <w:tcMar>
              <w:top w:type="dxa" w:w="60"/>
              <w:left w:type="dxa" w:w="120"/>
              <w:bottom w:type="dxa" w:w="60"/>
              <w:right w:type="dxa" w:w="120"/>
            </w:tcMar>
          </w:tcPr>
          <w:p>
            <w:r>
              <w:rPr>
                <w:rFonts w:ascii="Montserrat" w:cs="Montserrat" w:eastAsia="Montserrat" w:hAnsi="Montserrat"/>
                <w:color w:val="242724"/>
                <w:sz w:val="18"/>
                <w:szCs w:val="18"/>
              </w:rPr>
              <w:t xml:space="preserve">Should the architecture separate CRM fields from richer surfaces?</w:t>
            </w:r>
          </w:p>
        </w:tc>
        <w:tc>
          <w:tcPr>
            <w:tcW w:type="dxa" w:w="5840"/>
            <w:tcBorders>
              <w:top w:val="single" w:color="C1C6C8" w:sz="1"/>
              <w:left w:val="single" w:color="C1C6C8" w:sz="1"/>
              <w:bottom w:val="single" w:color="C1C6C8" w:sz="1"/>
              <w:right w:val="single" w:color="C1C6C8" w:sz="1"/>
            </w:tcBorders>
            <w:shd w:fill="F4F6F7" w:val="clear"/>
            <w:tcMar>
              <w:top w:type="dxa" w:w="60"/>
              <w:left w:type="dxa" w:w="120"/>
              <w:bottom w:type="dxa" w:w="60"/>
              <w:right w:type="dxa" w:w="120"/>
            </w:tcMar>
          </w:tcPr>
          <w:p>
            <w:r>
              <w:rPr>
                <w:rFonts w:ascii="Montserrat" w:cs="Montserrat" w:eastAsia="Montserrat" w:hAnsi="Montserrat"/>
                <w:b/>
                <w:bCs/>
                <w:color w:val="00558C"/>
                <w:sz w:val="18"/>
                <w:szCs w:val="18"/>
              </w:rPr>
              <w:t xml:space="preserve">Yes. Copy Field Enrichment handles scalar fields. Agentforce actions and LWCs handle richer context. Two channels, one account model.</w:t>
            </w:r>
          </w:p>
        </w:tc>
      </w:tr>
      <w:tr>
        <w:tc>
          <w:tcPr>
            <w:tcW w:type="dxa" w:w="400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Should more org-validated surfaces be brought into repo metadata?</w:t>
            </w:r>
          </w:p>
        </w:tc>
        <w:tc>
          <w:tcPr>
            <w:tcW w:type="dxa" w:w="584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b/>
                <w:bCs/>
                <w:color w:val="00558C"/>
                <w:sz w:val="18"/>
                <w:szCs w:val="18"/>
              </w:rPr>
              <w:t xml:space="preserve">Yes. All new LWCs and Agentforce actions must be source-backed from day one.</w:t>
            </w:r>
          </w:p>
        </w:tc>
      </w:tr>
    </w:tbl>
    <w:p>
      <w:pPr>
        <w:spacing w:after="200"/>
      </w:pPr>
    </w:p>
    <w:p>
      <w:pPr>
        <w:pStyle w:val="Heading1"/>
        <w:spacing w:before="360" w:after="200"/>
      </w:pPr>
      <w:r>
        <w:rPr>
          <w:rFonts w:ascii="Montserrat" w:cs="Montserrat" w:eastAsia="Montserrat" w:hAnsi="Montserrat"/>
          <w:b/>
          <w:bCs/>
          <w:color w:val="00558C"/>
          <w:sz w:val="28"/>
          <w:szCs w:val="28"/>
        </w:rPr>
        <w:t xml:space="preserve">7. Commercial Implications</w:t>
      </w:r>
    </w:p>
    <w:p>
      <w:pPr>
        <w:spacing w:after="120" w:line="276"/>
      </w:pPr>
      <w:r>
        <w:rPr>
          <w:rFonts w:ascii="Montserrat" w:cs="Montserrat" w:eastAsia="Montserrat" w:hAnsi="Montserrat"/>
          <w:color w:val="242724"/>
          <w:sz w:val="20"/>
          <w:szCs w:val="20"/>
        </w:rPr>
        <w:t xml:space="preserve">The north star changes the commercial story fundamentally:</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Current Prototype Sells</w:t>
            </w:r>
          </w:p>
        </w:tc>
        <w:tc>
          <w:tcPr>
            <w:tcW w:type="dxa" w:w="4920"/>
            <w:tcBorders>
              <w:top w:val="single" w:color="C1C6C8" w:sz="1"/>
              <w:left w:val="single" w:color="C1C6C8" w:sz="1"/>
              <w:bottom w:val="single" w:color="C1C6C8" w:sz="1"/>
              <w:right w:val="single" w:color="C1C6C8" w:sz="1"/>
            </w:tcBorders>
            <w:shd w:fill="00558C" w:val="clear"/>
            <w:tcMar>
              <w:top w:type="dxa" w:w="80"/>
              <w:left w:type="dxa" w:w="120"/>
              <w:bottom w:type="dxa" w:w="80"/>
              <w:right w:type="dxa" w:w="120"/>
            </w:tcMar>
          </w:tcPr>
          <w:p>
            <w:r>
              <w:rPr>
                <w:rFonts w:ascii="Montserrat" w:cs="Montserrat" w:eastAsia="Montserrat" w:hAnsi="Montserrat"/>
                <w:b/>
                <w:bCs/>
                <w:color w:val="FFFFFF"/>
                <w:sz w:val="18"/>
                <w:szCs w:val="18"/>
              </w:rPr>
              <w:t xml:space="preserve">North Star Sells</w:t>
            </w:r>
          </w:p>
        </w:tc>
      </w:tr>
      <w:tr>
        <w:tc>
          <w:tcPr>
            <w:tcW w:type="dxa" w:w="492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A Salesforce + Databricks + Data Cloud implementation project</w:t>
            </w:r>
          </w:p>
        </w:tc>
        <w:tc>
          <w:tcPr>
            <w:tcW w:type="dxa" w:w="492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An account intelligence capability the client cannot easily replicate</w:t>
            </w:r>
          </w:p>
        </w:tc>
      </w:tr>
      <w:tr>
        <w:tc>
          <w:tcPr>
            <w:tcW w:type="dxa" w:w="4920"/>
            <w:tcBorders>
              <w:top w:val="single" w:color="C1C6C8" w:sz="1"/>
              <w:left w:val="single" w:color="C1C6C8" w:sz="1"/>
              <w:bottom w:val="single" w:color="C1C6C8" w:sz="1"/>
              <w:right w:val="single" w:color="C1C6C8" w:sz="1"/>
            </w:tcBorders>
            <w:shd w:fill="F4F6F7" w:val="clear"/>
            <w:tcMar>
              <w:top w:type="dxa" w:w="60"/>
              <w:left w:type="dxa" w:w="120"/>
              <w:bottom w:type="dxa" w:w="60"/>
              <w:right w:type="dxa" w:w="120"/>
            </w:tcMar>
          </w:tcPr>
          <w:p>
            <w:r>
              <w:rPr>
                <w:rFonts w:ascii="Montserrat" w:cs="Montserrat" w:eastAsia="Montserrat" w:hAnsi="Montserrat"/>
                <w:color w:val="242724"/>
                <w:sz w:val="18"/>
                <w:szCs w:val="18"/>
              </w:rPr>
              <w:t xml:space="preserve">~30 days of build, fixed deliverable, done</w:t>
            </w:r>
          </w:p>
        </w:tc>
        <w:tc>
          <w:tcPr>
            <w:tcW w:type="dxa" w:w="4920"/>
            <w:tcBorders>
              <w:top w:val="single" w:color="C1C6C8" w:sz="1"/>
              <w:left w:val="single" w:color="C1C6C8" w:sz="1"/>
              <w:bottom w:val="single" w:color="C1C6C8" w:sz="1"/>
              <w:right w:val="single" w:color="C1C6C8" w:sz="1"/>
            </w:tcBorders>
            <w:shd w:fill="F4F6F7" w:val="clear"/>
            <w:tcMar>
              <w:top w:type="dxa" w:w="60"/>
              <w:left w:type="dxa" w:w="120"/>
              <w:bottom w:type="dxa" w:w="60"/>
              <w:right w:type="dxa" w:w="120"/>
            </w:tcMar>
          </w:tcPr>
          <w:p>
            <w:r>
              <w:rPr>
                <w:rFonts w:ascii="Montserrat" w:cs="Montserrat" w:eastAsia="Montserrat" w:hAnsi="Montserrat"/>
                <w:color w:val="242724"/>
                <w:sz w:val="18"/>
                <w:szCs w:val="18"/>
              </w:rPr>
              <w:t xml:space="preserve">A platform engagement with compounding value over time</w:t>
            </w:r>
          </w:p>
        </w:tc>
      </w:tr>
      <w:tr>
        <w:tc>
          <w:tcPr>
            <w:tcW w:type="dxa" w:w="492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Data quality improvement (necessary but commodity)</w:t>
            </w:r>
          </w:p>
        </w:tc>
        <w:tc>
          <w:tcPr>
            <w:tcW w:type="dxa" w:w="4920"/>
            <w:tcBorders>
              <w:top w:val="single" w:color="C1C6C8" w:sz="1"/>
              <w:left w:val="single" w:color="C1C6C8" w:sz="1"/>
              <w:bottom w:val="single" w:color="C1C6C8" w:sz="1"/>
              <w:right w:val="single" w:color="C1C6C8" w:sz="1"/>
            </w:tcBorders>
            <w:shd w:fill="FFFFFF" w:val="clear"/>
            <w:tcMar>
              <w:top w:type="dxa" w:w="60"/>
              <w:left w:type="dxa" w:w="120"/>
              <w:bottom w:type="dxa" w:w="60"/>
              <w:right w:type="dxa" w:w="120"/>
            </w:tcMar>
          </w:tcPr>
          <w:p>
            <w:r>
              <w:rPr>
                <w:rFonts w:ascii="Montserrat" w:cs="Montserrat" w:eastAsia="Montserrat" w:hAnsi="Montserrat"/>
                <w:color w:val="242724"/>
                <w:sz w:val="18"/>
                <w:szCs w:val="18"/>
              </w:rPr>
              <w:t xml:space="preserve">Revenue discovery + regulatory readiness + AI ROI recovery</w:t>
            </w:r>
          </w:p>
        </w:tc>
      </w:tr>
      <w:tr>
        <w:tc>
          <w:tcPr>
            <w:tcW w:type="dxa" w:w="4920"/>
            <w:tcBorders>
              <w:top w:val="single" w:color="C1C6C8" w:sz="1"/>
              <w:left w:val="single" w:color="C1C6C8" w:sz="1"/>
              <w:bottom w:val="single" w:color="C1C6C8" w:sz="1"/>
              <w:right w:val="single" w:color="C1C6C8" w:sz="1"/>
            </w:tcBorders>
            <w:shd w:fill="F4F6F7" w:val="clear"/>
            <w:tcMar>
              <w:top w:type="dxa" w:w="60"/>
              <w:left w:type="dxa" w:w="120"/>
              <w:bottom w:type="dxa" w:w="60"/>
              <w:right w:type="dxa" w:w="120"/>
            </w:tcMar>
          </w:tcPr>
          <w:p>
            <w:r>
              <w:rPr>
                <w:rFonts w:ascii="Montserrat" w:cs="Montserrat" w:eastAsia="Montserrat" w:hAnsi="Montserrat"/>
                <w:color w:val="242724"/>
                <w:sz w:val="18"/>
                <w:szCs w:val="18"/>
              </w:rPr>
              <w:t xml:space="preserve">Competitive with any Salesforce SI</w:t>
            </w:r>
          </w:p>
        </w:tc>
        <w:tc>
          <w:tcPr>
            <w:tcW w:type="dxa" w:w="4920"/>
            <w:tcBorders>
              <w:top w:val="single" w:color="C1C6C8" w:sz="1"/>
              <w:left w:val="single" w:color="C1C6C8" w:sz="1"/>
              <w:bottom w:val="single" w:color="C1C6C8" w:sz="1"/>
              <w:right w:val="single" w:color="C1C6C8" w:sz="1"/>
            </w:tcBorders>
            <w:shd w:fill="F4F6F7" w:val="clear"/>
            <w:tcMar>
              <w:top w:type="dxa" w:w="60"/>
              <w:left w:type="dxa" w:w="120"/>
              <w:bottom w:type="dxa" w:w="60"/>
              <w:right w:type="dxa" w:w="120"/>
            </w:tcMar>
          </w:tcPr>
          <w:p>
            <w:r>
              <w:rPr>
                <w:rFonts w:ascii="Montserrat" w:cs="Montserrat" w:eastAsia="Montserrat" w:hAnsi="Montserrat"/>
                <w:color w:val="242724"/>
                <w:sz w:val="18"/>
                <w:szCs w:val="18"/>
              </w:rPr>
              <w:t xml:space="preserve">Differentiated by external enrichment, Gen AI reasoning, and contract-first architecture</w:t>
            </w:r>
          </w:p>
        </w:tc>
      </w:tr>
    </w:tbl>
    <w:p>
      <w:pPr>
        <w:spacing w:after="200"/>
      </w:pPr>
    </w:p>
    <w:p>
      <w:pPr>
        <w:pBdr>
          <w:top w:val="single" w:color="00558C" w:sz="4" w:space="12"/>
        </w:pBdr>
        <w:spacing w:before="200"/>
      </w:pPr>
      <w:r>
        <w:rPr>
          <w:rFonts w:ascii="Montserrat" w:cs="Montserrat" w:eastAsia="Montserrat" w:hAnsi="Montserrat"/>
          <w:color w:val="C1C6C8"/>
          <w:sz w:val="16"/>
          <w:szCs w:val="16"/>
        </w:rPr>
        <w:t xml:space="preserve">© 2026 Huron Consulting Group Inc. and affiliates.</w:t>
      </w:r>
    </w:p>
    <w:sectPr>
      <w:headerReference w:type="default" r:id="rId7"/>
      <w:footerReference w:type="default" r:id="rId8"/>
      <w:pgSz w:w="12240" w:h="15840" w:orient="portrait"/>
      <w:pgMar w:top="1200" w:right="1200" w:bottom="10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C6C8" w:sz="2" w:space="6"/>
      </w:pBdr>
      <w:jc w:val="center"/>
    </w:pPr>
    <w:r>
      <w:rPr>
        <w:rFonts w:ascii="Montserrat" w:cs="Montserrat" w:eastAsia="Montserrat" w:hAnsi="Montserrat"/>
        <w:color w:val="C1C6C8"/>
        <w:sz w:val="14"/>
        <w:szCs w:val="14"/>
      </w:rPr>
      <w:t xml:space="preserve">Huron ASEAN · Innovation Factory · Confidential · Page </w:t>
    </w:r>
    <w:r>
      <w:rPr>
        <w:rFonts w:ascii="Montserrat" w:cs="Montserrat" w:eastAsia="Montserrat" w:hAnsi="Montserrat"/>
        <w:color w:val="C1C6C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524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4762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58C" w:sz="4" w:space="6"/>
      </w:pBdr>
      <w:spacing w:after="0"/>
      <w:jc w:val="right"/>
    </w:pPr>
    <w:r>
      <w:rPr>
        <w:rFonts w:ascii="Montserrat" w:cs="Montserrat" w:eastAsia="Montserrat" w:hAnsi="Montserrat"/>
        <w:color w:val="C1C6C8"/>
        <w:sz w:val="16"/>
        <w:szCs w:val="16"/>
      </w:rPr>
      <w:t xml:space="preserve">Pulse360 North Star · Solution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ontserrat" w:cs="Montserrat" w:eastAsia="Montserrat" w:hAnsi="Montserrat"/>
      <w:b/>
      <w:bCs/>
      <w:color w:val="00558C"/>
      <w:sz w:val="28"/>
      <w:szCs w:val="28"/>
    </w:rPr>
  </w:style>
  <w:style w:type="paragraph" w:styleId="Heading2">
    <w:name w:val="Heading 2"/>
    <w:basedOn w:val="Normal"/>
    <w:next w:val="Normal"/>
    <w:qFormat/>
    <w:pPr>
      <w:spacing w:before="280" w:after="160"/>
      <w:outlineLvl w:val="1"/>
    </w:pPr>
    <w:rPr>
      <w:rFonts w:ascii="Montserrat" w:cs="Montserrat" w:eastAsia="Montserrat" w:hAnsi="Montserrat"/>
      <w:b/>
      <w:bCs/>
      <w:color w:val="0055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a0ee05056d000fb2eac7f09f199be881189d6a3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99528d2ec773a2cdac3df481ccbefd59edf60b6.jp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2026-03-28T09:56:26.840Z</dcterms:created>
  <dcterms:modified xsi:type="dcterms:W3CDTF">2026-03-28T09:56:26.840Z</dcterms:modified>
</cp:coreProperties>
</file>

<file path=docProps/custom.xml><?xml version="1.0" encoding="utf-8"?>
<Properties xmlns="http://schemas.openxmlformats.org/officeDocument/2006/custom-properties" xmlns:vt="http://schemas.openxmlformats.org/officeDocument/2006/docPropsVTypes"/>
</file>