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1D1AFDFB" w14:textId="77777777" w:rsidR="00E2089D" w:rsidRPr="00E2089D" w:rsidRDefault="00E2089D" w:rsidP="00E2089D">
      <w:pPr>
        <w:pStyle w:val="Heading2"/>
        <w:rPr>
          <w:color w:val="auto"/>
        </w:rPr>
      </w:pPr>
      <w:r w:rsidRPr="00E2089D">
        <w:rPr>
          <w:rStyle w:val="Strong"/>
          <w:b/>
          <w:bCs/>
          <w:color w:val="auto"/>
        </w:rPr>
        <w:t>1. Summary of Predictive Insights</w:t>
      </w:r>
    </w:p>
    <w:p w14:paraId="2F8E4D71" w14:textId="77777777" w:rsidR="00E2089D" w:rsidRDefault="00E2089D" w:rsidP="00E2089D">
      <w:pPr>
        <w:pStyle w:val="NormalWeb"/>
      </w:pPr>
      <w:r>
        <w:t xml:space="preserve">Our predictive model, trained on customer financial and </w:t>
      </w:r>
      <w:proofErr w:type="spellStart"/>
      <w:r>
        <w:t>behavioral</w:t>
      </w:r>
      <w:proofErr w:type="spellEnd"/>
      <w:r>
        <w:t xml:space="preserve"> data, identifies key risk segments and predictors of credit delinquency. Insights are drawn from Exploratory Data Analysis (Task 1) and Predictive </w:t>
      </w:r>
      <w:proofErr w:type="spellStart"/>
      <w:r>
        <w:t>Modeling</w:t>
      </w:r>
      <w:proofErr w:type="spellEnd"/>
      <w:r>
        <w:t xml:space="preserve"> (Task 2).</w:t>
      </w:r>
    </w:p>
    <w:p w14:paraId="013DB7EE" w14:textId="77777777" w:rsidR="00E2089D" w:rsidRDefault="00E2089D" w:rsidP="00E2089D">
      <w:pPr>
        <w:pStyle w:val="NormalWeb"/>
        <w:numPr>
          <w:ilvl w:val="0"/>
          <w:numId w:val="10"/>
        </w:numPr>
      </w:pPr>
      <w:bookmarkStart w:id="0" w:name="_GoBack"/>
      <w:r>
        <w:rPr>
          <w:rStyle w:val="Strong"/>
        </w:rPr>
        <w:t>Top 3 Risk Factors:</w:t>
      </w:r>
    </w:p>
    <w:bookmarkEnd w:id="0"/>
    <w:p w14:paraId="37C5CAB3" w14:textId="77777777" w:rsidR="00E2089D" w:rsidRDefault="00E2089D" w:rsidP="00E2089D">
      <w:pPr>
        <w:pStyle w:val="NormalWeb"/>
        <w:numPr>
          <w:ilvl w:val="1"/>
          <w:numId w:val="10"/>
        </w:numPr>
      </w:pPr>
      <w:r>
        <w:rPr>
          <w:rStyle w:val="Strong"/>
        </w:rPr>
        <w:t>High Credit Utilization (&gt; 65%)</w:t>
      </w:r>
      <w:r>
        <w:t xml:space="preserve"> – Customers over-leveraging credit limits show higher likelihood of missed payments and eventual delinquency.</w:t>
      </w:r>
    </w:p>
    <w:p w14:paraId="39FE196F" w14:textId="77777777" w:rsidR="00E2089D" w:rsidRDefault="00E2089D" w:rsidP="00E2089D">
      <w:pPr>
        <w:pStyle w:val="NormalWeb"/>
        <w:numPr>
          <w:ilvl w:val="1"/>
          <w:numId w:val="10"/>
        </w:numPr>
      </w:pPr>
      <w:r>
        <w:rPr>
          <w:rStyle w:val="Strong"/>
        </w:rPr>
        <w:t>Low Credit Score (&lt; 400)</w:t>
      </w:r>
      <w:r>
        <w:t xml:space="preserve"> – A key indicator of weak repayment history and elevated credit risk.</w:t>
      </w:r>
    </w:p>
    <w:p w14:paraId="6422858C" w14:textId="77777777" w:rsidR="00E2089D" w:rsidRDefault="00E2089D" w:rsidP="00E2089D">
      <w:pPr>
        <w:pStyle w:val="NormalWeb"/>
        <w:numPr>
          <w:ilvl w:val="1"/>
          <w:numId w:val="10"/>
        </w:numPr>
      </w:pPr>
      <w:r>
        <w:rPr>
          <w:rStyle w:val="Strong"/>
        </w:rPr>
        <w:t>Recent Missed or Late Payments (past 3 months)</w:t>
      </w:r>
      <w:r>
        <w:t xml:space="preserve"> – Strong </w:t>
      </w:r>
      <w:proofErr w:type="spellStart"/>
      <w:r>
        <w:t>behavioral</w:t>
      </w:r>
      <w:proofErr w:type="spellEnd"/>
      <w:r>
        <w:t xml:space="preserve"> predictor of upcoming delinquency.</w:t>
      </w:r>
    </w:p>
    <w:p w14:paraId="1B6A3DFA" w14:textId="77777777" w:rsidR="00E2089D" w:rsidRDefault="00E2089D" w:rsidP="00E2089D">
      <w:pPr>
        <w:pStyle w:val="NormalWeb"/>
        <w:numPr>
          <w:ilvl w:val="0"/>
          <w:numId w:val="10"/>
        </w:numPr>
      </w:pPr>
      <w:r>
        <w:rPr>
          <w:rStyle w:val="Strong"/>
        </w:rPr>
        <w:t>High-Risk Customer Segments:</w:t>
      </w:r>
    </w:p>
    <w:p w14:paraId="55D86BCC" w14:textId="77777777" w:rsidR="00E2089D" w:rsidRDefault="00E2089D" w:rsidP="00E2089D">
      <w:pPr>
        <w:pStyle w:val="NormalWeb"/>
        <w:numPr>
          <w:ilvl w:val="1"/>
          <w:numId w:val="11"/>
        </w:numPr>
      </w:pPr>
      <w:r>
        <w:rPr>
          <w:rStyle w:val="Strong"/>
        </w:rPr>
        <w:t>Unemployed or Self-Employed Customers</w:t>
      </w:r>
      <w:r>
        <w:t xml:space="preserve"> with high debt-to-income ratios.</w:t>
      </w:r>
    </w:p>
    <w:p w14:paraId="6AAC51FD" w14:textId="77777777" w:rsidR="00E2089D" w:rsidRDefault="00E2089D" w:rsidP="00E2089D">
      <w:pPr>
        <w:pStyle w:val="NormalWeb"/>
        <w:numPr>
          <w:ilvl w:val="1"/>
          <w:numId w:val="11"/>
        </w:numPr>
      </w:pPr>
      <w:r>
        <w:t xml:space="preserve">Customers with a </w:t>
      </w:r>
      <w:r>
        <w:rPr>
          <w:rStyle w:val="Strong"/>
        </w:rPr>
        <w:t>Debt-to-Income Ratio &gt; 0.4</w:t>
      </w:r>
      <w:r>
        <w:t xml:space="preserve"> are more likely to struggle with repayment.</w:t>
      </w:r>
    </w:p>
    <w:p w14:paraId="6FD251CA" w14:textId="77777777" w:rsidR="00E2089D" w:rsidRDefault="00E2089D" w:rsidP="00E2089D">
      <w:pPr>
        <w:pStyle w:val="NormalWeb"/>
        <w:numPr>
          <w:ilvl w:val="1"/>
          <w:numId w:val="11"/>
        </w:numPr>
      </w:pPr>
      <w:r>
        <w:t xml:space="preserve">Accounts with </w:t>
      </w:r>
      <w:r>
        <w:rPr>
          <w:rStyle w:val="Strong"/>
        </w:rPr>
        <w:t>tenure &lt; 1 year</w:t>
      </w:r>
      <w:r>
        <w:t xml:space="preserve"> and multiple "Missed" statuses in the last 6 months signal instability.</w:t>
      </w:r>
    </w:p>
    <w:p w14:paraId="7298AE63" w14:textId="77777777" w:rsidR="00E2089D" w:rsidRDefault="00E2089D" w:rsidP="00E2089D">
      <w:r>
        <w:pict w14:anchorId="0808369E">
          <v:rect id="_x0000_i1025" style="width:0;height:1.5pt" o:hralign="center" o:hrstd="t" o:hr="t" fillcolor="#a0a0a0" stroked="f"/>
        </w:pict>
      </w:r>
    </w:p>
    <w:p w14:paraId="6666FD7B" w14:textId="77777777" w:rsidR="00E2089D" w:rsidRPr="00E2089D" w:rsidRDefault="00E2089D" w:rsidP="00E2089D">
      <w:pPr>
        <w:pStyle w:val="Heading3"/>
        <w:rPr>
          <w:color w:val="auto"/>
        </w:rPr>
      </w:pPr>
      <w:r w:rsidRPr="00E2089D">
        <w:rPr>
          <w:rStyle w:val="Strong"/>
          <w:b/>
          <w:bCs/>
          <w:color w:val="auto"/>
        </w:rPr>
        <w:t>Key Insights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923"/>
        <w:gridCol w:w="2833"/>
        <w:gridCol w:w="2091"/>
      </w:tblGrid>
      <w:tr w:rsidR="00E2089D" w14:paraId="20416A86" w14:textId="77777777" w:rsidTr="00E20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738B8" w14:textId="77777777" w:rsidR="00E2089D" w:rsidRDefault="00E208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 Insight</w:t>
            </w:r>
          </w:p>
        </w:tc>
        <w:tc>
          <w:tcPr>
            <w:tcW w:w="0" w:type="auto"/>
            <w:vAlign w:val="center"/>
            <w:hideMark/>
          </w:tcPr>
          <w:p w14:paraId="4DE7A6F0" w14:textId="77777777" w:rsidR="00E2089D" w:rsidRDefault="00E208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Customer Segment</w:t>
            </w:r>
          </w:p>
        </w:tc>
        <w:tc>
          <w:tcPr>
            <w:tcW w:w="0" w:type="auto"/>
            <w:vAlign w:val="center"/>
            <w:hideMark/>
          </w:tcPr>
          <w:p w14:paraId="4AFC1297" w14:textId="77777777" w:rsidR="00E2089D" w:rsidRDefault="00E208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Influencing Variables</w:t>
            </w:r>
          </w:p>
        </w:tc>
        <w:tc>
          <w:tcPr>
            <w:tcW w:w="0" w:type="auto"/>
            <w:vAlign w:val="center"/>
            <w:hideMark/>
          </w:tcPr>
          <w:p w14:paraId="4361F6AF" w14:textId="77777777" w:rsidR="00E2089D" w:rsidRDefault="00E2089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Potential Impact</w:t>
            </w:r>
          </w:p>
        </w:tc>
      </w:tr>
      <w:tr w:rsidR="00E2089D" w14:paraId="4487C0BF" w14:textId="77777777" w:rsidTr="00E2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4D15" w14:textId="77777777" w:rsidR="00E2089D" w:rsidRDefault="00E2089D">
            <w:r>
              <w:t>High Credit Utilization raises risk</w:t>
            </w:r>
          </w:p>
        </w:tc>
        <w:tc>
          <w:tcPr>
            <w:tcW w:w="0" w:type="auto"/>
            <w:vAlign w:val="center"/>
            <w:hideMark/>
          </w:tcPr>
          <w:p w14:paraId="08B9CD2A" w14:textId="77777777" w:rsidR="00E2089D" w:rsidRDefault="00E2089D">
            <w:r>
              <w:t>High spenders nearing limit</w:t>
            </w:r>
          </w:p>
        </w:tc>
        <w:tc>
          <w:tcPr>
            <w:tcW w:w="0" w:type="auto"/>
            <w:vAlign w:val="center"/>
            <w:hideMark/>
          </w:tcPr>
          <w:p w14:paraId="5B007004" w14:textId="77777777" w:rsidR="00E2089D" w:rsidRDefault="00E2089D">
            <w:r>
              <w:t>Credit Utilization, Debt-to-Income Ratio</w:t>
            </w:r>
          </w:p>
        </w:tc>
        <w:tc>
          <w:tcPr>
            <w:tcW w:w="0" w:type="auto"/>
            <w:vAlign w:val="center"/>
            <w:hideMark/>
          </w:tcPr>
          <w:p w14:paraId="3AD6264A" w14:textId="77777777" w:rsidR="00E2089D" w:rsidRDefault="00E2089D">
            <w:r>
              <w:t>Prioritize for credit counseling outreach</w:t>
            </w:r>
          </w:p>
        </w:tc>
      </w:tr>
      <w:tr w:rsidR="00E2089D" w14:paraId="3C9E70E6" w14:textId="77777777" w:rsidTr="00E2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2D64" w14:textId="77777777" w:rsidR="00E2089D" w:rsidRDefault="00E2089D">
            <w:r>
              <w:t>Recent missed payments signal risk</w:t>
            </w:r>
          </w:p>
        </w:tc>
        <w:tc>
          <w:tcPr>
            <w:tcW w:w="0" w:type="auto"/>
            <w:vAlign w:val="center"/>
            <w:hideMark/>
          </w:tcPr>
          <w:p w14:paraId="66AC0C2C" w14:textId="77777777" w:rsidR="00E2089D" w:rsidRDefault="00E2089D">
            <w:r>
              <w:t>New borrowers with erratic payments</w:t>
            </w:r>
          </w:p>
        </w:tc>
        <w:tc>
          <w:tcPr>
            <w:tcW w:w="0" w:type="auto"/>
            <w:vAlign w:val="center"/>
            <w:hideMark/>
          </w:tcPr>
          <w:p w14:paraId="715BF2AF" w14:textId="77777777" w:rsidR="00E2089D" w:rsidRDefault="00E2089D">
            <w:r>
              <w:t xml:space="preserve">Month_1 to Month_6, </w:t>
            </w:r>
            <w:proofErr w:type="spellStart"/>
            <w:r>
              <w:t>Missed_Payments</w:t>
            </w:r>
            <w:proofErr w:type="spellEnd"/>
            <w:r>
              <w:t>, Credit Score</w:t>
            </w:r>
          </w:p>
        </w:tc>
        <w:tc>
          <w:tcPr>
            <w:tcW w:w="0" w:type="auto"/>
            <w:vAlign w:val="center"/>
            <w:hideMark/>
          </w:tcPr>
          <w:p w14:paraId="6F7A29B1" w14:textId="77777777" w:rsidR="00E2089D" w:rsidRDefault="00E2089D">
            <w:r>
              <w:t>Flag for proactive repayment plan offers</w:t>
            </w:r>
          </w:p>
        </w:tc>
      </w:tr>
      <w:tr w:rsidR="00E2089D" w14:paraId="0909E011" w14:textId="77777777" w:rsidTr="00E2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DFC4D" w14:textId="77777777" w:rsidR="00E2089D" w:rsidRDefault="00E2089D">
            <w:r>
              <w:t xml:space="preserve">Low Credit Score </w:t>
            </w:r>
            <w:r>
              <w:lastRenderedPageBreak/>
              <w:t>correlates with risk</w:t>
            </w:r>
          </w:p>
        </w:tc>
        <w:tc>
          <w:tcPr>
            <w:tcW w:w="0" w:type="auto"/>
            <w:vAlign w:val="center"/>
            <w:hideMark/>
          </w:tcPr>
          <w:p w14:paraId="21A4DA29" w14:textId="77777777" w:rsidR="00E2089D" w:rsidRDefault="00E2089D">
            <w:r>
              <w:lastRenderedPageBreak/>
              <w:t xml:space="preserve">Customers under </w:t>
            </w:r>
            <w:r>
              <w:lastRenderedPageBreak/>
              <w:t>30 or self-employed</w:t>
            </w:r>
          </w:p>
        </w:tc>
        <w:tc>
          <w:tcPr>
            <w:tcW w:w="0" w:type="auto"/>
            <w:vAlign w:val="center"/>
            <w:hideMark/>
          </w:tcPr>
          <w:p w14:paraId="4C52159C" w14:textId="77777777" w:rsidR="00E2089D" w:rsidRDefault="00E2089D">
            <w:r>
              <w:lastRenderedPageBreak/>
              <w:t xml:space="preserve">Credit Score, Employment </w:t>
            </w:r>
            <w:r>
              <w:lastRenderedPageBreak/>
              <w:t>Status, Account Tenure</w:t>
            </w:r>
          </w:p>
        </w:tc>
        <w:tc>
          <w:tcPr>
            <w:tcW w:w="0" w:type="auto"/>
            <w:vAlign w:val="center"/>
            <w:hideMark/>
          </w:tcPr>
          <w:p w14:paraId="0413DCCA" w14:textId="77777777" w:rsidR="00E2089D" w:rsidRDefault="00E2089D">
            <w:r>
              <w:lastRenderedPageBreak/>
              <w:t xml:space="preserve">Use to adjust internal </w:t>
            </w:r>
            <w:r>
              <w:lastRenderedPageBreak/>
              <w:t>risk score thresholds</w:t>
            </w:r>
          </w:p>
        </w:tc>
      </w:tr>
    </w:tbl>
    <w:p w14:paraId="5AE5A5DF" w14:textId="77777777" w:rsidR="00E2089D" w:rsidRDefault="00E2089D" w:rsidP="00E2089D">
      <w:r>
        <w:lastRenderedPageBreak/>
        <w:pict w14:anchorId="3E23F5CF">
          <v:rect id="_x0000_i1026" style="width:0;height:1.5pt" o:hralign="center" o:hrstd="t" o:hr="t" fillcolor="#a0a0a0" stroked="f"/>
        </w:pict>
      </w:r>
    </w:p>
    <w:p w14:paraId="3719309B" w14:textId="77777777" w:rsidR="00E2089D" w:rsidRPr="00E2089D" w:rsidRDefault="00E2089D" w:rsidP="00E2089D">
      <w:pPr>
        <w:pStyle w:val="Heading2"/>
        <w:rPr>
          <w:color w:val="auto"/>
        </w:rPr>
      </w:pPr>
      <w:r w:rsidRPr="00E2089D">
        <w:rPr>
          <w:rStyle w:val="Strong"/>
          <w:b/>
          <w:bCs/>
          <w:color w:val="auto"/>
        </w:rPr>
        <w:t>2. Recommendation Framework</w:t>
      </w:r>
    </w:p>
    <w:p w14:paraId="5C6A86EB" w14:textId="77777777" w:rsidR="00E2089D" w:rsidRDefault="00E2089D" w:rsidP="00E2089D">
      <w:pPr>
        <w:pStyle w:val="NormalWeb"/>
      </w:pPr>
      <w:r>
        <w:rPr>
          <w:rStyle w:val="Strong"/>
        </w:rPr>
        <w:t>Restated Insight</w:t>
      </w:r>
      <w:proofErr w:type="gramStart"/>
      <w:r>
        <w:rPr>
          <w:rStyle w:val="Strong"/>
        </w:rPr>
        <w:t>:</w:t>
      </w:r>
      <w:proofErr w:type="gramEnd"/>
      <w:r>
        <w:br/>
        <w:t>High credit utilization is a leading indicator of customer delinquency, especially when combined with weak credit scores and recent missed payments.</w:t>
      </w:r>
    </w:p>
    <w:p w14:paraId="7DC6D2B0" w14:textId="77777777" w:rsidR="00E2089D" w:rsidRDefault="00E2089D" w:rsidP="00E2089D">
      <w:pPr>
        <w:pStyle w:val="NormalWeb"/>
      </w:pPr>
      <w:r>
        <w:rPr>
          <w:rStyle w:val="Strong"/>
        </w:rPr>
        <w:t>Proposed Recommendation</w:t>
      </w:r>
      <w:proofErr w:type="gramStart"/>
      <w:r>
        <w:rPr>
          <w:rStyle w:val="Strong"/>
        </w:rPr>
        <w:t>:</w:t>
      </w:r>
      <w:proofErr w:type="gramEnd"/>
      <w:r>
        <w:br/>
        <w:t xml:space="preserve">Implement a proactive </w:t>
      </w:r>
      <w:r>
        <w:rPr>
          <w:rStyle w:val="Strong"/>
        </w:rPr>
        <w:t>“Credit Usage Alert &amp; Guidance”</w:t>
      </w:r>
      <w:r>
        <w:t xml:space="preserve"> program targeting high-utilization customers.</w:t>
      </w:r>
    </w:p>
    <w:p w14:paraId="4F8DAAAA" w14:textId="77777777" w:rsidR="00E2089D" w:rsidRDefault="00E2089D" w:rsidP="00E2089D">
      <w:pPr>
        <w:pStyle w:val="NormalWeb"/>
        <w:numPr>
          <w:ilvl w:val="0"/>
          <w:numId w:val="12"/>
        </w:numPr>
      </w:pPr>
      <w:r>
        <w:rPr>
          <w:rStyle w:val="Strong"/>
        </w:rPr>
        <w:t>Specific:</w:t>
      </w:r>
      <w:r>
        <w:t xml:space="preserve"> Identify customers with credit utilization above 65% and send personalized financial guidance or limit-adjustment options.</w:t>
      </w:r>
    </w:p>
    <w:p w14:paraId="08D91800" w14:textId="77777777" w:rsidR="00E2089D" w:rsidRDefault="00E2089D" w:rsidP="00E2089D">
      <w:pPr>
        <w:pStyle w:val="NormalWeb"/>
        <w:numPr>
          <w:ilvl w:val="0"/>
          <w:numId w:val="12"/>
        </w:numPr>
      </w:pPr>
      <w:r>
        <w:rPr>
          <w:rStyle w:val="Strong"/>
        </w:rPr>
        <w:t>Measurable:</w:t>
      </w:r>
      <w:r>
        <w:t xml:space="preserve"> Reduce delinquency in this group by at least 10% within 3 months.</w:t>
      </w:r>
    </w:p>
    <w:p w14:paraId="0B7A5C1E" w14:textId="77777777" w:rsidR="00E2089D" w:rsidRDefault="00E2089D" w:rsidP="00E2089D">
      <w:pPr>
        <w:pStyle w:val="NormalWeb"/>
        <w:numPr>
          <w:ilvl w:val="0"/>
          <w:numId w:val="12"/>
        </w:numPr>
      </w:pPr>
      <w:r>
        <w:rPr>
          <w:rStyle w:val="Strong"/>
        </w:rPr>
        <w:t>Actionable:</w:t>
      </w:r>
      <w:r>
        <w:t xml:space="preserve"> Use model outputs to segment and auto-flag high-risk profiles in the collections dashboard.</w:t>
      </w:r>
    </w:p>
    <w:p w14:paraId="702CB380" w14:textId="77777777" w:rsidR="00E2089D" w:rsidRDefault="00E2089D" w:rsidP="00E2089D">
      <w:pPr>
        <w:pStyle w:val="NormalWeb"/>
        <w:numPr>
          <w:ilvl w:val="0"/>
          <w:numId w:val="12"/>
        </w:numPr>
      </w:pPr>
      <w:r>
        <w:rPr>
          <w:rStyle w:val="Strong"/>
        </w:rPr>
        <w:t>Relevant:</w:t>
      </w:r>
      <w:r>
        <w:t xml:space="preserve"> Aligns directly with </w:t>
      </w:r>
      <w:proofErr w:type="spellStart"/>
      <w:r>
        <w:t>Geldium’s</w:t>
      </w:r>
      <w:proofErr w:type="spellEnd"/>
      <w:r>
        <w:t xml:space="preserve"> goal to lower delinquency rates and improve customer engagement.</w:t>
      </w:r>
    </w:p>
    <w:p w14:paraId="7DEF3613" w14:textId="77777777" w:rsidR="00E2089D" w:rsidRDefault="00E2089D" w:rsidP="00E2089D">
      <w:pPr>
        <w:pStyle w:val="NormalWeb"/>
        <w:numPr>
          <w:ilvl w:val="0"/>
          <w:numId w:val="12"/>
        </w:numPr>
      </w:pPr>
      <w:r>
        <w:rPr>
          <w:rStyle w:val="Strong"/>
        </w:rPr>
        <w:t>Time-bound:</w:t>
      </w:r>
      <w:r>
        <w:t xml:space="preserve"> Launch pilot within 30 days; assess outcomes after 90 days.</w:t>
      </w:r>
    </w:p>
    <w:p w14:paraId="5CFA6B6A" w14:textId="77777777" w:rsidR="00E2089D" w:rsidRDefault="00E2089D" w:rsidP="00E2089D">
      <w:pPr>
        <w:pStyle w:val="NormalWeb"/>
      </w:pPr>
      <w:r>
        <w:rPr>
          <w:rStyle w:val="Strong"/>
        </w:rPr>
        <w:t>Justification and Business Rationale</w:t>
      </w:r>
      <w:proofErr w:type="gramStart"/>
      <w:r>
        <w:rPr>
          <w:rStyle w:val="Strong"/>
        </w:rPr>
        <w:t>:</w:t>
      </w:r>
      <w:proofErr w:type="gramEnd"/>
      <w:r>
        <w:br/>
        <w:t xml:space="preserve">By engaging high-risk customers early, </w:t>
      </w:r>
      <w:proofErr w:type="spellStart"/>
      <w:r>
        <w:t>Geldium</w:t>
      </w:r>
      <w:proofErr w:type="spellEnd"/>
      <w:r>
        <w:t xml:space="preserve"> can reduce default rates, strengthen customer relationships, and minimize long-term financial losses. This also demonstrates a customer-first approach that is ethically responsible and operationally scalable.</w:t>
      </w:r>
    </w:p>
    <w:p w14:paraId="0DF7ACBC" w14:textId="77777777" w:rsidR="00E2089D" w:rsidRDefault="00E2089D" w:rsidP="00E2089D">
      <w:r>
        <w:pict w14:anchorId="0499D8B3">
          <v:rect id="_x0000_i1027" style="width:0;height:1.5pt" o:hralign="center" o:hrstd="t" o:hr="t" fillcolor="#a0a0a0" stroked="f"/>
        </w:pict>
      </w:r>
    </w:p>
    <w:p w14:paraId="71AA58FF" w14:textId="77777777" w:rsidR="00E2089D" w:rsidRDefault="00E2089D" w:rsidP="00E2089D">
      <w:pPr>
        <w:pStyle w:val="Heading2"/>
      </w:pPr>
      <w:r w:rsidRPr="00E2089D">
        <w:rPr>
          <w:rStyle w:val="Strong"/>
          <w:b/>
          <w:bCs/>
          <w:color w:val="auto"/>
        </w:rPr>
        <w:t>3. Ethical and Responsible AI Considerations</w:t>
      </w:r>
    </w:p>
    <w:p w14:paraId="2F253163" w14:textId="77777777" w:rsidR="00E2089D" w:rsidRDefault="00E2089D" w:rsidP="00E2089D">
      <w:pPr>
        <w:pStyle w:val="NormalWeb"/>
      </w:pPr>
      <w:r>
        <w:rPr>
          <w:rStyle w:val="Strong"/>
        </w:rPr>
        <w:t>Fairness Risks &amp; Mitigation:</w:t>
      </w:r>
    </w:p>
    <w:p w14:paraId="40E47B75" w14:textId="77777777" w:rsidR="00E2089D" w:rsidRDefault="00E2089D" w:rsidP="00E2089D">
      <w:pPr>
        <w:pStyle w:val="NormalWeb"/>
        <w:numPr>
          <w:ilvl w:val="0"/>
          <w:numId w:val="13"/>
        </w:numPr>
      </w:pPr>
      <w:r>
        <w:rPr>
          <w:rStyle w:val="Strong"/>
        </w:rPr>
        <w:t>Risk 1: Income or Employment Bias</w:t>
      </w:r>
      <w:r>
        <w:t xml:space="preserve"> – Self-employed or unemployed customers may be disproportionately </w:t>
      </w:r>
      <w:proofErr w:type="spellStart"/>
      <w:r>
        <w:t>labeled</w:t>
      </w:r>
      <w:proofErr w:type="spellEnd"/>
      <w:r>
        <w:t xml:space="preserve"> high-risk.</w:t>
      </w:r>
    </w:p>
    <w:p w14:paraId="1860FED7" w14:textId="77777777" w:rsidR="00E2089D" w:rsidRDefault="00E2089D" w:rsidP="00E2089D">
      <w:pPr>
        <w:pStyle w:val="NormalWeb"/>
        <w:numPr>
          <w:ilvl w:val="1"/>
          <w:numId w:val="13"/>
        </w:numPr>
      </w:pPr>
      <w:r>
        <w:rPr>
          <w:rStyle w:val="Emphasis"/>
          <w:rFonts w:eastAsiaTheme="majorEastAsia"/>
        </w:rPr>
        <w:t>Mitigation:</w:t>
      </w:r>
      <w:r>
        <w:t xml:space="preserve"> Regularly audit model outputs for demographic bias; avoid overreliance on employment status alone.</w:t>
      </w:r>
    </w:p>
    <w:p w14:paraId="5C1D2E95" w14:textId="77777777" w:rsidR="00E2089D" w:rsidRDefault="00E2089D" w:rsidP="00E2089D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Risk 2: </w:t>
      </w:r>
      <w:proofErr w:type="spellStart"/>
      <w:r>
        <w:rPr>
          <w:rStyle w:val="Strong"/>
        </w:rPr>
        <w:t>Recency</w:t>
      </w:r>
      <w:proofErr w:type="spellEnd"/>
      <w:r>
        <w:rPr>
          <w:rStyle w:val="Strong"/>
        </w:rPr>
        <w:t xml:space="preserve"> Bias from Short-Term Payment History</w:t>
      </w:r>
      <w:r>
        <w:t xml:space="preserve"> – Customers with brief delinquency may be unfairly flagged.</w:t>
      </w:r>
    </w:p>
    <w:p w14:paraId="6690F7F9" w14:textId="77777777" w:rsidR="00E2089D" w:rsidRDefault="00E2089D" w:rsidP="00E2089D">
      <w:pPr>
        <w:pStyle w:val="NormalWeb"/>
        <w:numPr>
          <w:ilvl w:val="1"/>
          <w:numId w:val="13"/>
        </w:numPr>
      </w:pPr>
      <w:r>
        <w:rPr>
          <w:rStyle w:val="Emphasis"/>
          <w:rFonts w:eastAsiaTheme="majorEastAsia"/>
        </w:rPr>
        <w:t>Mitigation:</w:t>
      </w:r>
      <w:r>
        <w:t xml:space="preserve"> Incorporate account tenure and total missed payments to give better context.</w:t>
      </w:r>
    </w:p>
    <w:p w14:paraId="6285F03C" w14:textId="77777777" w:rsidR="00E2089D" w:rsidRDefault="00E2089D" w:rsidP="00E2089D">
      <w:pPr>
        <w:pStyle w:val="NormalWeb"/>
      </w:pPr>
      <w:proofErr w:type="spellStart"/>
      <w:r>
        <w:rPr>
          <w:rStyle w:val="Strong"/>
        </w:rPr>
        <w:lastRenderedPageBreak/>
        <w:t>Explainability</w:t>
      </w:r>
      <w:proofErr w:type="spellEnd"/>
      <w:proofErr w:type="gramStart"/>
      <w:r>
        <w:rPr>
          <w:rStyle w:val="Strong"/>
        </w:rPr>
        <w:t>:</w:t>
      </w:r>
      <w:proofErr w:type="gramEnd"/>
      <w:r>
        <w:br/>
        <w:t xml:space="preserve">To non-technical stakeholders, model predictions can be explained as “based on patterns in credit usage, past payment </w:t>
      </w:r>
      <w:proofErr w:type="spellStart"/>
      <w:r>
        <w:t>behavior</w:t>
      </w:r>
      <w:proofErr w:type="spellEnd"/>
      <w:r>
        <w:t>, and financial stress indicators.” Use decision trees or risk scorecards to visually support explanations.</w:t>
      </w:r>
    </w:p>
    <w:p w14:paraId="475E1366" w14:textId="77777777" w:rsidR="00E2089D" w:rsidRDefault="00E2089D" w:rsidP="00E2089D">
      <w:pPr>
        <w:pStyle w:val="NormalWeb"/>
      </w:pPr>
      <w:r>
        <w:rPr>
          <w:rStyle w:val="Strong"/>
        </w:rPr>
        <w:t>Responsible AI Practices:</w:t>
      </w:r>
    </w:p>
    <w:p w14:paraId="7F1B1594" w14:textId="77777777" w:rsidR="00E2089D" w:rsidRDefault="00E2089D" w:rsidP="00E2089D">
      <w:pPr>
        <w:pStyle w:val="NormalWeb"/>
        <w:numPr>
          <w:ilvl w:val="0"/>
          <w:numId w:val="14"/>
        </w:numPr>
      </w:pPr>
      <w:r>
        <w:t>Transparent variable selection and documentation.</w:t>
      </w:r>
    </w:p>
    <w:p w14:paraId="4D17D3B0" w14:textId="77777777" w:rsidR="00E2089D" w:rsidRDefault="00E2089D" w:rsidP="00E2089D">
      <w:pPr>
        <w:pStyle w:val="NormalWeb"/>
        <w:numPr>
          <w:ilvl w:val="0"/>
          <w:numId w:val="14"/>
        </w:numPr>
      </w:pPr>
      <w:r>
        <w:t>Regular fairness audits to avoid systemic bias.</w:t>
      </w:r>
    </w:p>
    <w:p w14:paraId="2620E9C5" w14:textId="77777777" w:rsidR="00E2089D" w:rsidRDefault="00E2089D" w:rsidP="00E2089D">
      <w:pPr>
        <w:pStyle w:val="NormalWeb"/>
        <w:numPr>
          <w:ilvl w:val="0"/>
          <w:numId w:val="14"/>
        </w:numPr>
      </w:pPr>
      <w:r>
        <w:t>Data privacy and customer consent maintained in all touchpoints.</w:t>
      </w:r>
    </w:p>
    <w:p w14:paraId="33EC1793" w14:textId="5AB2E7A6" w:rsidR="007D72C2" w:rsidRPr="00A537D1" w:rsidRDefault="007D72C2">
      <w:pPr>
        <w:rPr>
          <w:rFonts w:ascii="Arial" w:hAnsi="Arial" w:cs="Arial"/>
          <w:color w:val="000000" w:themeColor="text1"/>
        </w:rPr>
      </w:pP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80508"/>
    <w:multiLevelType w:val="multilevel"/>
    <w:tmpl w:val="540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37A3A"/>
    <w:multiLevelType w:val="multilevel"/>
    <w:tmpl w:val="CF7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006C6"/>
    <w:multiLevelType w:val="multilevel"/>
    <w:tmpl w:val="225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0220E"/>
    <w:multiLevelType w:val="multilevel"/>
    <w:tmpl w:val="670E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A537D1"/>
    <w:rsid w:val="00AA1D8D"/>
    <w:rsid w:val="00B47730"/>
    <w:rsid w:val="00CB0664"/>
    <w:rsid w:val="00E208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20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2D4E0-CAA2-4AC9-B366-FF569072C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2025-07-30T14:27:00Z</dcterms:modified>
  <cp:category/>
</cp:coreProperties>
</file>