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Solutions GPT — Knowledge &amp; Retrieval Policy</w:t>
      </w:r>
    </w:p>
    <w:p>
      <w:r>
        <w:t>Version: v1.0 | Date: 2025-09-21 | Owner: Tender Solutions Governance</w:t>
        <w:br/>
      </w:r>
    </w:p>
    <w:p>
      <w:pPr>
        <w:pStyle w:val="Heading1"/>
      </w:pPr>
      <w:r>
        <w:t>Canonical KB</w:t>
      </w:r>
    </w:p>
    <w:p>
      <w:r>
        <w:t>Documents stored with tags: customer, geography, modality, currency.</w:t>
      </w:r>
    </w:p>
    <w:p>
      <w:pPr>
        <w:pStyle w:val="Heading1"/>
      </w:pPr>
      <w:r>
        <w:t>Admissibility Rules</w:t>
      </w:r>
    </w:p>
    <w:p>
      <w:r>
        <w:t>Metadata required: title, date, customer, version, status, owner.</w:t>
      </w:r>
    </w:p>
    <w:p>
      <w:pPr>
        <w:pStyle w:val="Heading1"/>
      </w:pPr>
      <w:r>
        <w:t>Retrieval Settings</w:t>
      </w:r>
    </w:p>
    <w:p>
      <w:r>
        <w:t>Chunk size 800-1200 tokens with overlap; hybrid retrieval; freshness bias 12 months.</w:t>
      </w:r>
    </w:p>
    <w:p>
      <w:pPr>
        <w:pStyle w:val="Heading1"/>
      </w:pPr>
      <w:r>
        <w:t>Answer Assembly</w:t>
      </w:r>
    </w:p>
    <w:p>
      <w:r>
        <w:t>Every output must include an Evidence Table with source, location, and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