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Oversight &amp; Quality Assurance Policy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Compliance Score</w:t>
      </w:r>
    </w:p>
    <w:p>
      <w:r>
        <w:t>Measure % of RFP requirements satisfied with evidence.</w:t>
      </w:r>
    </w:p>
    <w:p>
      <w:pPr>
        <w:pStyle w:val="Heading1"/>
      </w:pPr>
      <w:r>
        <w:t>Consistency Checks</w:t>
      </w:r>
    </w:p>
    <w:p>
      <w:r>
        <w:t>Verify numbers, dates, SLAs, units across technical and commercial proposals.</w:t>
      </w:r>
    </w:p>
    <w:p>
      <w:pPr>
        <w:pStyle w:val="Heading1"/>
      </w:pPr>
      <w:r>
        <w:t>Red-Team Review</w:t>
      </w:r>
    </w:p>
    <w:p>
      <w:r>
        <w:t>Independent gate before submission; pass/fail with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