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0B3C" w14:textId="033401BD" w:rsidR="004A7981" w:rsidRPr="004A7981" w:rsidRDefault="00D023C2" w:rsidP="004A7981">
      <w:pPr>
        <w:jc w:val="center"/>
        <w:rPr>
          <w:b/>
          <w:bCs/>
          <w:lang w:val="en-US"/>
        </w:rPr>
      </w:pPr>
      <w:r w:rsidRPr="004A7981">
        <w:rPr>
          <w:b/>
          <w:bCs/>
        </w:rPr>
        <w:fldChar w:fldCharType="begin"/>
      </w:r>
      <w:r w:rsidRPr="004A7981">
        <w:rPr>
          <w:b/>
          <w:bCs/>
          <w:lang w:val="en-US"/>
        </w:rPr>
        <w:instrText xml:space="preserve"> MACROBUTTON MTEditEquationSection2 </w:instrText>
      </w:r>
      <w:r w:rsidRPr="004A7981">
        <w:rPr>
          <w:rStyle w:val="MTEquationSection"/>
          <w:b/>
          <w:bCs/>
          <w:lang w:val="en-US"/>
        </w:rPr>
        <w:instrText>Equation Chapter 1 Section 1</w:instrText>
      </w:r>
      <w:r w:rsidRPr="004A7981">
        <w:rPr>
          <w:b/>
          <w:bCs/>
        </w:rPr>
        <w:fldChar w:fldCharType="begin"/>
      </w:r>
      <w:r w:rsidRPr="004A7981">
        <w:rPr>
          <w:b/>
          <w:bCs/>
          <w:lang w:val="en-US"/>
        </w:rPr>
        <w:instrText xml:space="preserve"> SEQ MTEqn \r \h \* MERGEFORMAT </w:instrText>
      </w:r>
      <w:r w:rsidRPr="004A7981">
        <w:rPr>
          <w:b/>
          <w:bCs/>
        </w:rPr>
        <w:fldChar w:fldCharType="end"/>
      </w:r>
      <w:r w:rsidRPr="004A7981">
        <w:rPr>
          <w:b/>
          <w:bCs/>
        </w:rPr>
        <w:fldChar w:fldCharType="begin"/>
      </w:r>
      <w:r w:rsidRPr="004A7981">
        <w:rPr>
          <w:b/>
          <w:bCs/>
          <w:lang w:val="en-US"/>
        </w:rPr>
        <w:instrText xml:space="preserve"> SEQ MTSec \r 1 \h \* MERGEFORMAT </w:instrText>
      </w:r>
      <w:r w:rsidRPr="004A7981">
        <w:rPr>
          <w:b/>
          <w:bCs/>
        </w:rPr>
        <w:fldChar w:fldCharType="end"/>
      </w:r>
      <w:r w:rsidRPr="004A7981">
        <w:rPr>
          <w:b/>
          <w:bCs/>
        </w:rPr>
        <w:fldChar w:fldCharType="begin"/>
      </w:r>
      <w:r w:rsidRPr="004A7981">
        <w:rPr>
          <w:b/>
          <w:bCs/>
          <w:lang w:val="en-US"/>
        </w:rPr>
        <w:instrText xml:space="preserve"> SEQ MTChap \r 1 \h \* MERGEFORMAT </w:instrText>
      </w:r>
      <w:r w:rsidRPr="004A7981">
        <w:rPr>
          <w:b/>
          <w:bCs/>
        </w:rPr>
        <w:fldChar w:fldCharType="end"/>
      </w:r>
      <w:r w:rsidRPr="004A7981">
        <w:rPr>
          <w:b/>
          <w:bCs/>
        </w:rPr>
        <w:fldChar w:fldCharType="end"/>
      </w:r>
      <w:r w:rsidR="004A7981" w:rsidRPr="004A7981">
        <w:rPr>
          <w:b/>
          <w:bCs/>
          <w:lang w:val="en-US"/>
        </w:rPr>
        <w:t>Monte-Carlo Simulation</w:t>
      </w:r>
    </w:p>
    <w:p w14:paraId="429CF881" w14:textId="0E8126A8" w:rsidR="004A7981" w:rsidRDefault="004A7981" w:rsidP="004A7981">
      <w:pPr>
        <w:rPr>
          <w:lang w:val="en-US"/>
        </w:rPr>
      </w:pPr>
      <w:r w:rsidRPr="004A7981">
        <w:rPr>
          <w:lang w:val="en-US"/>
        </w:rPr>
        <w:t>Generate distribution of 0.01 quantile (1% percentile) of 10-days overlapping proportional returns obtained from the 3-years timeseries (750 observations) of 1-day returns. Original timeseries is generated using stable distribution with the following parameters: alpha = 1.7; beta = 0.0; gamma = 1.0; delta = 1.0.</w:t>
      </w:r>
    </w:p>
    <w:p w14:paraId="0BB4B3E8" w14:textId="2E667997" w:rsidR="007B796C" w:rsidRPr="004A7981" w:rsidRDefault="007B796C" w:rsidP="007B796C">
      <w:pPr>
        <w:ind w:firstLine="0"/>
        <w:jc w:val="center"/>
        <w:rPr>
          <w:lang w:val="en-US"/>
        </w:rPr>
      </w:pPr>
      <w:r>
        <w:rPr>
          <w:noProof/>
        </w:rPr>
        <w:drawing>
          <wp:inline distT="0" distB="0" distL="0" distR="0" wp14:anchorId="2C535313" wp14:editId="487CEF61">
            <wp:extent cx="4882841" cy="2584174"/>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4080" cy="2590122"/>
                    </a:xfrm>
                    <a:prstGeom prst="rect">
                      <a:avLst/>
                    </a:prstGeom>
                  </pic:spPr>
                </pic:pic>
              </a:graphicData>
            </a:graphic>
          </wp:inline>
        </w:drawing>
      </w:r>
    </w:p>
    <w:p w14:paraId="1AF64282" w14:textId="7FB75424" w:rsidR="004A7981" w:rsidRDefault="004A7981" w:rsidP="004A7981">
      <w:pPr>
        <w:rPr>
          <w:lang w:val="en-US"/>
        </w:rPr>
      </w:pPr>
      <w:r w:rsidRPr="004A7981">
        <w:rPr>
          <w:lang w:val="en-US"/>
        </w:rPr>
        <w:t>Show, either numerically or theoretically, that the chosen number of Monte-Carlo trials is sufficient.</w:t>
      </w:r>
    </w:p>
    <w:p w14:paraId="3723DBCB" w14:textId="75B3D82E" w:rsidR="007B796C" w:rsidRPr="004A7981" w:rsidRDefault="007B796C" w:rsidP="007B796C">
      <w:pPr>
        <w:ind w:firstLine="0"/>
        <w:jc w:val="center"/>
        <w:rPr>
          <w:lang w:val="en-US"/>
        </w:rPr>
      </w:pPr>
      <w:r>
        <w:rPr>
          <w:noProof/>
        </w:rPr>
        <w:drawing>
          <wp:inline distT="0" distB="0" distL="0" distR="0" wp14:anchorId="0F7949F6" wp14:editId="4920DB7C">
            <wp:extent cx="5001784" cy="2641775"/>
            <wp:effectExtent l="0" t="0" r="889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853" cy="2661354"/>
                    </a:xfrm>
                    <a:prstGeom prst="rect">
                      <a:avLst/>
                    </a:prstGeom>
                  </pic:spPr>
                </pic:pic>
              </a:graphicData>
            </a:graphic>
          </wp:inline>
        </w:drawing>
      </w:r>
    </w:p>
    <w:p w14:paraId="7462404D" w14:textId="77777777" w:rsidR="004A7981" w:rsidRPr="004A7981" w:rsidRDefault="004A7981" w:rsidP="004A7981">
      <w:pPr>
        <w:rPr>
          <w:lang w:val="en-US"/>
        </w:rPr>
      </w:pPr>
      <w:r w:rsidRPr="004A7981">
        <w:rPr>
          <w:b/>
          <w:bCs/>
          <w:lang w:val="en-US"/>
        </w:rPr>
        <w:t>Requirements</w:t>
      </w:r>
      <w:r w:rsidRPr="004A7981">
        <w:rPr>
          <w:lang w:val="en-US"/>
        </w:rPr>
        <w:t>:</w:t>
      </w:r>
    </w:p>
    <w:p w14:paraId="7849CA52" w14:textId="77777777" w:rsidR="004A7981" w:rsidRPr="004A7981" w:rsidRDefault="004A7981" w:rsidP="004A7981">
      <w:pPr>
        <w:rPr>
          <w:lang w:val="en-US"/>
        </w:rPr>
      </w:pPr>
      <w:r w:rsidRPr="004A7981">
        <w:rPr>
          <w:lang w:val="en-US"/>
        </w:rPr>
        <w:t>The task must be solved in R. Program code should be clearly written and well commented.</w:t>
      </w:r>
    </w:p>
    <w:p w14:paraId="0B9AF347" w14:textId="41E3B1D6" w:rsidR="00E82ACB" w:rsidRPr="004A7981" w:rsidRDefault="004A7981" w:rsidP="004A7981">
      <w:pPr>
        <w:rPr>
          <w:lang w:val="en-US"/>
        </w:rPr>
      </w:pPr>
      <w:r w:rsidRPr="004A7981">
        <w:rPr>
          <w:lang w:val="en-US"/>
        </w:rPr>
        <w:t>Code must be presented along with report comprising all necessary mathematical expressions, description of results and conclusions.</w:t>
      </w:r>
    </w:p>
    <w:p w14:paraId="6E6BD09C" w14:textId="3A0748F3" w:rsidR="00E5172C" w:rsidRPr="004A7981" w:rsidRDefault="00E5172C">
      <w:pPr>
        <w:spacing w:after="160" w:line="259" w:lineRule="auto"/>
        <w:ind w:firstLine="0"/>
        <w:jc w:val="left"/>
        <w:rPr>
          <w:lang w:val="en-US"/>
        </w:rPr>
      </w:pPr>
      <w:r w:rsidRPr="004A7981">
        <w:rPr>
          <w:lang w:val="en-US"/>
        </w:rPr>
        <w:br w:type="page"/>
      </w:r>
    </w:p>
    <w:p w14:paraId="2692932D" w14:textId="77777777" w:rsidR="004A7981" w:rsidRPr="004A7981" w:rsidRDefault="004A7981" w:rsidP="004A7981">
      <w:pPr>
        <w:rPr>
          <w:lang w:val="en-US"/>
        </w:rPr>
      </w:pPr>
      <w:r w:rsidRPr="004A7981">
        <w:rPr>
          <w:lang w:val="en-US"/>
        </w:rPr>
        <w:lastRenderedPageBreak/>
        <w:t xml:space="preserve">This report addresses the problem of time series modeling and analysis using stably distributed random variables and the Monte Carlo method. </w:t>
      </w:r>
    </w:p>
    <w:p w14:paraId="4486763B" w14:textId="3756379B" w:rsidR="00E82ACB" w:rsidRPr="004A7981" w:rsidRDefault="004A7981" w:rsidP="004A7981">
      <w:pPr>
        <w:rPr>
          <w:lang w:val="en-US"/>
        </w:rPr>
      </w:pPr>
      <w:r w:rsidRPr="004A7981">
        <w:rPr>
          <w:lang w:val="en-US"/>
        </w:rPr>
        <w:t>Stable distributions have the important property of stability, which makes them particularly useful for simulations characterized by "heavy tails" and skewness. The main objective of this study is to estimate the 0.01 quantile of the distribution of 10-day returns, which is an important metric for risk management. To solve this problem, an algorithm in Python programming language was developed and applied, which includes generating time series, calculating returns and performing Monte Carlo simulations. The report also analyzes the sufficiency of the selected number of simulations to ensure the stability and accuracy of the results.</w:t>
      </w:r>
    </w:p>
    <w:p w14:paraId="4A550BCD" w14:textId="77777777" w:rsidR="004A7981" w:rsidRPr="004A7981" w:rsidRDefault="004A7981" w:rsidP="004A7981">
      <w:pPr>
        <w:pStyle w:val="MTDisplayEquation"/>
        <w:rPr>
          <w:lang w:val="en-US"/>
        </w:rPr>
      </w:pPr>
      <w:r w:rsidRPr="004A7981">
        <w:rPr>
          <w:b/>
          <w:bCs/>
          <w:lang w:val="en-US"/>
        </w:rPr>
        <w:t xml:space="preserve">Stable distributions </w:t>
      </w:r>
      <w:r w:rsidRPr="004A7981">
        <w:rPr>
          <w:lang w:val="en-US"/>
        </w:rPr>
        <w:t xml:space="preserve">are a family of distributions that generalize the normal distribution and have the property of stability: a linear combination of two independent, identically distributed, stably distributed random variables </w:t>
      </w:r>
      <w:proofErr w:type="gramStart"/>
      <w:r w:rsidRPr="004A7981">
        <w:rPr>
          <w:lang w:val="en-US"/>
        </w:rPr>
        <w:t>has</w:t>
      </w:r>
      <w:proofErr w:type="gramEnd"/>
      <w:r w:rsidRPr="004A7981">
        <w:rPr>
          <w:lang w:val="en-US"/>
        </w:rPr>
        <w:t xml:space="preserve"> the same distribution as the individual variables. Stable distributions are introduced as limit distributions (meaning convergence in distribution) for the sum of identically distributed random variables. The most famous representative of this family is the normal distribution. Many methods of applied statistical analysis are based on it.</w:t>
      </w:r>
    </w:p>
    <w:p w14:paraId="3BB28D1E" w14:textId="77777777" w:rsidR="004A7981" w:rsidRPr="004A7981" w:rsidRDefault="004A7981" w:rsidP="004A7981">
      <w:pPr>
        <w:pStyle w:val="MTDisplayEquation"/>
        <w:rPr>
          <w:lang w:val="en-US"/>
        </w:rPr>
      </w:pPr>
      <w:r w:rsidRPr="004A7981">
        <w:rPr>
          <w:lang w:val="en-US"/>
        </w:rPr>
        <w:t>The whole class of stable distributions can be introduced through the characteristic function:</w:t>
      </w:r>
    </w:p>
    <w:p w14:paraId="23FC097C" w14:textId="7F055701" w:rsidR="00D023C2" w:rsidRPr="004A7981" w:rsidRDefault="00D023C2" w:rsidP="004A7981">
      <w:pPr>
        <w:pStyle w:val="MTDisplayEquation"/>
        <w:rPr>
          <w:lang w:val="en-US"/>
        </w:rPr>
      </w:pPr>
      <w:r w:rsidRPr="004A7981">
        <w:rPr>
          <w:lang w:val="en-US"/>
        </w:rPr>
        <w:tab/>
      </w:r>
      <w:r w:rsidR="00901461" w:rsidRPr="00D023C2">
        <w:rPr>
          <w:position w:val="-66"/>
        </w:rPr>
        <w:object w:dxaOrig="5319" w:dyaOrig="1440" w14:anchorId="103E3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1in" o:ole="">
            <v:imagedata r:id="rId7" o:title=""/>
          </v:shape>
          <o:OLEObject Type="Embed" ProgID="Equation.DSMT4" ShapeID="_x0000_i1025" DrawAspect="Content" ObjectID="_1778388792" r:id="rId8"/>
        </w:object>
      </w:r>
      <w:r w:rsidRPr="004A7981">
        <w:rPr>
          <w:lang w:val="en-US"/>
        </w:rPr>
        <w:tab/>
      </w:r>
      <w:r>
        <w:fldChar w:fldCharType="begin"/>
      </w:r>
      <w:r w:rsidRPr="004A7981">
        <w:rPr>
          <w:lang w:val="en-US"/>
        </w:rPr>
        <w:instrText xml:space="preserve"> MACROBUTTON MTPlaceRef \* MERGEFORMAT </w:instrText>
      </w:r>
      <w:r>
        <w:fldChar w:fldCharType="begin"/>
      </w:r>
      <w:r w:rsidRPr="004A7981">
        <w:rPr>
          <w:lang w:val="en-US"/>
        </w:rPr>
        <w:instrText xml:space="preserve"> SEQ MTEqn \h \* MERGEFORMAT </w:instrText>
      </w:r>
      <w:r>
        <w:fldChar w:fldCharType="end"/>
      </w:r>
      <w:r w:rsidRPr="004A7981">
        <w:rPr>
          <w:lang w:val="en-US"/>
        </w:rPr>
        <w:instrText>(</w:instrText>
      </w:r>
      <w:r w:rsidR="007B796C">
        <w:fldChar w:fldCharType="begin"/>
      </w:r>
      <w:r w:rsidR="007B796C" w:rsidRPr="004A7981">
        <w:rPr>
          <w:lang w:val="en-US"/>
        </w:rPr>
        <w:instrText xml:space="preserve"> SEQ MTEqn \c \* Arabic \* MERGEFORMAT </w:instrText>
      </w:r>
      <w:r w:rsidR="007B796C">
        <w:fldChar w:fldCharType="separate"/>
      </w:r>
      <w:r w:rsidR="001E4341">
        <w:rPr>
          <w:noProof/>
          <w:lang w:val="en-US"/>
        </w:rPr>
        <w:instrText>1</w:instrText>
      </w:r>
      <w:r w:rsidR="007B796C">
        <w:rPr>
          <w:noProof/>
        </w:rPr>
        <w:fldChar w:fldCharType="end"/>
      </w:r>
      <w:r w:rsidRPr="004A7981">
        <w:rPr>
          <w:lang w:val="en-US"/>
        </w:rPr>
        <w:instrText>)</w:instrText>
      </w:r>
      <w:r>
        <w:fldChar w:fldCharType="end"/>
      </w:r>
    </w:p>
    <w:p w14:paraId="50F48873" w14:textId="5D085E0C" w:rsidR="004A7981" w:rsidRPr="004A7981" w:rsidRDefault="004A7981" w:rsidP="004A7981">
      <w:pPr>
        <w:ind w:firstLine="0"/>
        <w:rPr>
          <w:lang w:val="en-US"/>
        </w:rPr>
      </w:pPr>
      <w:r w:rsidRPr="004A7981">
        <w:rPr>
          <w:lang w:val="en-US"/>
        </w:rPr>
        <w:t xml:space="preserve">where </w:t>
      </w:r>
      <w:r w:rsidR="00901461" w:rsidRPr="00901461">
        <w:rPr>
          <w:position w:val="-6"/>
        </w:rPr>
        <w:object w:dxaOrig="940" w:dyaOrig="279" w14:anchorId="024B00F1">
          <v:shape id="_x0000_i1026" type="#_x0000_t75" style="width:46.95pt;height:14.1pt" o:ole="">
            <v:imagedata r:id="rId9" o:title=""/>
          </v:shape>
          <o:OLEObject Type="Embed" ProgID="Equation.DSMT4" ShapeID="_x0000_i1026" DrawAspect="Content" ObjectID="_1778388793" r:id="rId10"/>
        </w:object>
      </w:r>
      <w:r w:rsidR="00901461" w:rsidRPr="004A7981">
        <w:rPr>
          <w:lang w:val="en-US"/>
        </w:rPr>
        <w:t xml:space="preserve">, </w:t>
      </w:r>
      <w:r w:rsidR="00901461" w:rsidRPr="00901461">
        <w:rPr>
          <w:position w:val="-10"/>
          <w:lang w:val="en-US"/>
        </w:rPr>
        <w:object w:dxaOrig="1020" w:dyaOrig="320" w14:anchorId="469388EA">
          <v:shape id="_x0000_i1027" type="#_x0000_t75" style="width:50.45pt;height:16.6pt" o:ole="">
            <v:imagedata r:id="rId11" o:title=""/>
          </v:shape>
          <o:OLEObject Type="Embed" ProgID="Equation.DSMT4" ShapeID="_x0000_i1027" DrawAspect="Content" ObjectID="_1778388794" r:id="rId12"/>
        </w:object>
      </w:r>
      <w:r w:rsidR="00901461" w:rsidRPr="004A7981">
        <w:rPr>
          <w:lang w:val="en-US"/>
        </w:rPr>
        <w:t>,</w:t>
      </w:r>
      <w:r w:rsidR="00901461" w:rsidRPr="00901461">
        <w:rPr>
          <w:position w:val="-10"/>
          <w:lang w:val="en-US"/>
        </w:rPr>
        <w:object w:dxaOrig="560" w:dyaOrig="320" w14:anchorId="5DF6B25C">
          <v:shape id="_x0000_i1028" type="#_x0000_t75" style="width:27.9pt;height:16.6pt" o:ole="">
            <v:imagedata r:id="rId13" o:title=""/>
          </v:shape>
          <o:OLEObject Type="Embed" ProgID="Equation.DSMT4" ShapeID="_x0000_i1028" DrawAspect="Content" ObjectID="_1778388795" r:id="rId14"/>
        </w:object>
      </w:r>
      <w:r w:rsidR="00901461" w:rsidRPr="004A7981">
        <w:rPr>
          <w:lang w:val="en-US"/>
        </w:rPr>
        <w:t>,</w:t>
      </w:r>
      <w:r w:rsidR="00901461" w:rsidRPr="00901461">
        <w:rPr>
          <w:position w:val="-6"/>
          <w:lang w:val="en-US"/>
        </w:rPr>
        <w:object w:dxaOrig="1160" w:dyaOrig="279" w14:anchorId="26A47370">
          <v:shape id="_x0000_i1029" type="#_x0000_t75" style="width:57.9pt;height:14.1pt" o:ole="">
            <v:imagedata r:id="rId15" o:title=""/>
          </v:shape>
          <o:OLEObject Type="Embed" ProgID="Equation.DSMT4" ShapeID="_x0000_i1029" DrawAspect="Content" ObjectID="_1778388796" r:id="rId16"/>
        </w:object>
      </w:r>
      <w:r w:rsidR="00901461" w:rsidRPr="004A7981">
        <w:rPr>
          <w:lang w:val="en-US"/>
        </w:rPr>
        <w:t xml:space="preserve"> - </w:t>
      </w:r>
      <w:r w:rsidRPr="004A7981">
        <w:rPr>
          <w:lang w:val="en-US"/>
        </w:rPr>
        <w:t>are unknown parameters</w:t>
      </w:r>
      <w:r w:rsidR="00901461" w:rsidRPr="004A7981">
        <w:rPr>
          <w:lang w:val="en-US"/>
        </w:rPr>
        <w:t xml:space="preserve">. </w:t>
      </w:r>
      <w:r w:rsidR="00901461" w:rsidRPr="00BC23CF">
        <w:rPr>
          <w:position w:val="-6"/>
        </w:rPr>
        <w:object w:dxaOrig="240" w:dyaOrig="220" w14:anchorId="0996CD79">
          <v:shape id="_x0000_i1030" type="#_x0000_t75" style="width:12pt;height:10.6pt" o:ole="">
            <v:imagedata r:id="rId17" o:title=""/>
          </v:shape>
          <o:OLEObject Type="Embed" ProgID="Equation.DSMT4" ShapeID="_x0000_i1030" DrawAspect="Content" ObjectID="_1778388797" r:id="rId18"/>
        </w:object>
      </w:r>
      <w:r w:rsidR="00901461" w:rsidRPr="004A7981">
        <w:rPr>
          <w:lang w:val="en-US"/>
        </w:rPr>
        <w:t xml:space="preserve"> </w:t>
      </w:r>
      <w:r w:rsidRPr="004A7981">
        <w:rPr>
          <w:lang w:val="en-US"/>
        </w:rPr>
        <w:t>defines the tails of the distribution</w:t>
      </w:r>
      <w:r w:rsidR="00901461" w:rsidRPr="004A7981">
        <w:rPr>
          <w:lang w:val="en-US"/>
        </w:rPr>
        <w:t xml:space="preserve">, </w:t>
      </w:r>
      <w:r w:rsidR="00901461" w:rsidRPr="00901461">
        <w:rPr>
          <w:position w:val="-10"/>
        </w:rPr>
        <w:object w:dxaOrig="240" w:dyaOrig="320" w14:anchorId="6E12A961">
          <v:shape id="_x0000_i1031" type="#_x0000_t75" style="width:12pt;height:16.6pt" o:ole="">
            <v:imagedata r:id="rId19" o:title=""/>
          </v:shape>
          <o:OLEObject Type="Embed" ProgID="Equation.DSMT4" ShapeID="_x0000_i1031" DrawAspect="Content" ObjectID="_1778388798" r:id="rId20"/>
        </w:object>
      </w:r>
      <w:r w:rsidR="00901461" w:rsidRPr="004A7981">
        <w:rPr>
          <w:lang w:val="en-US"/>
        </w:rPr>
        <w:t xml:space="preserve">– </w:t>
      </w:r>
      <w:r w:rsidRPr="004A7981">
        <w:rPr>
          <w:lang w:val="en-US"/>
        </w:rPr>
        <w:t>asymmetry parameter</w:t>
      </w:r>
      <w:r w:rsidR="00901461" w:rsidRPr="004A7981">
        <w:rPr>
          <w:lang w:val="en-US"/>
        </w:rPr>
        <w:t xml:space="preserve">, </w:t>
      </w:r>
      <w:r w:rsidR="00901461" w:rsidRPr="00901461">
        <w:rPr>
          <w:position w:val="-10"/>
        </w:rPr>
        <w:object w:dxaOrig="200" w:dyaOrig="260" w14:anchorId="6671A9C2">
          <v:shape id="_x0000_i1032" type="#_x0000_t75" style="width:9.9pt;height:13.05pt" o:ole="">
            <v:imagedata r:id="rId21" o:title=""/>
          </v:shape>
          <o:OLEObject Type="Embed" ProgID="Equation.DSMT4" ShapeID="_x0000_i1032" DrawAspect="Content" ObjectID="_1778388799" r:id="rId22"/>
        </w:object>
      </w:r>
      <w:r w:rsidRPr="004A7981">
        <w:rPr>
          <w:lang w:val="en-US"/>
        </w:rPr>
        <w:t xml:space="preserve"> is responsible for the scale</w:t>
      </w:r>
      <w:r w:rsidR="00901461" w:rsidRPr="004A7981">
        <w:rPr>
          <w:lang w:val="en-US"/>
        </w:rPr>
        <w:t xml:space="preserve"> </w:t>
      </w:r>
      <w:r>
        <w:rPr>
          <w:lang w:val="en-US"/>
        </w:rPr>
        <w:t>and</w:t>
      </w:r>
      <w:r w:rsidR="00901461" w:rsidRPr="004A7981">
        <w:rPr>
          <w:lang w:val="en-US"/>
        </w:rPr>
        <w:t xml:space="preserve"> </w:t>
      </w:r>
      <w:r w:rsidR="00901461" w:rsidRPr="00901461">
        <w:rPr>
          <w:position w:val="-6"/>
        </w:rPr>
        <w:object w:dxaOrig="220" w:dyaOrig="279" w14:anchorId="59951606">
          <v:shape id="_x0000_i1033" type="#_x0000_t75" style="width:10.6pt;height:14.1pt" o:ole="">
            <v:imagedata r:id="rId23" o:title=""/>
          </v:shape>
          <o:OLEObject Type="Embed" ProgID="Equation.DSMT4" ShapeID="_x0000_i1033" DrawAspect="Content" ObjectID="_1778388800" r:id="rId24"/>
        </w:object>
      </w:r>
      <w:r w:rsidR="00901461" w:rsidRPr="004A7981">
        <w:rPr>
          <w:lang w:val="en-US"/>
        </w:rPr>
        <w:t xml:space="preserve"> – </w:t>
      </w:r>
      <w:r w:rsidRPr="004A7981">
        <w:rPr>
          <w:lang w:val="en-US"/>
        </w:rPr>
        <w:t>distribution shift parameter</w:t>
      </w:r>
      <w:r w:rsidR="00901461" w:rsidRPr="004A7981">
        <w:rPr>
          <w:lang w:val="en-US"/>
        </w:rPr>
        <w:t>.</w:t>
      </w:r>
    </w:p>
    <w:p w14:paraId="2D43B8A2" w14:textId="2AFD4EEF" w:rsidR="002059C0" w:rsidRPr="004A7981" w:rsidRDefault="004A7981" w:rsidP="002059C0">
      <w:pPr>
        <w:rPr>
          <w:lang w:val="en-US"/>
        </w:rPr>
      </w:pPr>
      <w:r w:rsidRPr="004A7981">
        <w:rPr>
          <w:lang w:val="en-US"/>
        </w:rPr>
        <w:t>According to the problem statement:</w:t>
      </w:r>
      <w:r w:rsidR="00901461" w:rsidRPr="004A7981">
        <w:rPr>
          <w:lang w:val="en-US"/>
        </w:rPr>
        <w:t xml:space="preserve"> </w:t>
      </w:r>
      <w:r w:rsidR="00901461" w:rsidRPr="00BC23CF">
        <w:rPr>
          <w:position w:val="-6"/>
        </w:rPr>
        <w:object w:dxaOrig="240" w:dyaOrig="220" w14:anchorId="00BA0294">
          <v:shape id="_x0000_i1034" type="#_x0000_t75" style="width:12pt;height:10.6pt" o:ole="">
            <v:imagedata r:id="rId17" o:title=""/>
          </v:shape>
          <o:OLEObject Type="Embed" ProgID="Equation.DSMT4" ShapeID="_x0000_i1034" DrawAspect="Content" ObjectID="_1778388801" r:id="rId25"/>
        </w:object>
      </w:r>
      <w:r w:rsidR="00901461" w:rsidRPr="004A7981">
        <w:rPr>
          <w:lang w:val="en-US"/>
        </w:rPr>
        <w:t xml:space="preserve">= 1.7; </w:t>
      </w:r>
      <w:r w:rsidR="00901461" w:rsidRPr="00901461">
        <w:rPr>
          <w:position w:val="-10"/>
        </w:rPr>
        <w:object w:dxaOrig="240" w:dyaOrig="320" w14:anchorId="6AF7B547">
          <v:shape id="_x0000_i1035" type="#_x0000_t75" style="width:12pt;height:16.6pt" o:ole="">
            <v:imagedata r:id="rId19" o:title=""/>
          </v:shape>
          <o:OLEObject Type="Embed" ProgID="Equation.DSMT4" ShapeID="_x0000_i1035" DrawAspect="Content" ObjectID="_1778388802" r:id="rId26"/>
        </w:object>
      </w:r>
      <w:r w:rsidR="00901461" w:rsidRPr="004A7981">
        <w:rPr>
          <w:lang w:val="en-US"/>
        </w:rPr>
        <w:t xml:space="preserve">= 0.0; </w:t>
      </w:r>
      <w:r w:rsidR="00901461" w:rsidRPr="00901461">
        <w:rPr>
          <w:position w:val="-10"/>
        </w:rPr>
        <w:object w:dxaOrig="200" w:dyaOrig="260" w14:anchorId="3D6FC04E">
          <v:shape id="_x0000_i1036" type="#_x0000_t75" style="width:9.9pt;height:13.05pt" o:ole="">
            <v:imagedata r:id="rId21" o:title=""/>
          </v:shape>
          <o:OLEObject Type="Embed" ProgID="Equation.DSMT4" ShapeID="_x0000_i1036" DrawAspect="Content" ObjectID="_1778388803" r:id="rId27"/>
        </w:object>
      </w:r>
      <w:r w:rsidR="00901461" w:rsidRPr="004A7981">
        <w:rPr>
          <w:lang w:val="en-US"/>
        </w:rPr>
        <w:t xml:space="preserve">= 1.0; </w:t>
      </w:r>
      <w:r w:rsidR="00901461" w:rsidRPr="00901461">
        <w:rPr>
          <w:position w:val="-6"/>
        </w:rPr>
        <w:object w:dxaOrig="220" w:dyaOrig="279" w14:anchorId="1A43F5E0">
          <v:shape id="_x0000_i1037" type="#_x0000_t75" style="width:10.6pt;height:14.1pt" o:ole="">
            <v:imagedata r:id="rId23" o:title=""/>
          </v:shape>
          <o:OLEObject Type="Embed" ProgID="Equation.DSMT4" ShapeID="_x0000_i1037" DrawAspect="Content" ObjectID="_1778388804" r:id="rId28"/>
        </w:object>
      </w:r>
      <w:r w:rsidR="00901461" w:rsidRPr="004A7981">
        <w:rPr>
          <w:lang w:val="en-US"/>
        </w:rPr>
        <w:t>= 1.0.</w:t>
      </w:r>
      <w:r w:rsidR="00761615" w:rsidRPr="004A7981">
        <w:rPr>
          <w:lang w:val="en-US"/>
        </w:rPr>
        <w:t xml:space="preserve"> </w:t>
      </w:r>
      <w:r w:rsidRPr="004A7981">
        <w:rPr>
          <w:lang w:val="en-US"/>
        </w:rPr>
        <w:t xml:space="preserve">The function </w:t>
      </w:r>
      <w:proofErr w:type="spellStart"/>
      <w:r w:rsidRPr="004A7981">
        <w:rPr>
          <w:b/>
          <w:bCs/>
          <w:lang w:val="en-US"/>
        </w:rPr>
        <w:t>levy_stable.rvs</w:t>
      </w:r>
      <w:proofErr w:type="spellEnd"/>
      <w:r w:rsidRPr="004A7981">
        <w:rPr>
          <w:lang w:val="en-US"/>
        </w:rPr>
        <w:t>, which generates random numbers from the Levy stable distribution, was used to generate a sample of random numbers from the Levy distribution with specified parameters. The Levy stable distribution is a generalization of the normal distribution and has four parameters. The time series generated to solve the problem is presented in Fig. 1.</w:t>
      </w:r>
      <w:r w:rsidR="002059C0" w:rsidRPr="004A7981">
        <w:rPr>
          <w:lang w:val="en-US"/>
        </w:rPr>
        <w:t xml:space="preserve"> </w:t>
      </w:r>
      <w:r w:rsidRPr="004A7981">
        <w:rPr>
          <w:lang w:val="en-US"/>
        </w:rPr>
        <w:t>It is worth noting that stable distributions have heavy tails, which means that they can generate values with large deviations from the mean. Depending on the parameters of the distribution, such strong departures can be quite typical.</w:t>
      </w:r>
      <w:r>
        <w:rPr>
          <w:lang w:val="en-US"/>
        </w:rPr>
        <w:t xml:space="preserve"> </w:t>
      </w:r>
      <w:r w:rsidR="008226C3" w:rsidRPr="008226C3">
        <w:rPr>
          <w:lang w:val="en-US"/>
        </w:rPr>
        <w:t>The corresponding probability density distribution is shown in Fig. 2.</w:t>
      </w:r>
    </w:p>
    <w:p w14:paraId="2F9DE11C" w14:textId="55252A30" w:rsidR="002059C0" w:rsidRDefault="00FB444D" w:rsidP="002059C0">
      <w:pPr>
        <w:ind w:firstLine="0"/>
        <w:jc w:val="center"/>
      </w:pPr>
      <w:r>
        <w:rPr>
          <w:noProof/>
        </w:rPr>
        <w:lastRenderedPageBreak/>
        <w:drawing>
          <wp:inline distT="0" distB="0" distL="0" distR="0" wp14:anchorId="0DD05CDD" wp14:editId="45BCF27C">
            <wp:extent cx="5796501" cy="3124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2496" cy="3127952"/>
                    </a:xfrm>
                    <a:prstGeom prst="rect">
                      <a:avLst/>
                    </a:prstGeom>
                  </pic:spPr>
                </pic:pic>
              </a:graphicData>
            </a:graphic>
          </wp:inline>
        </w:drawing>
      </w:r>
    </w:p>
    <w:p w14:paraId="56B579B5" w14:textId="369CDA02" w:rsidR="008226C3" w:rsidRDefault="008226C3" w:rsidP="002059C0">
      <w:pPr>
        <w:ind w:firstLine="0"/>
        <w:jc w:val="center"/>
        <w:rPr>
          <w:lang w:val="en-US"/>
        </w:rPr>
      </w:pPr>
      <w:r w:rsidRPr="008226C3">
        <w:rPr>
          <w:lang w:val="en-US"/>
        </w:rPr>
        <w:t xml:space="preserve">Figure 1 </w:t>
      </w:r>
      <w:r>
        <w:rPr>
          <w:lang w:val="en-US"/>
        </w:rPr>
        <w:t>–</w:t>
      </w:r>
      <w:r w:rsidRPr="008226C3">
        <w:rPr>
          <w:lang w:val="en-US"/>
        </w:rPr>
        <w:t xml:space="preserve"> Time series using a stable distribution</w:t>
      </w:r>
    </w:p>
    <w:p w14:paraId="50DE5085" w14:textId="77777777" w:rsidR="008226C3" w:rsidRPr="008226C3" w:rsidRDefault="008226C3" w:rsidP="002059C0">
      <w:pPr>
        <w:ind w:firstLine="0"/>
        <w:jc w:val="center"/>
        <w:rPr>
          <w:lang w:val="en-US"/>
        </w:rPr>
      </w:pPr>
    </w:p>
    <w:p w14:paraId="4024CFB9" w14:textId="7E99E1EC" w:rsidR="008226C3" w:rsidRDefault="008226C3" w:rsidP="002059C0">
      <w:pPr>
        <w:ind w:firstLine="0"/>
        <w:jc w:val="center"/>
      </w:pPr>
      <w:r>
        <w:rPr>
          <w:noProof/>
        </w:rPr>
        <w:drawing>
          <wp:inline distT="0" distB="0" distL="0" distR="0" wp14:anchorId="707D1A69" wp14:editId="43A490BE">
            <wp:extent cx="5724940" cy="299740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103" cy="3001682"/>
                    </a:xfrm>
                    <a:prstGeom prst="rect">
                      <a:avLst/>
                    </a:prstGeom>
                  </pic:spPr>
                </pic:pic>
              </a:graphicData>
            </a:graphic>
          </wp:inline>
        </w:drawing>
      </w:r>
    </w:p>
    <w:p w14:paraId="3492BC46" w14:textId="77777777" w:rsidR="008226C3" w:rsidRDefault="008226C3" w:rsidP="008226C3">
      <w:pPr>
        <w:ind w:firstLine="0"/>
        <w:jc w:val="center"/>
        <w:rPr>
          <w:lang w:val="en-US"/>
        </w:rPr>
      </w:pPr>
      <w:r w:rsidRPr="008226C3">
        <w:rPr>
          <w:lang w:val="en-US"/>
        </w:rPr>
        <w:t xml:space="preserve">Fig. 2 </w:t>
      </w:r>
      <w:r>
        <w:rPr>
          <w:lang w:val="en-US"/>
        </w:rPr>
        <w:t>–</w:t>
      </w:r>
      <w:r w:rsidRPr="008226C3">
        <w:rPr>
          <w:lang w:val="en-US"/>
        </w:rPr>
        <w:t xml:space="preserve"> Probability density function of the stable distribution </w:t>
      </w:r>
    </w:p>
    <w:p w14:paraId="05B842CF" w14:textId="1B519826" w:rsidR="002059C0" w:rsidRDefault="008226C3" w:rsidP="002059C0">
      <w:pPr>
        <w:ind w:firstLine="0"/>
        <w:jc w:val="center"/>
        <w:rPr>
          <w:lang w:val="en-US"/>
        </w:rPr>
      </w:pPr>
      <w:r w:rsidRPr="008226C3">
        <w:rPr>
          <w:lang w:val="en-US"/>
        </w:rPr>
        <w:t>(</w:t>
      </w:r>
      <w:r w:rsidRPr="00BC23CF">
        <w:rPr>
          <w:position w:val="-6"/>
        </w:rPr>
        <w:object w:dxaOrig="240" w:dyaOrig="220" w14:anchorId="12DF0217">
          <v:shape id="_x0000_i1038" type="#_x0000_t75" style="width:12pt;height:10.6pt" o:ole="">
            <v:imagedata r:id="rId17" o:title=""/>
          </v:shape>
          <o:OLEObject Type="Embed" ProgID="Equation.DSMT4" ShapeID="_x0000_i1038" DrawAspect="Content" ObjectID="_1778388805" r:id="rId31"/>
        </w:object>
      </w:r>
      <w:r w:rsidRPr="004A7981">
        <w:rPr>
          <w:lang w:val="en-US"/>
        </w:rPr>
        <w:t xml:space="preserve">= 1.7; </w:t>
      </w:r>
      <w:r w:rsidRPr="00901461">
        <w:rPr>
          <w:position w:val="-10"/>
        </w:rPr>
        <w:object w:dxaOrig="240" w:dyaOrig="320" w14:anchorId="105FE348">
          <v:shape id="_x0000_i1039" type="#_x0000_t75" style="width:12pt;height:16.6pt" o:ole="">
            <v:imagedata r:id="rId19" o:title=""/>
          </v:shape>
          <o:OLEObject Type="Embed" ProgID="Equation.DSMT4" ShapeID="_x0000_i1039" DrawAspect="Content" ObjectID="_1778388806" r:id="rId32"/>
        </w:object>
      </w:r>
      <w:r w:rsidRPr="004A7981">
        <w:rPr>
          <w:lang w:val="en-US"/>
        </w:rPr>
        <w:t xml:space="preserve">= 0.0; </w:t>
      </w:r>
      <w:r w:rsidRPr="00901461">
        <w:rPr>
          <w:position w:val="-10"/>
        </w:rPr>
        <w:object w:dxaOrig="200" w:dyaOrig="260" w14:anchorId="499EFA1A">
          <v:shape id="_x0000_i1040" type="#_x0000_t75" style="width:9.9pt;height:13.05pt" o:ole="">
            <v:imagedata r:id="rId21" o:title=""/>
          </v:shape>
          <o:OLEObject Type="Embed" ProgID="Equation.DSMT4" ShapeID="_x0000_i1040" DrawAspect="Content" ObjectID="_1778388807" r:id="rId33"/>
        </w:object>
      </w:r>
      <w:r w:rsidRPr="004A7981">
        <w:rPr>
          <w:lang w:val="en-US"/>
        </w:rPr>
        <w:t xml:space="preserve">= 1.0; </w:t>
      </w:r>
      <w:r w:rsidRPr="00901461">
        <w:rPr>
          <w:position w:val="-6"/>
        </w:rPr>
        <w:object w:dxaOrig="220" w:dyaOrig="279" w14:anchorId="72ED9314">
          <v:shape id="_x0000_i1041" type="#_x0000_t75" style="width:10.6pt;height:14.1pt" o:ole="">
            <v:imagedata r:id="rId23" o:title=""/>
          </v:shape>
          <o:OLEObject Type="Embed" ProgID="Equation.DSMT4" ShapeID="_x0000_i1041" DrawAspect="Content" ObjectID="_1778388808" r:id="rId34"/>
        </w:object>
      </w:r>
      <w:r w:rsidRPr="004A7981">
        <w:rPr>
          <w:lang w:val="en-US"/>
        </w:rPr>
        <w:t>= 1.0</w:t>
      </w:r>
      <w:r w:rsidRPr="008226C3">
        <w:rPr>
          <w:lang w:val="en-US"/>
        </w:rPr>
        <w:t>)</w:t>
      </w:r>
    </w:p>
    <w:p w14:paraId="2446BC74" w14:textId="77777777" w:rsidR="007B796C" w:rsidRPr="008226C3" w:rsidRDefault="007B796C" w:rsidP="002059C0">
      <w:pPr>
        <w:ind w:firstLine="0"/>
        <w:jc w:val="center"/>
        <w:rPr>
          <w:lang w:val="en-US"/>
        </w:rPr>
      </w:pPr>
    </w:p>
    <w:p w14:paraId="3E00F211" w14:textId="77777777" w:rsidR="007B796C" w:rsidRDefault="007B796C" w:rsidP="00D1704D">
      <w:pPr>
        <w:pStyle w:val="MTDisplayEquation"/>
        <w:rPr>
          <w:lang w:val="en-US"/>
        </w:rPr>
      </w:pPr>
      <w:r w:rsidRPr="007B796C">
        <w:rPr>
          <w:lang w:val="en-US"/>
        </w:rPr>
        <w:t>After generating a time series of 750 observations, we calculate the returns for one day:</w:t>
      </w:r>
    </w:p>
    <w:p w14:paraId="0DB6AAC1" w14:textId="4B3343C4" w:rsidR="00D1704D" w:rsidRPr="007B796C" w:rsidRDefault="00D1704D" w:rsidP="00D1704D">
      <w:pPr>
        <w:pStyle w:val="MTDisplayEquation"/>
        <w:rPr>
          <w:lang w:val="en-US"/>
        </w:rPr>
      </w:pPr>
      <w:r w:rsidRPr="007B796C">
        <w:rPr>
          <w:lang w:val="en-US"/>
        </w:rPr>
        <w:tab/>
      </w:r>
      <w:r w:rsidR="00FB444D" w:rsidRPr="00D1704D">
        <w:rPr>
          <w:position w:val="-30"/>
        </w:rPr>
        <w:object w:dxaOrig="2439" w:dyaOrig="680" w14:anchorId="11999400">
          <v:shape id="_x0000_i1042" type="#_x0000_t75" style="width:122.1pt;height:33.9pt" o:ole="">
            <v:imagedata r:id="rId35" o:title=""/>
          </v:shape>
          <o:OLEObject Type="Embed" ProgID="Equation.DSMT4" ShapeID="_x0000_i1042" DrawAspect="Content" ObjectID="_1778388809" r:id="rId36"/>
        </w:object>
      </w:r>
      <w:r w:rsidRPr="007B796C">
        <w:rPr>
          <w:lang w:val="en-US"/>
        </w:rPr>
        <w:tab/>
      </w:r>
      <w:r>
        <w:fldChar w:fldCharType="begin"/>
      </w:r>
      <w:r w:rsidRPr="007B796C">
        <w:rPr>
          <w:lang w:val="en-US"/>
        </w:rPr>
        <w:instrText xml:space="preserve"> MACROBUTTON MTPlaceRef \* MERGEFORMAT </w:instrText>
      </w:r>
      <w:r>
        <w:fldChar w:fldCharType="begin"/>
      </w:r>
      <w:r w:rsidRPr="007B796C">
        <w:rPr>
          <w:lang w:val="en-US"/>
        </w:rPr>
        <w:instrText xml:space="preserve"> SEQ MTEqn \h \* MERGEFORMAT </w:instrText>
      </w:r>
      <w:r>
        <w:fldChar w:fldCharType="end"/>
      </w:r>
      <w:r w:rsidRPr="007B796C">
        <w:rPr>
          <w:lang w:val="en-US"/>
        </w:rPr>
        <w:instrText>(</w:instrText>
      </w:r>
      <w:r w:rsidR="009E6DB6">
        <w:fldChar w:fldCharType="begin"/>
      </w:r>
      <w:r w:rsidR="009E6DB6" w:rsidRPr="007B796C">
        <w:rPr>
          <w:lang w:val="en-US"/>
        </w:rPr>
        <w:instrText xml:space="preserve"> SEQ MTEqn \c \* Arabic \* MERGEFORMAT </w:instrText>
      </w:r>
      <w:r w:rsidR="009E6DB6">
        <w:fldChar w:fldCharType="separate"/>
      </w:r>
      <w:r w:rsidR="001E4341">
        <w:rPr>
          <w:noProof/>
          <w:lang w:val="en-US"/>
        </w:rPr>
        <w:instrText>2</w:instrText>
      </w:r>
      <w:r w:rsidR="009E6DB6">
        <w:rPr>
          <w:noProof/>
        </w:rPr>
        <w:fldChar w:fldCharType="end"/>
      </w:r>
      <w:r w:rsidRPr="007B796C">
        <w:rPr>
          <w:lang w:val="en-US"/>
        </w:rPr>
        <w:instrText>)</w:instrText>
      </w:r>
      <w:r>
        <w:fldChar w:fldCharType="end"/>
      </w:r>
    </w:p>
    <w:p w14:paraId="430B44EF" w14:textId="2EA324AF" w:rsidR="00D1704D" w:rsidRPr="007B796C" w:rsidRDefault="007B796C" w:rsidP="002059C0">
      <w:pPr>
        <w:rPr>
          <w:lang w:val="en-US"/>
        </w:rPr>
      </w:pPr>
      <w:r w:rsidRPr="007B796C">
        <w:rPr>
          <w:lang w:val="en-US"/>
        </w:rPr>
        <w:t>Similarly, we will get the yield for 10 days:</w:t>
      </w:r>
    </w:p>
    <w:p w14:paraId="70EDBFE5" w14:textId="0B875FA5" w:rsidR="001B2168" w:rsidRDefault="00FB444D" w:rsidP="007B796C">
      <w:pPr>
        <w:pStyle w:val="MTDisplayEquation"/>
      </w:pPr>
      <w:r w:rsidRPr="007B796C">
        <w:rPr>
          <w:lang w:val="en-US"/>
        </w:rPr>
        <w:tab/>
      </w:r>
      <w:r w:rsidRPr="00FB444D">
        <w:rPr>
          <w:position w:val="-30"/>
        </w:rPr>
        <w:object w:dxaOrig="1359" w:dyaOrig="680" w14:anchorId="29F21CDD">
          <v:shape id="_x0000_i1043" type="#_x0000_t75" style="width:68.1pt;height:33.9pt" o:ole="">
            <v:imagedata r:id="rId37" o:title=""/>
          </v:shape>
          <o:OLEObject Type="Embed" ProgID="Equation.DSMT4" ShapeID="_x0000_i1043" DrawAspect="Content" ObjectID="_1778388810"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E4341">
        <w:fldChar w:fldCharType="begin"/>
      </w:r>
      <w:r w:rsidR="001E4341">
        <w:instrText xml:space="preserve"> SEQ MTEqn \c \* Arabic \* MERGEFORMAT </w:instrText>
      </w:r>
      <w:r w:rsidR="001E4341">
        <w:fldChar w:fldCharType="separate"/>
      </w:r>
      <w:r w:rsidR="001E4341">
        <w:rPr>
          <w:noProof/>
        </w:rPr>
        <w:instrText>3</w:instrText>
      </w:r>
      <w:r w:rsidR="001E4341">
        <w:rPr>
          <w:noProof/>
        </w:rPr>
        <w:fldChar w:fldCharType="end"/>
      </w:r>
      <w:r>
        <w:instrText>)</w:instrText>
      </w:r>
      <w:r>
        <w:fldChar w:fldCharType="end"/>
      </w:r>
    </w:p>
    <w:p w14:paraId="27F55FCD" w14:textId="77777777" w:rsidR="001E4341" w:rsidRDefault="001E4341" w:rsidP="007B796C">
      <w:pPr>
        <w:rPr>
          <w:lang w:val="en-US"/>
        </w:rPr>
      </w:pPr>
      <w:r w:rsidRPr="001E4341">
        <w:rPr>
          <w:lang w:val="en-US"/>
        </w:rPr>
        <w:lastRenderedPageBreak/>
        <w:t>Since the 1-day return is defined as the difference between the stock price on the next day and the current price, divided by the current price</w:t>
      </w:r>
      <w:r w:rsidRPr="001E4341">
        <w:rPr>
          <w:lang w:val="en-US"/>
        </w:rPr>
        <w:t xml:space="preserve"> (2)</w:t>
      </w:r>
      <w:r w:rsidRPr="001E4341">
        <w:rPr>
          <w:lang w:val="en-US"/>
        </w:rPr>
        <w:t>, and the 10-day return is defined similarly</w:t>
      </w:r>
      <w:r w:rsidRPr="001E4341">
        <w:rPr>
          <w:lang w:val="en-US"/>
        </w:rPr>
        <w:t xml:space="preserve"> (3)</w:t>
      </w:r>
      <w:r w:rsidRPr="001E4341">
        <w:rPr>
          <w:lang w:val="en-US"/>
        </w:rPr>
        <w:t>, we can express the 10-day return in terms of the 1-day return as follows:</w:t>
      </w:r>
    </w:p>
    <w:p w14:paraId="5EE25B66" w14:textId="40E746C2" w:rsidR="001E4341" w:rsidRDefault="001E4341" w:rsidP="001E4341">
      <w:pPr>
        <w:pStyle w:val="MTDisplayEquation"/>
        <w:rPr>
          <w:lang w:val="en-US"/>
        </w:rPr>
      </w:pPr>
      <w:r>
        <w:rPr>
          <w:lang w:val="en-US"/>
        </w:rPr>
        <w:tab/>
      </w:r>
      <w:r w:rsidRPr="001E4341">
        <w:rPr>
          <w:position w:val="-16"/>
          <w:lang w:val="en-US"/>
        </w:rPr>
        <w:object w:dxaOrig="1980" w:dyaOrig="460" w14:anchorId="17C585C2">
          <v:shape id="_x0000_i1091" type="#_x0000_t75" style="width:99.2pt;height:22.95pt" o:ole="">
            <v:imagedata r:id="rId39" o:title=""/>
          </v:shape>
          <o:OLEObject Type="Embed" ProgID="Equation.DSMT4" ShapeID="_x0000_i1091" DrawAspect="Content" ObjectID="_1778388811" r:id="rId40"/>
        </w:objec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Pr>
          <w:noProof/>
          <w:lang w:val="en-US"/>
        </w:rPr>
        <w:instrText>4</w:instrText>
      </w:r>
      <w:r>
        <w:rPr>
          <w:lang w:val="en-US"/>
        </w:rPr>
        <w:fldChar w:fldCharType="end"/>
      </w:r>
      <w:r>
        <w:rPr>
          <w:lang w:val="en-US"/>
        </w:rPr>
        <w:instrText>)</w:instrText>
      </w:r>
      <w:r>
        <w:rPr>
          <w:lang w:val="en-US"/>
        </w:rPr>
        <w:fldChar w:fldCharType="end"/>
      </w:r>
    </w:p>
    <w:p w14:paraId="6C4F46A3" w14:textId="2DA47863" w:rsidR="007B796C" w:rsidRPr="007B796C" w:rsidRDefault="007B796C" w:rsidP="007B796C">
      <w:pPr>
        <w:rPr>
          <w:lang w:val="en-US"/>
        </w:rPr>
      </w:pPr>
      <w:r w:rsidRPr="007B796C">
        <w:rPr>
          <w:lang w:val="en-US"/>
        </w:rPr>
        <w:t>Next, it is necessary to generate a set of realizations of the time series and calculate the corresponding 10-day returns. Modeling was carried out on the basis of the Monte</w:t>
      </w:r>
      <w:r>
        <w:rPr>
          <w:lang w:val="en-US"/>
        </w:rPr>
        <w:t>-</w:t>
      </w:r>
      <w:r w:rsidRPr="007B796C">
        <w:rPr>
          <w:lang w:val="en-US"/>
        </w:rPr>
        <w:t>Carlo method. Monte</w:t>
      </w:r>
      <w:r>
        <w:rPr>
          <w:lang w:val="en-US"/>
        </w:rPr>
        <w:t>-</w:t>
      </w:r>
      <w:r w:rsidRPr="007B796C">
        <w:rPr>
          <w:lang w:val="en-US"/>
        </w:rPr>
        <w:t>Carlo is a method of analysis used when parameters are known approximately and there is information about statistical distribution of these parameters. To perform the analysis, a large number of random parameter values are generated, for each such value the calculation is performed and the statistical distribution for the result is formed.</w:t>
      </w:r>
    </w:p>
    <w:p w14:paraId="3855DEF1" w14:textId="77777777" w:rsidR="007B796C" w:rsidRPr="007B796C" w:rsidRDefault="007B796C" w:rsidP="007B796C">
      <w:pPr>
        <w:rPr>
          <w:lang w:val="en-US"/>
        </w:rPr>
      </w:pPr>
      <w:r w:rsidRPr="007B796C">
        <w:rPr>
          <w:lang w:val="en-US"/>
        </w:rPr>
        <w:t xml:space="preserve">As can be seen from the histogram presented in Fig. 4, the most frequent value of 0.01 quantile of 10-day returns lies between 20 and 40. </w:t>
      </w:r>
    </w:p>
    <w:p w14:paraId="52A6A0EB" w14:textId="34C5F3F8" w:rsidR="009C41DE" w:rsidRPr="007B796C" w:rsidRDefault="007B796C" w:rsidP="00582985">
      <w:pPr>
        <w:rPr>
          <w:lang w:val="en-US"/>
        </w:rPr>
      </w:pPr>
      <w:r w:rsidRPr="007B796C">
        <w:rPr>
          <w:lang w:val="en-US"/>
        </w:rPr>
        <w:t>Thus, based on Monte Carlo simulation it is obtained that:</w:t>
      </w:r>
      <w:r w:rsidR="009C41DE" w:rsidRPr="007B796C">
        <w:rPr>
          <w:lang w:val="en-US"/>
        </w:rPr>
        <w:t xml:space="preserve"> </w:t>
      </w:r>
    </w:p>
    <w:p w14:paraId="18A9DE0C" w14:textId="5D78345B" w:rsidR="009C41DE" w:rsidRPr="007B796C" w:rsidRDefault="009C41DE" w:rsidP="007B796C">
      <w:pPr>
        <w:pStyle w:val="a3"/>
        <w:numPr>
          <w:ilvl w:val="0"/>
          <w:numId w:val="3"/>
        </w:numPr>
        <w:rPr>
          <w:b/>
          <w:bCs/>
          <w:lang w:val="en-US"/>
        </w:rPr>
      </w:pPr>
      <w:r w:rsidRPr="007B796C">
        <w:rPr>
          <w:b/>
          <w:bCs/>
          <w:lang w:val="en-US"/>
        </w:rPr>
        <w:t>Mean of 0.01 quantile: -34.78403715522337</w:t>
      </w:r>
    </w:p>
    <w:p w14:paraId="33648B48" w14:textId="77777777" w:rsidR="009C41DE" w:rsidRPr="007B796C" w:rsidRDefault="009C41DE" w:rsidP="007B796C">
      <w:pPr>
        <w:pStyle w:val="a3"/>
        <w:numPr>
          <w:ilvl w:val="0"/>
          <w:numId w:val="3"/>
        </w:numPr>
        <w:rPr>
          <w:b/>
          <w:bCs/>
          <w:lang w:val="en-US"/>
        </w:rPr>
      </w:pPr>
      <w:r w:rsidRPr="007B796C">
        <w:rPr>
          <w:b/>
          <w:bCs/>
          <w:lang w:val="en-US"/>
        </w:rPr>
        <w:t>Standard deviation of 0.01 quantile: 13.27101320458005</w:t>
      </w:r>
    </w:p>
    <w:p w14:paraId="332E565F" w14:textId="72CA0820" w:rsidR="001B2168" w:rsidRDefault="001B2168" w:rsidP="001B2168">
      <w:pPr>
        <w:ind w:firstLine="0"/>
      </w:pPr>
      <w:r>
        <w:rPr>
          <w:noProof/>
        </w:rPr>
        <w:drawing>
          <wp:inline distT="0" distB="0" distL="0" distR="0" wp14:anchorId="15D46F3E" wp14:editId="147BED13">
            <wp:extent cx="5940425" cy="31438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43885"/>
                    </a:xfrm>
                    <a:prstGeom prst="rect">
                      <a:avLst/>
                    </a:prstGeom>
                  </pic:spPr>
                </pic:pic>
              </a:graphicData>
            </a:graphic>
          </wp:inline>
        </w:drawing>
      </w:r>
    </w:p>
    <w:p w14:paraId="4361D724" w14:textId="3445BCF1" w:rsidR="007B796C" w:rsidRDefault="007B796C" w:rsidP="007B796C">
      <w:pPr>
        <w:ind w:firstLine="0"/>
        <w:jc w:val="center"/>
        <w:rPr>
          <w:lang w:val="en-US"/>
        </w:rPr>
      </w:pPr>
      <w:r w:rsidRPr="007B796C">
        <w:rPr>
          <w:lang w:val="en-US"/>
        </w:rPr>
        <w:t xml:space="preserve">Fig. </w:t>
      </w:r>
      <w:r>
        <w:rPr>
          <w:lang w:val="en-US"/>
        </w:rPr>
        <w:t>3</w:t>
      </w:r>
      <w:r w:rsidRPr="007B796C">
        <w:rPr>
          <w:lang w:val="en-US"/>
        </w:rPr>
        <w:t xml:space="preserve"> </w:t>
      </w:r>
      <w:r>
        <w:rPr>
          <w:lang w:val="en-US"/>
        </w:rPr>
        <w:t>–</w:t>
      </w:r>
      <w:r w:rsidRPr="007B796C">
        <w:rPr>
          <w:lang w:val="en-US"/>
        </w:rPr>
        <w:t xml:space="preserve"> Distribution of 0.01 quantile of returns for 10 days</w:t>
      </w:r>
      <w:r>
        <w:rPr>
          <w:lang w:val="en-US"/>
        </w:rPr>
        <w:t xml:space="preserve"> </w:t>
      </w:r>
      <w:r w:rsidRPr="007B796C">
        <w:rPr>
          <w:lang w:val="en-US"/>
        </w:rPr>
        <w:t>in Monte</w:t>
      </w:r>
      <w:r>
        <w:rPr>
          <w:lang w:val="en-US"/>
        </w:rPr>
        <w:t>-</w:t>
      </w:r>
      <w:r w:rsidRPr="007B796C">
        <w:rPr>
          <w:lang w:val="en-US"/>
        </w:rPr>
        <w:t>Carlo simulation</w:t>
      </w:r>
    </w:p>
    <w:p w14:paraId="6FCDD1D0" w14:textId="45F6F8EC" w:rsidR="007B796C" w:rsidRDefault="007B796C" w:rsidP="007B796C">
      <w:pPr>
        <w:ind w:firstLine="0"/>
        <w:jc w:val="center"/>
        <w:rPr>
          <w:lang w:val="en-US"/>
        </w:rPr>
      </w:pPr>
    </w:p>
    <w:p w14:paraId="2EB83FFD" w14:textId="7A496DAC" w:rsidR="007B796C" w:rsidRPr="007B796C" w:rsidRDefault="007B796C" w:rsidP="007B796C">
      <w:pPr>
        <w:rPr>
          <w:lang w:val="en-US"/>
        </w:rPr>
      </w:pPr>
      <w:r w:rsidRPr="007B796C">
        <w:rPr>
          <w:lang w:val="en-US"/>
        </w:rPr>
        <w:t>The study of the convergence of the sought value, which is presented in Fig. 5, confirms the fact that the results obtained in the course of the work have satisfactory accuracy, and the number of Monte Carlo tests is sufficient.</w:t>
      </w:r>
    </w:p>
    <w:p w14:paraId="35D5FB7F" w14:textId="28FE6B29" w:rsidR="008E08AE" w:rsidRDefault="008E08AE" w:rsidP="007B796C">
      <w:pPr>
        <w:ind w:firstLine="0"/>
      </w:pPr>
      <w:r>
        <w:rPr>
          <w:noProof/>
        </w:rPr>
        <w:lastRenderedPageBreak/>
        <w:drawing>
          <wp:inline distT="0" distB="0" distL="0" distR="0" wp14:anchorId="0CD7D567" wp14:editId="4EBB77EC">
            <wp:extent cx="5940425" cy="31375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37535"/>
                    </a:xfrm>
                    <a:prstGeom prst="rect">
                      <a:avLst/>
                    </a:prstGeom>
                  </pic:spPr>
                </pic:pic>
              </a:graphicData>
            </a:graphic>
          </wp:inline>
        </w:drawing>
      </w:r>
    </w:p>
    <w:p w14:paraId="2497462E" w14:textId="7A457C83" w:rsidR="008E08AE" w:rsidRPr="007B796C" w:rsidRDefault="007B796C" w:rsidP="007B796C">
      <w:pPr>
        <w:ind w:firstLine="0"/>
        <w:jc w:val="center"/>
        <w:rPr>
          <w:lang w:val="en-US"/>
        </w:rPr>
      </w:pPr>
      <w:r w:rsidRPr="007B796C">
        <w:rPr>
          <w:lang w:val="en-US"/>
        </w:rPr>
        <w:t xml:space="preserve">Fig. 4 </w:t>
      </w:r>
      <w:r>
        <w:rPr>
          <w:lang w:val="en-US"/>
        </w:rPr>
        <w:t>–</w:t>
      </w:r>
      <w:r w:rsidRPr="007B796C">
        <w:rPr>
          <w:lang w:val="en-US"/>
        </w:rPr>
        <w:t xml:space="preserve"> Convergence of 0.01 quantile in Monte</w:t>
      </w:r>
      <w:r>
        <w:rPr>
          <w:lang w:val="en-US"/>
        </w:rPr>
        <w:t>-</w:t>
      </w:r>
      <w:r w:rsidRPr="007B796C">
        <w:rPr>
          <w:lang w:val="en-US"/>
        </w:rPr>
        <w:t>Carlo simulations</w:t>
      </w:r>
    </w:p>
    <w:sectPr w:rsidR="008E08AE" w:rsidRPr="007B7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DB9"/>
    <w:multiLevelType w:val="hybridMultilevel"/>
    <w:tmpl w:val="00B8E63A"/>
    <w:lvl w:ilvl="0" w:tplc="17BCF92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DC07287"/>
    <w:multiLevelType w:val="hybridMultilevel"/>
    <w:tmpl w:val="7A686418"/>
    <w:lvl w:ilvl="0" w:tplc="B7BAFA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F035805"/>
    <w:multiLevelType w:val="hybridMultilevel"/>
    <w:tmpl w:val="25686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79"/>
    <w:rsid w:val="00116991"/>
    <w:rsid w:val="00137F79"/>
    <w:rsid w:val="00194910"/>
    <w:rsid w:val="001A10E9"/>
    <w:rsid w:val="001B2168"/>
    <w:rsid w:val="001E4341"/>
    <w:rsid w:val="002021A8"/>
    <w:rsid w:val="002059C0"/>
    <w:rsid w:val="004477B5"/>
    <w:rsid w:val="004A7981"/>
    <w:rsid w:val="00582985"/>
    <w:rsid w:val="00761615"/>
    <w:rsid w:val="007B796C"/>
    <w:rsid w:val="008226C3"/>
    <w:rsid w:val="00862504"/>
    <w:rsid w:val="008627F4"/>
    <w:rsid w:val="008D452A"/>
    <w:rsid w:val="008E08AE"/>
    <w:rsid w:val="00901461"/>
    <w:rsid w:val="009440E2"/>
    <w:rsid w:val="009C41DE"/>
    <w:rsid w:val="009E2D00"/>
    <w:rsid w:val="009E6DB6"/>
    <w:rsid w:val="00BA353C"/>
    <w:rsid w:val="00C37CDD"/>
    <w:rsid w:val="00D023C2"/>
    <w:rsid w:val="00D1704D"/>
    <w:rsid w:val="00D251BF"/>
    <w:rsid w:val="00E4598B"/>
    <w:rsid w:val="00E5172C"/>
    <w:rsid w:val="00E6166D"/>
    <w:rsid w:val="00E82ACB"/>
    <w:rsid w:val="00FB4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A3BC"/>
  <w15:chartTrackingRefBased/>
  <w15:docId w15:val="{8F7F5BCA-3291-44D4-8DDE-61D161BB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CDD"/>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ACB"/>
    <w:pPr>
      <w:ind w:left="720"/>
      <w:contextualSpacing/>
    </w:pPr>
  </w:style>
  <w:style w:type="paragraph" w:customStyle="1" w:styleId="MTDisplayEquation">
    <w:name w:val="MTDisplayEquation"/>
    <w:basedOn w:val="a"/>
    <w:next w:val="a"/>
    <w:link w:val="MTDisplayEquation0"/>
    <w:rsid w:val="00D023C2"/>
    <w:pPr>
      <w:tabs>
        <w:tab w:val="center" w:pos="4680"/>
        <w:tab w:val="right" w:pos="9360"/>
      </w:tabs>
    </w:pPr>
  </w:style>
  <w:style w:type="character" w:customStyle="1" w:styleId="MTDisplayEquation0">
    <w:name w:val="MTDisplayEquation Знак"/>
    <w:basedOn w:val="a0"/>
    <w:link w:val="MTDisplayEquation"/>
    <w:rsid w:val="00D023C2"/>
    <w:rPr>
      <w:rFonts w:ascii="Times New Roman" w:hAnsi="Times New Roman"/>
      <w:sz w:val="24"/>
    </w:rPr>
  </w:style>
  <w:style w:type="character" w:customStyle="1" w:styleId="MTEquationSection">
    <w:name w:val="MTEquationSection"/>
    <w:basedOn w:val="a0"/>
    <w:rsid w:val="00D023C2"/>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10.wmf"/><Relationship Id="rId34" Type="http://schemas.openxmlformats.org/officeDocument/2006/relationships/oleObject" Target="embeddings/oleObject17.bin"/><Relationship Id="rId42"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20.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3.bin"/><Relationship Id="rId36"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3.png"/><Relationship Id="rId35" Type="http://schemas.openxmlformats.org/officeDocument/2006/relationships/image" Target="media/image14.wmf"/><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oleObject" Target="embeddings/oleObject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894</Words>
  <Characters>5099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Гарбузов</dc:creator>
  <cp:keywords/>
  <dc:description/>
  <cp:lastModifiedBy>Дмитрий Гарбузов</cp:lastModifiedBy>
  <cp:revision>20</cp:revision>
  <dcterms:created xsi:type="dcterms:W3CDTF">2024-05-22T00:08:00Z</dcterms:created>
  <dcterms:modified xsi:type="dcterms:W3CDTF">2024-05-28T01:06:00Z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