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Universidad de San Carlos de Guatemala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Centro Universitario de Occidente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División de Ciencias de la Ingeniería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Carrera: </w:t>
      </w:r>
      <w:r>
        <w:rPr>
          <w:rFonts w:ascii="Times New Roman" w:hAnsi="Times New Roman" w:eastAsia="Times New Roman" w:cs="Times New Roman"/>
        </w:rPr>
        <w:t xml:space="preserve">Ingeniería en Ciencias y Sistemas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Curso: Redes 2</w:t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6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253953</wp:posOffset>
                </wp:positionV>
                <wp:extent cx="1853565" cy="1853565"/>
                <wp:effectExtent l="0" t="0" r="0" b="0"/>
                <wp:wrapSquare wrapText="bothSides"/>
                <wp:docPr id="1" name="Imagen 18" descr="Universidad de San Carlos de Guatemala | Brands of the Worl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080412" name="Imagen 18" descr="Universidad de San Carlos de Guatemala | Brands of the World ..." titl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853559" cy="18535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6;o:allowoverlap:true;o:allowincell:true;mso-position-horizontal-relative:text;margin-left:167.90pt;mso-position-horizontal:absolute;mso-position-vertical-relative:text;margin-top:20.00pt;mso-position-vertical:absolute;width:145.95pt;height:145.95pt;mso-wrap-distance-left:9.00pt;mso-wrap-distance-top:0.00pt;mso-wrap-distance-right:9.00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66"/>
        <w:pBdr/>
        <w:spacing w:after="0" w:before="0"/>
        <w:ind w:right="0" w:left="0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hAnsi="Times New Roman" w:eastAsia="Times New Roman" w:cs="Times New Roman"/>
          <w:i w:val="0"/>
          <w:sz w:val="36"/>
        </w:rPr>
      </w:r>
      <w:r>
        <w:rPr>
          <w:rFonts w:ascii="Times New Roman" w:hAnsi="Times New Roman" w:cs="Times New Roman"/>
          <w:i w:val="0"/>
        </w:rPr>
        <w:t xml:space="preserve">Proyecto 2, Documentación Estudiante 2</w:t>
      </w:r>
      <w:r>
        <w:rPr>
          <w:rFonts w:ascii="Times New Roman" w:hAnsi="Times New Roman" w:cs="Times New Roman"/>
          <w:i w:val="0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 w:left="1417"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                                                                     </w:t>
      </w:r>
      <w:r>
        <w:rPr>
          <w:rFonts w:ascii="Times New Roman" w:hAnsi="Times New Roman" w:eastAsia="Times New Roman" w:cs="Times New Roman"/>
          <w:color w:val="ff0000"/>
        </w:rPr>
        <w:t xml:space="preserve">             </w:t>
      </w:r>
      <w:r>
        <w:rPr>
          <w:rFonts w:ascii="Times New Roman" w:hAnsi="Times New Roman" w:eastAsia="Times New Roman" w:cs="Times New Roman"/>
        </w:rPr>
        <w:t xml:space="preserve">201830006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Dany Noé de León Santizo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Quetzaltenango, 10 de septiembre del 2026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Instalación y versión de Squid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documenta la instalación del servicio Squid utilizado para implementar el proxy HTTP de XelajuNetwork.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07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3624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410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8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Configuración de las interfaces y direccionamiento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documentan las interfaces del servidor Proxy y las direcciones IPv4 utilizadas para su comunicación con el Firewall y el Router.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736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8542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173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71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Configuración de las ACL de Squid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definen las redes de Administración y Usuarios para que Squid pueda aplicar políticas de filtrado diferentes según la red de origen.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898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666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89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17.3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Listas de bloqueo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filtrado de dominios se implementa mediante archivos independientes para Administración y Usuarios, permitiendo modificar las políticas sin alterar las reglas principales de Squid.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531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4153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0" r="0" b="12916"/>
                        <a:stretch/>
                      </pic:blipFill>
                      <pic:spPr bwMode="auto">
                        <a:xfrm flipH="0" flipV="0">
                          <a:off x="0" y="0"/>
                          <a:ext cx="5940424" cy="2995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5.8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Políticas de acceso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configuran las reglas que determinan qué tráfico puede ser procesado por Squid y qué dominios son bloqueados para cada VLAN.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6698" cy="613591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5224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3092" b="0"/>
                        <a:stretch/>
                      </pic:blipFill>
                      <pic:spPr bwMode="auto">
                        <a:xfrm flipH="0" flipV="0">
                          <a:off x="0" y="0"/>
                          <a:ext cx="5756698" cy="6135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28pt;height:483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2851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3343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228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96.7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Redirección del tráfico mediante nftables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Proxy utiliza nftables para redirigir hacia Squid el tráfico HTTP proveniente de las VLAN de Administración y Usuarios.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8106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0478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381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87.4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IP Forwarding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habilita temporalmente el reenvío IPv4 para permitir que el Proxy pueda participar en el flujo de tráfico entre las redes internas y el Firewall.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3389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2878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43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12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Logging de Squid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Squid registra las solicitudes procesadas para permitir posteriormente su consulta y análisis desde el portal administrativo.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1791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012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817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536.8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8991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7979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rcRect l="0" t="0" r="0" b="10025"/>
                        <a:stretch/>
                      </pic:blipFill>
                      <pic:spPr bwMode="auto">
                        <a:xfrm flipH="0" flipV="0">
                          <a:off x="0" y="0"/>
                          <a:ext cx="5940424" cy="3089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43.3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6874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558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568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23.5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Validación de la configuración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iniciar las pruebas funcionales, se verifica que la configuración de Squid sea sintácticamente válida.</w:t>
      </w:r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9085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466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6790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534.7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2009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932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920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87.4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Prueba del proxy explícito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realiza una prueba local utilizando Squid como proxy explícito para comprobar que procesa solicitudes HTTP y genera los registros correspondientes.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7469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725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1674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31.8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Portal de administración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 breve: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implementó un portal Web que permite consultar los registros generados por Squid y visualizar información básica de las solicitudes procesadas.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9628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6338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5896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464.2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748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5638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197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55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2026-10-04T22:54:36Z</dcterms:modified>
</cp:coreProperties>
</file>