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xqjsx9w0x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HealthProof - Arquitectura Profesional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de</w:t>
      </w:r>
      <w:r w:rsidDel="00000000" w:rsidR="00000000" w:rsidRPr="00000000">
        <w:rPr>
          <w:rtl w:val="0"/>
        </w:rPr>
        <w:t xml:space="preserve"> 6 capas: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sgj8134bj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1 – Blockchain (Avalanche L1 HealthProof)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EVM compatible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Avalanche Custom L1 + Solidity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o9dm2jjbg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Contracts MVP: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DocumentRegistry.sol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registerDocument(hash, issuerDID, patientDID, metadataHash)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verifyDocument(hash)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revokeDocument(hash)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IssuerRegistry.sol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registerIssuer(address, licenseHash)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suspendIssuer()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AccessControl.sol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grantAccess(documentHash, verifier)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revokeAccess()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  <w:br w:type="textWrapping"/>
        <w:t xml:space="preserve"> NO almacenar: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médicos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clínicos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Hash SHA-256 del documento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del emisor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iwni5t08i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2 – Off-chain seguro (Zero Knowledge compatible futuro)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Storage: IPFS + encryption client-side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 simétrica generada por paciente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cifrada con AES-256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CID en backend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del CID en blockchain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futuro pueden: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Integrar ZK proofs para verificación selectiva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4ba3t3ro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3 – Backend (Pablo)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oj1szdmmk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+ NestJS (arquitectura enterprise)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(caching verificación)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/ GCP para infraestructura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h9drv114l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para emisión de documento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hash SHA-256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 del issuer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Avalanche RPC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regulatorios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3aur4wkm9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/modules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/auth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/issuers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/documents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/verification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/blockchain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/encryption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cn9d5mjzf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4 – Frontend (Danilo)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debe ser Web2 con Web3 invisible.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h33bftx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abstraction (Privy o Web3Auth)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yqsybappi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 clave: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Laboratorio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Emitir documento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estado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Paciente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documentos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Compartir acceso temporal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Descargar versión verificable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Público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documento con hash o QR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6x26vvue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5 – DID como Identidad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2cel41bht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+ Verifiable Credentials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para laboratorio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para paciente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 del documento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Emisor verificable en blockchain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HealthProof como infraestructura soberana.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sar9iascc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 6 – Modelo Regulatorio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país por país: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Validadores: clínicas + aseguradoras + entidad estatal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 observador regulatorio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en tiempo real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