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p6d4ks302ker" w:id="0"/>
      <w:bookmarkEnd w:id="0"/>
      <w:r w:rsidDel="00000000" w:rsidR="00000000" w:rsidRPr="00000000">
        <w:rPr>
          <w:rFonts w:ascii="Times New Roman" w:cs="Times New Roman" w:eastAsia="Times New Roman" w:hAnsi="Times New Roman"/>
          <w:sz w:val="40"/>
          <w:szCs w:val="40"/>
          <w:u w:val="single"/>
          <w:rtl w:val="0"/>
        </w:rPr>
        <w:t xml:space="preserve">CYBER DEFENCE HUB </w:t>
      </w:r>
      <w:r w:rsidDel="00000000" w:rsidR="00000000" w:rsidRPr="00000000">
        <w:rPr>
          <w:rFonts w:ascii="Times New Roman" w:cs="Times New Roman" w:eastAsia="Times New Roman" w:hAnsi="Times New Roman"/>
          <w:sz w:val="38"/>
          <w:szCs w:val="38"/>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Cyber Defence Hub is a non-governmental organisation committed to advancing cybersecurity and digital forensics practices, education, and advocacy on a global scale.With the proliferation of digital technologies and the increasing threat landscape in cyberspace, there is an urgent need for a specialised association that brings together professionals, researchers, educators, and enthusiasts to address the challenges and opportunities in these domains.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rPr>
          <w:rFonts w:ascii="Times New Roman" w:cs="Times New Roman" w:eastAsia="Times New Roman" w:hAnsi="Times New Roman"/>
          <w:sz w:val="36"/>
          <w:szCs w:val="36"/>
        </w:rPr>
      </w:pPr>
      <w:bookmarkStart w:colFirst="0" w:colLast="0" w:name="_9uc5hc7xdcjr" w:id="1"/>
      <w:bookmarkEnd w:id="1"/>
      <w:r w:rsidDel="00000000" w:rsidR="00000000" w:rsidRPr="00000000">
        <w:rPr>
          <w:rFonts w:ascii="Times New Roman" w:cs="Times New Roman" w:eastAsia="Times New Roman" w:hAnsi="Times New Roman"/>
          <w:sz w:val="36"/>
          <w:szCs w:val="36"/>
          <w:rtl w:val="0"/>
        </w:rPr>
        <w:t xml:space="preserve">VISION</w:t>
      </w:r>
    </w:p>
    <w:p w:rsidR="00000000" w:rsidDel="00000000" w:rsidP="00000000" w:rsidRDefault="00000000" w:rsidRPr="00000000" w14:paraId="00000005">
      <w:pPr>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safer digital world where individuals, organisations and communities can thrive without fear of cyber threats, supported by education, collaboration, and ethical principles.</w:t>
      </w:r>
    </w:p>
    <w:p w:rsidR="00000000" w:rsidDel="00000000" w:rsidP="00000000" w:rsidRDefault="00000000" w:rsidRPr="00000000" w14:paraId="00000006">
      <w:pPr>
        <w:ind w:left="7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Title"/>
        <w:ind w:hanging="135"/>
        <w:rPr>
          <w:rFonts w:ascii="Times New Roman" w:cs="Times New Roman" w:eastAsia="Times New Roman" w:hAnsi="Times New Roman"/>
          <w:sz w:val="36"/>
          <w:szCs w:val="36"/>
        </w:rPr>
      </w:pPr>
      <w:bookmarkStart w:colFirst="0" w:colLast="0" w:name="_pijwfikafl8r" w:id="2"/>
      <w:bookmarkEnd w:id="2"/>
      <w:r w:rsidDel="00000000" w:rsidR="00000000" w:rsidRPr="00000000">
        <w:rPr>
          <w:rFonts w:ascii="Times New Roman" w:cs="Times New Roman" w:eastAsia="Times New Roman" w:hAnsi="Times New Roman"/>
          <w:sz w:val="36"/>
          <w:szCs w:val="36"/>
          <w:rtl w:val="0"/>
        </w:rPr>
        <w:t xml:space="preserve">MISSION</w:t>
      </w:r>
    </w:p>
    <w:p w:rsidR="00000000" w:rsidDel="00000000" w:rsidP="00000000" w:rsidRDefault="00000000" w:rsidRPr="00000000" w14:paraId="00000008">
      <w:pPr>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contribute to a safer digital environment globally, protecting individuals, communities, organisations and critical infrastructure from cyber threats and promoting responsible digital citizenship.</w:t>
      </w:r>
    </w:p>
    <w:p w:rsidR="00000000" w:rsidDel="00000000" w:rsidP="00000000" w:rsidRDefault="00000000" w:rsidRPr="00000000" w14:paraId="00000009">
      <w:pPr>
        <w:spacing w:line="256.8"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A">
      <w:pPr>
        <w:pStyle w:val="Title"/>
        <w:keepNext w:val="0"/>
        <w:keepLines w:val="0"/>
        <w:spacing w:before="480" w:lineRule="auto"/>
        <w:rPr>
          <w:rFonts w:ascii="Times New Roman" w:cs="Times New Roman" w:eastAsia="Times New Roman" w:hAnsi="Times New Roman"/>
        </w:rPr>
      </w:pPr>
      <w:bookmarkStart w:colFirst="0" w:colLast="0" w:name="_3pq3iws4dnk4" w:id="3"/>
      <w:bookmarkEnd w:id="3"/>
      <w:r w:rsidDel="00000000" w:rsidR="00000000" w:rsidRPr="00000000">
        <w:rPr>
          <w:rFonts w:ascii="Times New Roman" w:cs="Times New Roman" w:eastAsia="Times New Roman" w:hAnsi="Times New Roman"/>
          <w:sz w:val="36"/>
          <w:szCs w:val="36"/>
          <w:rtl w:val="0"/>
        </w:rPr>
        <w:t xml:space="preserve">MAIN OBJECTIVE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spacing w:line="254.4"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enhance cybersecurity resilience and promote a secure digital environment globally</w:t>
      </w:r>
    </w:p>
    <w:p w:rsidR="00000000" w:rsidDel="00000000" w:rsidP="00000000" w:rsidRDefault="00000000" w:rsidRPr="00000000" w14:paraId="0000000C">
      <w:pPr>
        <w:spacing w:line="2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pStyle w:val="Subtitle"/>
        <w:spacing w:line="256.8" w:lineRule="auto"/>
        <w:rPr>
          <w:rFonts w:ascii="Times New Roman" w:cs="Times New Roman" w:eastAsia="Times New Roman" w:hAnsi="Times New Roman"/>
        </w:rPr>
      </w:pPr>
      <w:bookmarkStart w:colFirst="0" w:colLast="0" w:name="_bfbya9bm5xvv" w:id="4"/>
      <w:bookmarkEnd w:id="4"/>
      <w:r w:rsidDel="00000000" w:rsidR="00000000" w:rsidRPr="00000000">
        <w:rPr>
          <w:rFonts w:ascii="Times New Roman" w:cs="Times New Roman" w:eastAsia="Times New Roman" w:hAnsi="Times New Roman"/>
          <w:rtl w:val="0"/>
        </w:rPr>
        <w:t xml:space="preserve">SPECIFIC OBJECTIVES </w:t>
      </w:r>
    </w:p>
    <w:p w:rsidR="00000000" w:rsidDel="00000000" w:rsidP="00000000" w:rsidRDefault="00000000" w:rsidRPr="00000000" w14:paraId="0000000E">
      <w:pPr>
        <w:spacing w:line="2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spacing w:after="60" w:lineRule="auto"/>
        <w:ind w:left="7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shall have the following specific objects: </w:t>
      </w:r>
    </w:p>
    <w:p w:rsidR="00000000" w:rsidDel="00000000" w:rsidP="00000000" w:rsidRDefault="00000000" w:rsidRPr="00000000" w14:paraId="00000010">
      <w:pPr>
        <w:spacing w:after="180" w:line="252.00000000000003" w:lineRule="auto"/>
        <w:ind w:left="5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Educate Individuals, businesses, and communities about cybersecurity threats, best practices, and preventive measures.</w:t>
      </w:r>
    </w:p>
    <w:p w:rsidR="00000000" w:rsidDel="00000000" w:rsidP="00000000" w:rsidRDefault="00000000" w:rsidRPr="00000000" w14:paraId="00000011">
      <w:pPr>
        <w:spacing w:after="180" w:line="252.00000000000003" w:lineRule="auto"/>
        <w:ind w:left="5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Advocate for Policies and Regulations that enhance cybersecurity standards, protect privacy and promote responsible digital behaviour</w:t>
      </w:r>
    </w:p>
    <w:p w:rsidR="00000000" w:rsidDel="00000000" w:rsidP="00000000" w:rsidRDefault="00000000" w:rsidRPr="00000000" w14:paraId="00000012">
      <w:pPr>
        <w:spacing w:after="180" w:line="252.00000000000003" w:lineRule="auto"/>
        <w:ind w:left="5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Build technical skills and capabilities with organisations and communities to defend against cyber threats effectively</w:t>
      </w:r>
    </w:p>
    <w:p w:rsidR="00000000" w:rsidDel="00000000" w:rsidP="00000000" w:rsidRDefault="00000000" w:rsidRPr="00000000" w14:paraId="00000013">
      <w:pPr>
        <w:spacing w:after="180" w:line="252.00000000000003" w:lineRule="auto"/>
        <w:ind w:left="5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Conduct research to better understand emerging threats and develop innovative solutions to address them.</w:t>
      </w:r>
    </w:p>
    <w:p w:rsidR="00000000" w:rsidDel="00000000" w:rsidP="00000000" w:rsidRDefault="00000000" w:rsidRPr="00000000" w14:paraId="00000014">
      <w:pPr>
        <w:spacing w:after="180" w:line="252.00000000000003" w:lineRule="auto"/>
        <w:ind w:left="5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Provide Forensics analysis on cases related to cybersecurity</w:t>
      </w:r>
    </w:p>
    <w:p w:rsidR="00000000" w:rsidDel="00000000" w:rsidP="00000000" w:rsidRDefault="00000000" w:rsidRPr="00000000" w14:paraId="00000015">
      <w:pPr>
        <w:spacing w:after="180" w:line="252.00000000000003" w:lineRule="auto"/>
        <w:ind w:left="5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Provide incident response and support to victims of cyberattacks, offering guidance on recovery and mitigation</w:t>
      </w:r>
    </w:p>
    <w:p w:rsidR="00000000" w:rsidDel="00000000" w:rsidP="00000000" w:rsidRDefault="00000000" w:rsidRPr="00000000" w14:paraId="00000016">
      <w:pPr>
        <w:spacing w:after="180" w:line="252.00000000000003" w:lineRule="auto"/>
        <w:ind w:left="5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Foster collaboration and partnership among stakeholders, including government agencies, businesses, academia, and other NGOs</w:t>
      </w:r>
    </w:p>
    <w:p w:rsidR="00000000" w:rsidDel="00000000" w:rsidP="00000000" w:rsidRDefault="00000000" w:rsidRPr="00000000" w14:paraId="00000017">
      <w:pPr>
        <w:spacing w:after="180" w:line="252.00000000000003" w:lineRule="auto"/>
        <w:ind w:left="50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spacing w:after="180" w:line="252.00000000000003" w:lineRule="auto"/>
        <w:ind w:left="50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after="180" w:line="252.00000000000003" w:lineRule="auto"/>
        <w:ind w:left="50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pStyle w:val="Title"/>
        <w:spacing w:after="180" w:line="252.00000000000003" w:lineRule="auto"/>
        <w:ind w:left="500" w:firstLine="0"/>
        <w:rPr>
          <w:rFonts w:ascii="Times New Roman" w:cs="Times New Roman" w:eastAsia="Times New Roman" w:hAnsi="Times New Roman"/>
          <w:sz w:val="36"/>
          <w:szCs w:val="36"/>
        </w:rPr>
      </w:pPr>
      <w:bookmarkStart w:colFirst="0" w:colLast="0" w:name="_qk99cobghc4r" w:id="5"/>
      <w:bookmarkEnd w:id="5"/>
      <w:r w:rsidDel="00000000" w:rsidR="00000000" w:rsidRPr="00000000">
        <w:rPr>
          <w:rFonts w:ascii="Times New Roman" w:cs="Times New Roman" w:eastAsia="Times New Roman" w:hAnsi="Times New Roman"/>
          <w:sz w:val="36"/>
          <w:szCs w:val="36"/>
          <w:rtl w:val="0"/>
        </w:rPr>
        <w:t xml:space="preserve">THEMATIC AREA OF FOCUS </w:t>
      </w:r>
    </w:p>
    <w:p w:rsidR="00000000" w:rsidDel="00000000" w:rsidP="00000000" w:rsidRDefault="00000000" w:rsidRPr="00000000" w14:paraId="0000001B">
      <w:pPr>
        <w:numPr>
          <w:ilvl w:val="0"/>
          <w:numId w:val="1"/>
        </w:numPr>
        <w:spacing w:after="0" w:afterAutospacing="0" w:line="252.00000000000003"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Education, Training and Advocacy (ETA)</w:t>
      </w:r>
    </w:p>
    <w:p w:rsidR="00000000" w:rsidDel="00000000" w:rsidP="00000000" w:rsidRDefault="00000000" w:rsidRPr="00000000" w14:paraId="0000001C">
      <w:pPr>
        <w:numPr>
          <w:ilvl w:val="0"/>
          <w:numId w:val="1"/>
        </w:numPr>
        <w:spacing w:after="0" w:afterAutospacing="0" w:line="252.00000000000003"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Cyber and Forensics Assistant (CFA)</w:t>
      </w:r>
    </w:p>
    <w:p w:rsidR="00000000" w:rsidDel="00000000" w:rsidP="00000000" w:rsidRDefault="00000000" w:rsidRPr="00000000" w14:paraId="0000001D">
      <w:pPr>
        <w:numPr>
          <w:ilvl w:val="0"/>
          <w:numId w:val="1"/>
        </w:numPr>
        <w:spacing w:after="180" w:line="252.00000000000003"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Policy Advocacy and Governance (PAG)</w:t>
      </w:r>
    </w:p>
    <w:p w:rsidR="00000000" w:rsidDel="00000000" w:rsidP="00000000" w:rsidRDefault="00000000" w:rsidRPr="00000000" w14:paraId="0000001E">
      <w:pPr>
        <w:spacing w:after="180" w:line="252.00000000000003"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pStyle w:val="Heading1"/>
        <w:spacing w:after="180" w:line="252.00000000000003" w:lineRule="auto"/>
        <w:rPr>
          <w:rFonts w:ascii="Times New Roman" w:cs="Times New Roman" w:eastAsia="Times New Roman" w:hAnsi="Times New Roman"/>
          <w:sz w:val="36"/>
          <w:szCs w:val="36"/>
        </w:rPr>
      </w:pPr>
      <w:bookmarkStart w:colFirst="0" w:colLast="0" w:name="_wpx2qovry7de" w:id="6"/>
      <w:bookmarkEnd w:id="6"/>
      <w:r w:rsidDel="00000000" w:rsidR="00000000" w:rsidRPr="00000000">
        <w:rPr>
          <w:rFonts w:ascii="Times New Roman" w:cs="Times New Roman" w:eastAsia="Times New Roman" w:hAnsi="Times New Roman"/>
          <w:sz w:val="36"/>
          <w:szCs w:val="36"/>
          <w:rtl w:val="0"/>
        </w:rPr>
        <w:t xml:space="preserve">EDUCATION, TRAINING AND ADVOCACY (ETA)</w:t>
      </w:r>
    </w:p>
    <w:p w:rsidR="00000000" w:rsidDel="00000000" w:rsidP="00000000" w:rsidRDefault="00000000" w:rsidRPr="00000000" w14:paraId="00000020">
      <w:pPr>
        <w:spacing w:after="180" w:line="252.0000000000000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Cyber Defence Hub, we are committed to empowering individuals, businesses, and communities to navigate the complexities of the digital world with confidence and resilience. With the proliferation of technology comes the ever-present threat of cyber attacks and digital vulnerabilities. As an NGO dedicated to cybersecurity education, training, and advocacy, we recognize the urgent need to equip people with the knowledge, skills, and resources necessary to safeguard their digital lives and protect against cyber threats.</w:t>
      </w:r>
    </w:p>
    <w:p w:rsidR="00000000" w:rsidDel="00000000" w:rsidP="00000000" w:rsidRDefault="00000000" w:rsidRPr="00000000" w14:paraId="00000021">
      <w:pPr>
        <w:pStyle w:val="Subtitle"/>
        <w:spacing w:after="180" w:line="252.00000000000003" w:lineRule="auto"/>
        <w:rPr>
          <w:rFonts w:ascii="Times New Roman" w:cs="Times New Roman" w:eastAsia="Times New Roman" w:hAnsi="Times New Roman"/>
        </w:rPr>
      </w:pPr>
      <w:bookmarkStart w:colFirst="0" w:colLast="0" w:name="_c4mirjwrc2e6" w:id="7"/>
      <w:bookmarkEnd w:id="7"/>
      <w:r w:rsidDel="00000000" w:rsidR="00000000" w:rsidRPr="00000000">
        <w:rPr>
          <w:rFonts w:ascii="Times New Roman" w:cs="Times New Roman" w:eastAsia="Times New Roman" w:hAnsi="Times New Roman"/>
          <w:rtl w:val="0"/>
        </w:rPr>
        <w:t xml:space="preserve"> Building a Foundation of Awareness</w:t>
      </w:r>
    </w:p>
    <w:p w:rsidR="00000000" w:rsidDel="00000000" w:rsidP="00000000" w:rsidRDefault="00000000" w:rsidRPr="00000000" w14:paraId="00000022">
      <w:pPr>
        <w:spacing w:after="180" w:line="252.0000000000000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educational initiatives aim to raise awareness about cyber threats and promote digital literacy among individuals of all ages and backgrounds. Through workshops, seminars, and outreach programs, we provide practical guidance on recognizing and mitigating common cyber risks, such as phishing scams, malware infections, identity theft, and online fraud. By empowering individuals with knowledge about safe online practices and cybersecurity best practices, we help them become proactive guardians of their digital security.</w:t>
      </w:r>
    </w:p>
    <w:p w:rsidR="00000000" w:rsidDel="00000000" w:rsidP="00000000" w:rsidRDefault="00000000" w:rsidRPr="00000000" w14:paraId="00000023">
      <w:pPr>
        <w:spacing w:after="180" w:line="252.00000000000003"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pStyle w:val="Subtitle"/>
        <w:spacing w:after="180" w:line="252.00000000000003" w:lineRule="auto"/>
        <w:rPr>
          <w:rFonts w:ascii="Times New Roman" w:cs="Times New Roman" w:eastAsia="Times New Roman" w:hAnsi="Times New Roman"/>
        </w:rPr>
      </w:pPr>
      <w:bookmarkStart w:colFirst="0" w:colLast="0" w:name="_b8tio259rct9" w:id="8"/>
      <w:bookmarkEnd w:id="8"/>
      <w:r w:rsidDel="00000000" w:rsidR="00000000" w:rsidRPr="00000000">
        <w:rPr>
          <w:rFonts w:ascii="Times New Roman" w:cs="Times New Roman" w:eastAsia="Times New Roman" w:hAnsi="Times New Roman"/>
          <w:rtl w:val="0"/>
        </w:rPr>
        <w:t xml:space="preserve">Equipping Professionals for the Digital Frontier</w:t>
      </w:r>
    </w:p>
    <w:p w:rsidR="00000000" w:rsidDel="00000000" w:rsidP="00000000" w:rsidRDefault="00000000" w:rsidRPr="00000000" w14:paraId="00000025">
      <w:pPr>
        <w:spacing w:after="180" w:line="252.0000000000000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collaboration with industry experts and cybersecurity and forensics  professionals, we offer specialised training programs designed to equip professionals with the technical skills and expertise needed to navigate the evolving cybersecurity landscape. From hands-on technical training in digital forensics and incident response to certification courses in cybersecurity fundamentals, our training initiatives cater to diverse skill levels and professional backgrounds. By investing in the continuous professional development of cybersecurity practitioners, we strengthen the collective defence against cyber threats and enhance the resilience of organisations and critical infrastructure.</w:t>
      </w:r>
    </w:p>
    <w:p w:rsidR="00000000" w:rsidDel="00000000" w:rsidP="00000000" w:rsidRDefault="00000000" w:rsidRPr="00000000" w14:paraId="00000026">
      <w:pPr>
        <w:pStyle w:val="Subtitle"/>
        <w:spacing w:after="180" w:line="252.00000000000003" w:lineRule="auto"/>
        <w:rPr>
          <w:rFonts w:ascii="Times New Roman" w:cs="Times New Roman" w:eastAsia="Times New Roman" w:hAnsi="Times New Roman"/>
        </w:rPr>
      </w:pPr>
      <w:bookmarkStart w:colFirst="0" w:colLast="0" w:name="_uiift5t8w6d7" w:id="9"/>
      <w:bookmarkEnd w:id="9"/>
      <w:r w:rsidDel="00000000" w:rsidR="00000000" w:rsidRPr="00000000">
        <w:rPr>
          <w:rFonts w:ascii="Times New Roman" w:cs="Times New Roman" w:eastAsia="Times New Roman" w:hAnsi="Times New Roman"/>
          <w:rtl w:val="0"/>
        </w:rPr>
        <w:t xml:space="preserve">Amplifying Voices for Change</w:t>
      </w:r>
    </w:p>
    <w:p w:rsidR="00000000" w:rsidDel="00000000" w:rsidP="00000000" w:rsidRDefault="00000000" w:rsidRPr="00000000" w14:paraId="00000027">
      <w:pPr>
        <w:spacing w:after="180" w:line="252.0000000000000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advocates for cybersecurity awareness and policy reform, we work tirelessly to amplify voices for change and shape the agenda on cybersecurity issues. Through policy advocacy campaigns, stakeholder engagements, and collaborative partnerships, we advocate for policies, regulations, and international frameworks that promote cybersecurity, digital privacy rights, and responsible technology use. By engaging with policymakers, lawmakers, and industry stakeholders, we strive to influence decision-making processes and advance initiatives that strengthen cybersecurity measures and protect digital freedoms.</w:t>
      </w:r>
    </w:p>
    <w:p w:rsidR="00000000" w:rsidDel="00000000" w:rsidP="00000000" w:rsidRDefault="00000000" w:rsidRPr="00000000" w14:paraId="00000028">
      <w:pPr>
        <w:spacing w:after="180" w:line="252.00000000000003"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pStyle w:val="Heading1"/>
        <w:spacing w:after="180" w:line="252.00000000000003" w:lineRule="auto"/>
        <w:rPr>
          <w:rFonts w:ascii="Times New Roman" w:cs="Times New Roman" w:eastAsia="Times New Roman" w:hAnsi="Times New Roman"/>
          <w:sz w:val="36"/>
          <w:szCs w:val="36"/>
        </w:rPr>
      </w:pPr>
      <w:bookmarkStart w:colFirst="0" w:colLast="0" w:name="_iq6fny7g9eb1" w:id="10"/>
      <w:bookmarkEnd w:id="10"/>
      <w:r w:rsidDel="00000000" w:rsidR="00000000" w:rsidRPr="00000000">
        <w:rPr>
          <w:rFonts w:ascii="Times New Roman" w:cs="Times New Roman" w:eastAsia="Times New Roman" w:hAnsi="Times New Roman"/>
          <w:sz w:val="36"/>
          <w:szCs w:val="36"/>
          <w:rtl w:val="0"/>
        </w:rPr>
        <w:t xml:space="preserve">CYBER AND FORENSICS ASSISTANCE  (CFA) </w:t>
      </w:r>
      <w:r w:rsidDel="00000000" w:rsidR="00000000" w:rsidRPr="00000000">
        <w:rPr>
          <w:rtl w:val="0"/>
        </w:rPr>
      </w:r>
    </w:p>
    <w:p w:rsidR="00000000" w:rsidDel="00000000" w:rsidP="00000000" w:rsidRDefault="00000000" w:rsidRPr="00000000" w14:paraId="0000002A">
      <w:pPr>
        <w:spacing w:after="180" w:line="252.0000000000000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Cyber defence Hub, we are dedicated to providing comprehensive support and assistance to individuals, organisations, and communities facing cybersecurity challenges. With the rise of cyber threats and digital crimes, the need for expert guidance and resources in cybersecurity and digital forensics has never been greater. As an NGO committed to making cybersecurity expertise accessible to all, we offer a range of services aimed at strengthening defences, investigating incidents, and promoting resilience in the face of cyber adversity.</w:t>
      </w:r>
    </w:p>
    <w:p w:rsidR="00000000" w:rsidDel="00000000" w:rsidP="00000000" w:rsidRDefault="00000000" w:rsidRPr="00000000" w14:paraId="0000002B">
      <w:pPr>
        <w:pStyle w:val="Subtitle"/>
        <w:spacing w:after="180" w:line="252.00000000000003" w:lineRule="auto"/>
        <w:rPr>
          <w:rFonts w:ascii="Times New Roman" w:cs="Times New Roman" w:eastAsia="Times New Roman" w:hAnsi="Times New Roman"/>
        </w:rPr>
      </w:pPr>
      <w:bookmarkStart w:colFirst="0" w:colLast="0" w:name="_3igz9o2io9tm" w:id="11"/>
      <w:bookmarkEnd w:id="11"/>
      <w:r w:rsidDel="00000000" w:rsidR="00000000" w:rsidRPr="00000000">
        <w:rPr>
          <w:rFonts w:ascii="Times New Roman" w:cs="Times New Roman" w:eastAsia="Times New Roman" w:hAnsi="Times New Roman"/>
          <w:rtl w:val="0"/>
        </w:rPr>
        <w:t xml:space="preserve"> Strengthening Defences and Mitigating Risks </w:t>
      </w:r>
    </w:p>
    <w:p w:rsidR="00000000" w:rsidDel="00000000" w:rsidP="00000000" w:rsidRDefault="00000000" w:rsidRPr="00000000" w14:paraId="0000002C">
      <w:pPr>
        <w:spacing w:after="180" w:line="252.0000000000000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cybersecurity assistance initiatives are designed to help individuals and organisations bolster their defences against cyber threats and mitigate the risks of cyber attacks. Through tailored consultations, risk assessments, and vulnerability analyses, we provide expert guidance on implementing effective cybersecurity measures and best practices. Whether it's securing networks, protecting sensitive data, or safeguarding digital assets, our team of cybersecurity professionals is here to support you every step of the way.</w:t>
      </w:r>
    </w:p>
    <w:p w:rsidR="00000000" w:rsidDel="00000000" w:rsidP="00000000" w:rsidRDefault="00000000" w:rsidRPr="00000000" w14:paraId="0000002D">
      <w:pPr>
        <w:pStyle w:val="Subtitle"/>
        <w:spacing w:after="180" w:line="252.00000000000003" w:lineRule="auto"/>
        <w:rPr>
          <w:rFonts w:ascii="Times New Roman" w:cs="Times New Roman" w:eastAsia="Times New Roman" w:hAnsi="Times New Roman"/>
        </w:rPr>
      </w:pPr>
      <w:bookmarkStart w:colFirst="0" w:colLast="0" w:name="_ert0snizszur" w:id="12"/>
      <w:bookmarkEnd w:id="12"/>
      <w:r w:rsidDel="00000000" w:rsidR="00000000" w:rsidRPr="00000000">
        <w:rPr>
          <w:rFonts w:ascii="Times New Roman" w:cs="Times New Roman" w:eastAsia="Times New Roman" w:hAnsi="Times New Roman"/>
          <w:rtl w:val="0"/>
        </w:rPr>
        <w:t xml:space="preserve">Investigating Incidents and Ensuring Accountability</w:t>
      </w:r>
    </w:p>
    <w:p w:rsidR="00000000" w:rsidDel="00000000" w:rsidP="00000000" w:rsidRDefault="00000000" w:rsidRPr="00000000" w14:paraId="0000002E">
      <w:pPr>
        <w:spacing w:after="180" w:line="252.0000000000000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of a cybersecurity incident or digital crime, our digital forensics assistance services can help uncover evidence, analyse data, and facilitate investigations to identify perpetrators and ensure accountability. From forensic data collection and analysis to expert witness testimony, our forensic experts possess the knowledge and expertise needed to assist law enforcement agencies, legal professionals, and private organisations in conducting thorough and effective investigations. By leveraging advanced forensic techniques and tools, we help uncover the truth and bring cybercriminals to justice.</w:t>
      </w:r>
    </w:p>
    <w:p w:rsidR="00000000" w:rsidDel="00000000" w:rsidP="00000000" w:rsidRDefault="00000000" w:rsidRPr="00000000" w14:paraId="0000002F">
      <w:pPr>
        <w:pStyle w:val="Heading1"/>
        <w:spacing w:after="180" w:line="252.00000000000003" w:lineRule="auto"/>
        <w:rPr>
          <w:rFonts w:ascii="Times New Roman" w:cs="Times New Roman" w:eastAsia="Times New Roman" w:hAnsi="Times New Roman"/>
          <w:sz w:val="36"/>
          <w:szCs w:val="36"/>
        </w:rPr>
      </w:pPr>
      <w:bookmarkStart w:colFirst="0" w:colLast="0" w:name="_uxq42ijuebwk" w:id="13"/>
      <w:bookmarkEnd w:id="13"/>
      <w:r w:rsidDel="00000000" w:rsidR="00000000" w:rsidRPr="00000000">
        <w:rPr>
          <w:rFonts w:ascii="Times New Roman" w:cs="Times New Roman" w:eastAsia="Times New Roman" w:hAnsi="Times New Roman"/>
          <w:sz w:val="36"/>
          <w:szCs w:val="36"/>
          <w:rtl w:val="0"/>
        </w:rPr>
        <w:t xml:space="preserve">POLICY ADVOCACY AND GOVERNANCE (PAG)</w:t>
      </w:r>
    </w:p>
    <w:p w:rsidR="00000000" w:rsidDel="00000000" w:rsidP="00000000" w:rsidRDefault="00000000" w:rsidRPr="00000000" w14:paraId="00000030">
      <w:pPr>
        <w:spacing w:after="180" w:line="252.0000000000000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Organisation is dedicated to advocating for policies, regulations, and governance frameworks that promote cybersecurity, protect digital rights, and ensure the security and resilience of our digital infrastructure. In an increasingly interconnected world where cyber threats pose significant risks to individuals, businesses, and governments alike, the need for robust cybersecurity policies and regulations has never been greater. As an NGO committed to driving positive change in the cybersecurity landscape, we leverage our expertise, influence, and advocacy efforts to shape policy agendas, promote best practices, and advance initiatives that strengthen cybersecurity measures and protect digital freedoms.</w:t>
      </w:r>
    </w:p>
    <w:p w:rsidR="00000000" w:rsidDel="00000000" w:rsidP="00000000" w:rsidRDefault="00000000" w:rsidRPr="00000000" w14:paraId="00000031">
      <w:pPr>
        <w:pStyle w:val="Subtitle"/>
        <w:spacing w:after="180" w:line="252.00000000000003" w:lineRule="auto"/>
        <w:rPr>
          <w:rFonts w:ascii="Times New Roman" w:cs="Times New Roman" w:eastAsia="Times New Roman" w:hAnsi="Times New Roman"/>
        </w:rPr>
      </w:pPr>
      <w:bookmarkStart w:colFirst="0" w:colLast="0" w:name="_st4e604iv4gm" w:id="14"/>
      <w:bookmarkEnd w:id="14"/>
      <w:r w:rsidDel="00000000" w:rsidR="00000000" w:rsidRPr="00000000">
        <w:rPr>
          <w:rFonts w:ascii="Times New Roman" w:cs="Times New Roman" w:eastAsia="Times New Roman" w:hAnsi="Times New Roman"/>
          <w:rtl w:val="0"/>
        </w:rPr>
        <w:t xml:space="preserve">Policy Advocacy: Shaping the Future of Cybersecurity</w:t>
      </w:r>
    </w:p>
    <w:p w:rsidR="00000000" w:rsidDel="00000000" w:rsidP="00000000" w:rsidRDefault="00000000" w:rsidRPr="00000000" w14:paraId="00000032">
      <w:pPr>
        <w:spacing w:after="180" w:line="252.0000000000000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policy advocacy initiatives focus on engaging with policymakers, lawmakers, government agencies, and international organisations to advocate for policies and regulations that address key cybersecurity challenges and promote a safer, more secure digital environment. Through policy briefs, position papers, and expert testimony, we provide insights, recommendations, and evidence-based analysis to inform decision-making processes and shape policy agendas at local, national, and international levels. By advocating for legislative reforms, regulatory measures, and international cooperation mechanisms, we seek to enhance cybersecurity resilience, protect digital rights, and mitigate the risks of cyber threats and vulnerabilities.</w:t>
      </w:r>
    </w:p>
    <w:p w:rsidR="00000000" w:rsidDel="00000000" w:rsidP="00000000" w:rsidRDefault="00000000" w:rsidRPr="00000000" w14:paraId="00000033">
      <w:pPr>
        <w:pStyle w:val="Subtitle"/>
        <w:spacing w:after="180" w:line="252.00000000000003" w:lineRule="auto"/>
        <w:rPr>
          <w:rFonts w:ascii="Times New Roman" w:cs="Times New Roman" w:eastAsia="Times New Roman" w:hAnsi="Times New Roman"/>
        </w:rPr>
      </w:pPr>
      <w:bookmarkStart w:colFirst="0" w:colLast="0" w:name="_lcyrm8pktt9s" w:id="15"/>
      <w:bookmarkEnd w:id="15"/>
      <w:r w:rsidDel="00000000" w:rsidR="00000000" w:rsidRPr="00000000">
        <w:rPr>
          <w:rFonts w:ascii="Times New Roman" w:cs="Times New Roman" w:eastAsia="Times New Roman" w:hAnsi="Times New Roman"/>
          <w:rtl w:val="0"/>
        </w:rPr>
        <w:t xml:space="preserve">Governance Frameworks: Fostering Collaboration and Coordination</w:t>
      </w:r>
    </w:p>
    <w:p w:rsidR="00000000" w:rsidDel="00000000" w:rsidP="00000000" w:rsidRDefault="00000000" w:rsidRPr="00000000" w14:paraId="00000034">
      <w:pPr>
        <w:spacing w:after="180" w:line="252.0000000000000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to policy advocacy, we work to foster collaboration, coordination, and capacity building in cybersecurity governance through multi-stakeholder partnerships, forums, and initiatives. By bringing together government agencies, industry stakeholders, civil society organisations, academia, and technical experts, we facilitate dialogue, knowledge sharing, and collective action to address emerging cybersecurity challenges, share best practices, and promote effective governance frameworks. Through capacity-building programs, technical assistance, and knowledge exchange platforms, we empower stakeholders to enhance their cybersecurity capabilities, strengthen their resilience to cyber threats, and contribute to a more secure and trusted digital ecosystem.</w:t>
      </w:r>
    </w:p>
    <w:p w:rsidR="00000000" w:rsidDel="00000000" w:rsidP="00000000" w:rsidRDefault="00000000" w:rsidRPr="00000000" w14:paraId="00000035">
      <w:pPr>
        <w:spacing w:after="180" w:line="252.00000000000003"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after="180" w:line="252.00000000000003"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after="180" w:line="252.00000000000003"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pStyle w:val="Heading1"/>
        <w:spacing w:after="180" w:line="252.00000000000003" w:lineRule="auto"/>
        <w:jc w:val="center"/>
        <w:rPr/>
      </w:pPr>
      <w:bookmarkStart w:colFirst="0" w:colLast="0" w:name="_7wtzxpuktzgt" w:id="16"/>
      <w:bookmarkEnd w:id="16"/>
      <w:commentRangeStart w:id="0"/>
      <w:r w:rsidDel="00000000" w:rsidR="00000000" w:rsidRPr="00000000">
        <w:rPr>
          <w:rtl w:val="0"/>
        </w:rPr>
        <w:t xml:space="preserve">LEADERSHIP</w:t>
      </w:r>
      <w:commentRangeEnd w:id="0"/>
      <w:r w:rsidDel="00000000" w:rsidR="00000000" w:rsidRPr="00000000">
        <w:commentReference w:id="0"/>
      </w:r>
      <w:r w:rsidDel="00000000" w:rsidR="00000000" w:rsidRPr="00000000">
        <w:rPr>
          <w:rtl w:val="0"/>
        </w:rPr>
        <w:t xml:space="preserve"> ORGANOGRAM</w:t>
      </w:r>
    </w:p>
    <w:p w:rsidR="00000000" w:rsidDel="00000000" w:rsidP="00000000" w:rsidRDefault="00000000" w:rsidRPr="00000000" w14:paraId="00000039">
      <w:pPr>
        <w:spacing w:after="180" w:line="252.0000000000000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114300" distT="114300" distL="114300" distR="114300">
                <wp:extent cx="5731200" cy="3234525"/>
                <wp:effectExtent b="0" l="0" r="0" t="0"/>
                <wp:docPr id="1" name=""/>
                <a:graphic>
                  <a:graphicData uri="http://schemas.microsoft.com/office/word/2010/wordprocessingGroup">
                    <wpg:wgp>
                      <wpg:cNvGrpSpPr/>
                      <wpg:grpSpPr>
                        <a:xfrm>
                          <a:off x="156650" y="144750"/>
                          <a:ext cx="5731200" cy="3234525"/>
                          <a:chOff x="156650" y="144750"/>
                          <a:chExt cx="6354675" cy="3577600"/>
                        </a:xfrm>
                      </wpg:grpSpPr>
                      <wps:wsp>
                        <wps:cNvSpPr txBox="1"/>
                        <wps:cNvPr id="2" name="Shape 2"/>
                        <wps:spPr>
                          <a:xfrm>
                            <a:off x="269275" y="149525"/>
                            <a:ext cx="6043500" cy="695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CEO/ Founder</w:t>
                              </w:r>
                            </w:p>
                          </w:txbxContent>
                        </wps:txbx>
                        <wps:bodyPr anchorCtr="0" anchor="t" bIns="91425" lIns="91425" spcFirstLastPara="1" rIns="91425" wrap="square" tIns="91425">
                          <a:noAutofit/>
                        </wps:bodyPr>
                      </wps:wsp>
                      <wps:wsp>
                        <wps:cNvSpPr txBox="1"/>
                        <wps:cNvPr id="3" name="Shape 3"/>
                        <wps:spPr>
                          <a:xfrm>
                            <a:off x="318925" y="1661450"/>
                            <a:ext cx="1485600" cy="582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Operations Manager</w:t>
                              </w:r>
                            </w:p>
                          </w:txbxContent>
                        </wps:txbx>
                        <wps:bodyPr anchorCtr="0" anchor="t" bIns="91425" lIns="91425" spcFirstLastPara="1" rIns="91425" wrap="square" tIns="91425">
                          <a:noAutofit/>
                        </wps:bodyPr>
                      </wps:wsp>
                      <wps:wsp>
                        <wps:cNvSpPr txBox="1"/>
                        <wps:cNvPr id="4" name="Shape 4"/>
                        <wps:spPr>
                          <a:xfrm>
                            <a:off x="2433175" y="1687000"/>
                            <a:ext cx="1738500" cy="582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Administrator</w:t>
                              </w:r>
                            </w:p>
                          </w:txbxContent>
                        </wps:txbx>
                        <wps:bodyPr anchorCtr="0" anchor="t" bIns="91425" lIns="91425" spcFirstLastPara="1" rIns="91425" wrap="square" tIns="91425">
                          <a:noAutofit/>
                        </wps:bodyPr>
                      </wps:wsp>
                      <wps:wsp>
                        <wps:cNvSpPr txBox="1"/>
                        <wps:cNvPr id="5" name="Shape 5"/>
                        <wps:spPr>
                          <a:xfrm>
                            <a:off x="4676250" y="1738113"/>
                            <a:ext cx="1830300" cy="562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Finance Unit</w:t>
                              </w:r>
                            </w:p>
                          </w:txbxContent>
                        </wps:txbx>
                        <wps:bodyPr anchorCtr="0" anchor="t" bIns="91425" lIns="91425" spcFirstLastPara="1" rIns="91425" wrap="square" tIns="91425">
                          <a:noAutofit/>
                        </wps:bodyPr>
                      </wps:wsp>
                      <wps:wsp>
                        <wps:cNvSpPr/>
                        <wps:cNvPr id="6" name="Shape 6"/>
                        <wps:spPr>
                          <a:xfrm flipH="1">
                            <a:off x="3165175" y="844925"/>
                            <a:ext cx="265800" cy="4572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a:off x="877700" y="2244350"/>
                            <a:ext cx="153300" cy="5112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 name="Shape 8"/>
                        <wps:spPr>
                          <a:xfrm>
                            <a:off x="5396450" y="2316150"/>
                            <a:ext cx="153300" cy="5112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 name="Shape 9"/>
                        <wps:spPr>
                          <a:xfrm>
                            <a:off x="3165200" y="2269925"/>
                            <a:ext cx="153300" cy="5112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0" name="Shape 10"/>
                        <wps:spPr>
                          <a:xfrm>
                            <a:off x="161425" y="2756075"/>
                            <a:ext cx="1953000" cy="961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Cyber Unit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Forensic Unit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Special Unit</w:t>
                              </w:r>
                            </w:p>
                          </w:txbxContent>
                        </wps:txbx>
                        <wps:bodyPr anchorCtr="0" anchor="t" bIns="91425" lIns="91425" spcFirstLastPara="1" rIns="91425" wrap="square" tIns="91425">
                          <a:noAutofit/>
                        </wps:bodyPr>
                      </wps:wsp>
                      <wps:wsp>
                        <wps:cNvSpPr txBox="1"/>
                        <wps:cNvPr id="11" name="Shape 11"/>
                        <wps:spPr>
                          <a:xfrm>
                            <a:off x="2233575" y="2817425"/>
                            <a:ext cx="2034900" cy="900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Media &amp; Communication</w:t>
                              </w:r>
                            </w:p>
                          </w:txbxContent>
                        </wps:txbx>
                        <wps:bodyPr anchorCtr="0" anchor="t" bIns="91425" lIns="91425" spcFirstLastPara="1" rIns="91425" wrap="square" tIns="91425">
                          <a:noAutofit/>
                        </wps:bodyPr>
                      </wps:wsp>
                      <wps:wsp>
                        <wps:cNvSpPr txBox="1"/>
                        <wps:cNvPr id="12" name="Shape 12"/>
                        <wps:spPr>
                          <a:xfrm>
                            <a:off x="4591100" y="2889000"/>
                            <a:ext cx="1830300" cy="787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Grant &amp; Research Unit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Sponsorship Unit</w:t>
                              </w:r>
                            </w:p>
                          </w:txbxContent>
                        </wps:txbx>
                        <wps:bodyPr anchorCtr="0" anchor="t" bIns="91425" lIns="91425" spcFirstLastPara="1" rIns="91425" wrap="square" tIns="91425">
                          <a:noAutofit/>
                        </wps:bodyPr>
                      </wps:wsp>
                      <wps:wsp>
                        <wps:cNvCnPr/>
                        <wps:spPr>
                          <a:xfrm>
                            <a:off x="974900" y="1302075"/>
                            <a:ext cx="4498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3133450" y="1302075"/>
                            <a:ext cx="265800" cy="3849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6" name="Shape 16"/>
                        <wps:spPr>
                          <a:xfrm>
                            <a:off x="877700" y="1302075"/>
                            <a:ext cx="265800" cy="3171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 name="Shape 14"/>
                        <wps:spPr>
                          <a:xfrm>
                            <a:off x="5340200" y="1302075"/>
                            <a:ext cx="265800" cy="3849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323452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731200" cy="3234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spacing w:after="180" w:line="252.00000000000003"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after="180" w:line="252.00000000000003" w:lineRule="auto"/>
        <w:rPr>
          <w:rFonts w:ascii="Times New Roman" w:cs="Times New Roman" w:eastAsia="Times New Roman" w:hAnsi="Times New Roman"/>
          <w:sz w:val="20"/>
          <w:szCs w:val="20"/>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e Exsqua" w:id="0" w:date="2024-06-18T14:05:37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added this to it, let's check and add our view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