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A1A2E"/>
          <w:sz w:val="56"/>
          <w:szCs w:val="56"/>
        </w:rPr>
        <w:t xml:space="preserve">GUARDSPINE</w:t>
      </w:r>
    </w:p>
    <w:p>
      <w:pPr>
        <w:spacing w:after="400"/>
        <w:jc w:val="center"/>
      </w:pPr>
      <w:r>
        <w:rPr>
          <w:rFonts w:ascii="Arial" w:cs="Arial" w:eastAsia="Arial" w:hAnsi="Arial"/>
          <w:color w:val="E07A3A"/>
          <w:sz w:val="32"/>
          <w:szCs w:val="32"/>
        </w:rPr>
        <w:t xml:space="preserve">Total Addressable Market Analysis</w:t>
      </w:r>
    </w:p>
    <w:p>
      <w:pPr>
        <w:spacing w:after="100"/>
        <w:jc w:val="center"/>
      </w:pPr>
      <w:r>
        <w:rPr>
          <w:color w:val="CCCCCC"/>
          <w:sz w:val="20"/>
          <w:szCs w:val="20"/>
        </w:rPr>
        <w:t xml:space="preserve">────────────────────────────────────────</w:t>
      </w:r>
    </w:p>
    <w:p>
      <w:pPr>
        <w:spacing w:after="100"/>
        <w:jc w:val="center"/>
      </w:pPr>
      <w:r>
        <w:rPr>
          <w:rFonts w:ascii="Arial" w:cs="Arial" w:eastAsia="Arial" w:hAnsi="Arial"/>
          <w:color w:val="666666"/>
          <w:sz w:val="24"/>
          <w:szCs w:val="24"/>
        </w:rPr>
        <w:t xml:space="preserve">From Code Governance to Full-Artifact Semantic Governance</w:t>
      </w:r>
    </w:p>
    <w:p>
      <w:pPr>
        <w:spacing w:after="100"/>
        <w:jc w:val="center"/>
      </w:pPr>
      <w:r>
        <w:rPr>
          <w:rFonts w:ascii="Arial" w:cs="Arial" w:eastAsia="Arial" w:hAnsi="Arial"/>
          <w:b/>
          <w:bCs/>
          <w:color w:val="2D7D46"/>
          <w:sz w:val="24"/>
          <w:szCs w:val="24"/>
        </w:rPr>
        <w:t xml:space="preserve">With Netflix Pilot Validation</w:t>
      </w:r>
    </w:p>
    <w:p>
      <w:pPr>
        <w:spacing w:after="200"/>
        <w:jc w:val="center"/>
      </w:pPr>
      <w:r>
        <w:rPr>
          <w:rFonts w:ascii="Arial" w:cs="Arial" w:eastAsia="Arial" w:hAnsi="Arial"/>
          <w:color w:val="666666"/>
          <w:sz w:val="20"/>
          <w:szCs w:val="20"/>
        </w:rPr>
        <w:t xml:space="preserve">February 5, 2026  —  CONFIDENTIAL</w:t>
      </w:r>
    </w:p>
    <w:p>
      <w:pPr>
        <w:sectPr>
          <w:pgSz w:w="12240" w:h="15840" w:orient="portrait"/>
          <w:pgMar w:top="1440" w:right="1440" w:bottom="1440" w:left="1440" w:header="708" w:footer="708" w:gutter="0"/>
          <w:pgNumType/>
          <w:docGrid w:linePitch="360"/>
        </w:sectPr>
      </w:pPr>
    </w:p>
    <w:p>
      <w:pPr>
        <w:pStyle w:val="Heading1"/>
      </w:pPr>
      <w:r>
        <w:t xml:space="preserve">1. The Core Thesis</w:t>
      </w:r>
    </w:p>
    <w:p>
      <w:pPr>
        <w:spacing w:after="200"/>
      </w:pPr>
      <w:r>
        <w:rPr>
          <w:rFonts w:ascii="Arial" w:cs="Arial" w:eastAsia="Arial" w:hAnsi="Arial"/>
          <w:sz w:val="22"/>
          <w:szCs w:val="22"/>
        </w:rPr>
        <w:t xml:space="preserve">GuardSpine’s addressable market is not a single number. It is a layered opportunity that expands as AI artifact proliferation moves from code repositories into every document type in the enterprise. This analysis constructs the TAM in three concentric layers, each triggered by a specific market condition, and adjusts projections based on the Netflix pilot validation.</w:t>
      </w:r>
    </w:p>
    <w:p>
      <w:pPr>
        <w:spacing w:after="200"/>
      </w:pPr>
      <w:r>
        <w:rPr>
          <w:rFonts w:ascii="Arial" w:cs="Arial" w:eastAsia="Arial" w:hAnsi="Arial"/>
          <w:sz w:val="22"/>
          <w:szCs w:val="22"/>
        </w:rPr>
        <w:t xml:space="preserve">The central insight: in February 2026, AI agents are already modifying code at scale. Within 12–18 months, they will be modifying spreadsheets, documents, slide decks, PDFs, and contracts at equivalent scale. Every one of those artifacts becomes a governance surface. GuardSpine is the only platform architectured to govern all of them.</w:t>
      </w:r>
    </w:p>
    <w:p>
      <w:pPr>
        <w:pStyle w:val="Heading1"/>
      </w:pPr>
      <w:r>
        <w:t xml:space="preserve">2. Layer 1: AI Governance (Core Market)</w:t>
      </w:r>
    </w:p>
    <w:p>
      <w:pPr>
        <w:spacing w:after="200"/>
      </w:pPr>
      <w:r>
        <w:rPr>
          <w:rFonts w:ascii="Arial" w:cs="Arial" w:eastAsia="Arial" w:hAnsi="Arial"/>
          <w:sz w:val="22"/>
          <w:szCs w:val="22"/>
        </w:rPr>
        <w:t xml:space="preserve">This is the market GuardSpine enters on day one. It encompasses tools for governing AI development, deployment, and output—including model monitoring, bias detection, compliance automation, and artifact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2025 Value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Projected Value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CAGR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Grand View Research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$308M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$1.4B by 2030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35.7%</w:t>
            </w:r>
          </w:p>
        </w:tc>
      </w:tr>
      <w:tr>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MarketsandMarkets</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$891M</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$5.8B by 2029</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45.3%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NextMSC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$940M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$7.4B by 2030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51.0%</w:t>
            </w:r>
          </w:p>
        </w:tc>
      </w:tr>
      <w:tr>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IMARC Group</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~$350M</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$4.3B by 2033</w:t>
            </w:r>
          </w:p>
        </w:tc>
        <w:tc>
          <w:tcPr>
            <w:tcW w:type="dxa" w:w="234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36.7%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Precedence Research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$309M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$4.8B by 2034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35.7%</w:t>
            </w:r>
          </w:p>
        </w:tc>
      </w:tr>
      <w:tr>
        <w:tc>
          <w:tcPr>
            <w:tcW w:type="dxa" w:w="234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CONSENSUS RANGE</w:t>
            </w:r>
          </w:p>
        </w:tc>
        <w:tc>
          <w:tcPr>
            <w:tcW w:type="dxa" w:w="234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$300M–$940M</w:t>
            </w:r>
          </w:p>
        </w:tc>
        <w:tc>
          <w:tcPr>
            <w:tcW w:type="dxa" w:w="234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$1.4B–$7.4B</w:t>
            </w:r>
          </w:p>
        </w:tc>
        <w:tc>
          <w:tcPr>
            <w:tcW w:type="dxa" w:w="234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35–51%</w:t>
            </w:r>
          </w:p>
        </w:tc>
      </w:tr>
    </w:tbl>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GuardSpine defines the “Semantic Artifact Governance” subcategory, which no incumbent addresses. This is a category-creation play within a high-growth market.</w:t>
      </w:r>
    </w:p>
    <w:p>
      <w:pPr>
        <w:pStyle w:val="Heading1"/>
      </w:pPr>
      <w:r>
        <w:t xml:space="preserve">3. Layer 2: Adjacent Markets (Full-Artifact Expansion)</w:t>
      </w:r>
    </w:p>
    <w:p>
      <w:pPr>
        <w:spacing w:after="200"/>
      </w:pPr>
      <w:r>
        <w:rPr>
          <w:rFonts w:ascii="Arial" w:cs="Arial" w:eastAsia="Arial" w:hAnsi="Arial"/>
          <w:sz w:val="22"/>
          <w:szCs w:val="22"/>
        </w:rPr>
        <w:t xml:space="preserve">As AI agents move beyond code into documents, spreadsheets, presentations, and contracts, GuardSpine’s governance layer becomes relevant to three massive adjacent markets. Claude in Chrome, Claude in Excel, and Cowork are already shipping. Microsoft Copilot is embedded across the Office suite. Google Gemini is inside Workspace. The artifact proliferation is happening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Adjacent Market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2025 Value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Projected Value</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GuardSpine Relevance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Enterprise Content Mgmt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$38B–$70B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$78B–$193B by 2030–2034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ECM tracks storage; GuardSpine tracks meaning. Every AI-modified doc needs semantic verification.</w:t>
            </w:r>
          </w:p>
        </w:tc>
      </w:tr>
      <w:tr>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Data Loss Prevention</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$3B–$35B</w:t>
            </w:r>
          </w:p>
        </w:tc>
        <w:tc>
          <w:tcPr>
            <w:tcW w:type="dxa" w:w="2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$9B–$94B by 2028–2030</w:t>
            </w:r>
          </w:p>
        </w:tc>
        <w:tc>
          <w:tcPr>
            <w:tcW w:type="dxa" w:w="29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DLP prevents leakage but ignores semantic drift. GuardSpine fills the gap between what left and what was authorized.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Compliance / RegTech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$20B–$36B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$33B–$72B by 2030–2032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Compliance checks processes; GuardSpine checks the artifacts those processes produce.</w:t>
            </w:r>
          </w:p>
        </w:tc>
      </w:tr>
    </w:tbl>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The addressable slice for a semantic governance layer within these combined markets is conservatively 2–5% of total value, yielding an additional $2B–$7B addressable by 2030.</w:t>
      </w:r>
    </w:p>
    <w:p>
      <w:pPr>
        <w:pStyle w:val="Heading1"/>
      </w:pPr>
      <w:r>
        <w:t xml:space="preserve">4. Layer 3: The AI Agent Economy (2027–2030)</w:t>
      </w:r>
    </w:p>
    <w:p>
      <w:pPr>
        <w:spacing w:after="200"/>
      </w:pPr>
      <w:r>
        <w:rPr>
          <w:rFonts w:ascii="Arial" w:cs="Arial" w:eastAsia="Arial" w:hAnsi="Arial"/>
          <w:sz w:val="22"/>
          <w:szCs w:val="22"/>
        </w:rPr>
        <w:t xml:space="preserve">As every knowledge worker’s output becomes AI-assisted, the volume of artifacts requiring governance increases by orders of magnitude. The CFO’s quarterly spreadsheet modified by an AI agent, the legal team’s contracts drafted by Copilot, the marketing team’s decks generated by Gemini—every one needs the same question answered: who authorized this semantic change, and can you prove it?</w:t>
      </w:r>
    </w:p>
    <w:p>
      <w:pPr>
        <w:spacing w:after="200"/>
      </w:pPr>
      <w:r>
        <w:rPr>
          <w:rFonts w:ascii="Arial" w:cs="Arial" w:eastAsia="Arial" w:hAnsi="Arial"/>
          <w:sz w:val="22"/>
          <w:szCs w:val="22"/>
        </w:rPr>
        <w:t xml:space="preserve">This layer is harder to size precisely, but directional indicators are clear. Microsoft Copilot has over 1 million paying users. Anthropic is expanding into browser automation, spreadsheet manipulation, and desktop task management. The governance surface is expanding exponentially.</w:t>
      </w:r>
    </w:p>
    <w:p>
      <w:r>
        <w:br w:type="page"/>
      </w:r>
    </w:p>
    <w:p>
      <w:pPr>
        <w:pStyle w:val="Heading1"/>
      </w:pPr>
      <w:r>
        <w:t xml:space="preserve">5. Combined TAM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60"/>
        <w:gridCol w:w="1600"/>
        <w:gridCol w:w="1800"/>
        <w:gridCol w:w="200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2026 TAM</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2030 TAM</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Layer 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AI Governance (core)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$400M–$1B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$1.4B–$7.4B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Now (Netflix pilot)</w:t>
            </w:r>
          </w:p>
        </w:tc>
      </w:tr>
      <w:tr>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A1A2E"/>
                <w:sz w:val="19"/>
                <w:szCs w:val="19"/>
              </w:rPr>
              <w:t xml:space="preserve">Layer 2</w:t>
            </w:r>
          </w:p>
        </w:tc>
        <w:tc>
          <w:tcPr>
            <w:tcW w:type="dxa" w:w="23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Semantic governance slice of adjacent markets</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$1B–$2B</w:t>
            </w:r>
          </w:p>
        </w:tc>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$2B–$7B</w:t>
            </w:r>
          </w:p>
        </w:tc>
        <w:tc>
          <w:tcPr>
            <w:tcW w:type="dxa" w:w="20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AI in Office suites (2026–2027)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Layer 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Full AI agent artifact governance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Emerging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$5B–$15B+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Agent proliferation (2027–2030)</w:t>
            </w:r>
          </w:p>
        </w:tc>
      </w:tr>
      <w:tr>
        <w:tc>
          <w:tcPr>
            <w:tcW w:type="dxa" w:w="16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TOTAL</w:t>
            </w:r>
          </w:p>
        </w:tc>
        <w:tc>
          <w:tcPr>
            <w:tcW w:type="dxa" w:w="236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All layers combined</w:t>
            </w:r>
          </w:p>
        </w:tc>
        <w:tc>
          <w:tcPr>
            <w:tcW w:type="dxa" w:w="16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$1.4B–$3B</w:t>
            </w:r>
          </w:p>
        </w:tc>
        <w:tc>
          <w:tcPr>
            <w:tcW w:type="dxa" w:w="18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$8.4B–$29.4B</w:t>
            </w:r>
          </w:p>
        </w:tc>
        <w:tc>
          <w:tcPr>
            <w:tcW w:type="dxa" w:w="20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Sequential expansion</w:t>
            </w:r>
          </w:p>
        </w:tc>
      </w:tr>
    </w:tbl>
    <w:p>
      <w:pPr>
        <w:spacing w:after="200"/>
      </w:pPr>
      <w:r>
        <w:rPr>
          <w:rFonts w:ascii="Arial" w:cs="Arial" w:eastAsia="Arial" w:hAnsi="Arial"/>
          <w:sz w:val="22"/>
          <w:szCs w:val="22"/>
        </w:rPr>
        <w:t xml:space="preserve"/>
      </w:r>
    </w:p>
    <w:p>
      <w:pPr>
        <w:pStyle w:val="Heading1"/>
      </w:pPr>
      <w:r>
        <w:t xml:space="preserve">6. How the Netflix Pilot Changes Everything</w:t>
      </w:r>
    </w:p>
    <w:p>
      <w:pPr>
        <w:pStyle w:val="Heading2"/>
      </w:pPr>
      <w:r>
        <w:t xml:space="preserve">6.1 Pilot Details</w:t>
      </w:r>
    </w:p>
    <w:p>
      <w:pPr>
        <w:spacing w:after="200"/>
      </w:pPr>
      <w:r>
        <w:rPr>
          <w:rFonts w:ascii="Arial" w:cs="Arial" w:eastAsia="Arial" w:hAnsi="Arial"/>
          <w:sz w:val="22"/>
          <w:szCs w:val="22"/>
        </w:rPr>
        <w:t xml:space="preserve">A DevOps engineer at Netflix has authorized a 2-week read-only pilot on a sunsetting repository with 116 active contributors pushing code at 4x review capacity. Written email permission will be secured. Minimal risk to Netflix; maximum signal value for GuardSpine.</w:t>
      </w:r>
    </w:p>
    <w:p>
      <w:pPr>
        <w:pStyle w:val="Heading2"/>
      </w:pPr>
      <w:r>
        <w:t xml:space="preserve">6.2 Valuation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Without Netflix</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With Netflix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Pre-seed valuation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$1M–$3M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7D46"/>
                <w:sz w:val="19"/>
                <w:szCs w:val="19"/>
              </w:rPr>
              <w:t xml:space="preserve">$3M–$8M</w:t>
            </w:r>
          </w:p>
        </w:tc>
      </w:tr>
      <w:tr>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A1A2E"/>
                <w:sz w:val="19"/>
                <w:szCs w:val="19"/>
              </w:rPr>
              <w:t xml:space="preserve">Seed valuation</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$3M–$5M</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D7D46"/>
                <w:sz w:val="19"/>
                <w:szCs w:val="19"/>
              </w:rPr>
              <w:t xml:space="preserve">$5M–$12M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Time to first VC meeting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6–12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7D46"/>
                <w:sz w:val="19"/>
                <w:szCs w:val="19"/>
              </w:rPr>
              <w:t xml:space="preserve">4–8 weeks post-pilot</w:t>
            </w:r>
          </w:p>
        </w:tc>
      </w:tr>
      <w:tr>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A1A2E"/>
                <w:sz w:val="19"/>
                <w:szCs w:val="19"/>
              </w:rPr>
              <w:t xml:space="preserve">Time to first revenue</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12–18 months</w:t>
            </w:r>
          </w:p>
        </w:tc>
        <w:tc>
          <w:tcPr>
            <w:tcW w:type="dxa" w:w="312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2D7D46"/>
                <w:sz w:val="19"/>
                <w:szCs w:val="19"/>
              </w:rPr>
              <w:t xml:space="preserve">3–6 months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Enterprise credibility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No proof points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7D46"/>
                <w:sz w:val="19"/>
                <w:szCs w:val="19"/>
              </w:rPr>
              <w:t xml:space="preserve">“Tested at Netflix scale”</w:t>
            </w:r>
          </w:p>
        </w:tc>
      </w:tr>
    </w:tbl>
    <w:p>
      <w:pPr>
        <w:spacing w:after="200"/>
      </w:pPr>
      <w:r>
        <w:rPr>
          <w:rFonts w:ascii="Arial" w:cs="Arial" w:eastAsia="Arial" w:hAnsi="Arial"/>
          <w:sz w:val="22"/>
          <w:szCs w:val="22"/>
        </w:rPr>
        <w:t xml:space="preserve"/>
      </w:r>
    </w:p>
    <w:p>
      <w:pPr>
        <w:pStyle w:val="Heading2"/>
      </w:pPr>
      <w:r>
        <w:t xml:space="preserve">6.3 Revenue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1600"/>
        <w:gridCol w:w="280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Assumptions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Year 1 ARR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Year 3 ARR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Floor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Pilot succeeds, Netflix doesn’t expand. Case study wins 3–5 mid-market customers at $2–5K/repo/month.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$100–250K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$500K–$1M</w:t>
            </w:r>
          </w:p>
        </w:tc>
      </w:tr>
      <w:tr>
        <w:tc>
          <w:tcPr>
            <w:tcW w:type="dxa" w:w="14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A1A2E"/>
                <w:sz w:val="19"/>
                <w:szCs w:val="19"/>
              </w:rPr>
              <w:t xml:space="preserve">Base</w:t>
            </w:r>
          </w:p>
        </w:tc>
        <w:tc>
          <w:tcPr>
            <w:tcW w:type="dxa" w:w="356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Netflix expands to 5–10 repos. 5–10 additional enterprise customers via case study + VC network. $3–5K/repo/month.</w:t>
            </w:r>
          </w:p>
        </w:tc>
        <w:tc>
          <w:tcPr>
            <w:tcW w:type="dxa" w:w="16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$500K–$1.5M</w:t>
            </w:r>
          </w:p>
        </w:tc>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$3M–$8M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Upside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Netflix full enterprise ($500K–$2M/yr). 15–25 customers via FAANG proof + Google connections + VC intros. Full-artifact expansion Year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$2M–$5M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$10M–$30M</w:t>
            </w:r>
          </w:p>
        </w:tc>
      </w:tr>
      <w:tr>
        <w:tc>
          <w:tcPr>
            <w:tcW w:type="dxa" w:w="14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Breakout</w:t>
            </w:r>
          </w:p>
        </w:tc>
        <w:tc>
          <w:tcPr>
            <w:tcW w:type="dxa" w:w="356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color w:val="1A1A2E"/>
                <w:sz w:val="19"/>
                <w:szCs w:val="19"/>
              </w:rPr>
              <w:t xml:space="preserve">Category-defining: Layer 2 activates. Enterprises demand governance for all AI-touched artifacts. Series A/B at $50–$150M valuation.</w:t>
            </w:r>
          </w:p>
        </w:tc>
        <w:tc>
          <w:tcPr>
            <w:tcW w:type="dxa" w:w="16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color w:val="1A1A2E"/>
                <w:sz w:val="19"/>
                <w:szCs w:val="19"/>
              </w:rPr>
              <w:t xml:space="preserve">$5M–$10M</w:t>
            </w:r>
          </w:p>
        </w:tc>
        <w:tc>
          <w:tcPr>
            <w:tcW w:type="dxa" w:w="28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color w:val="1A1A2E"/>
                <w:sz w:val="19"/>
                <w:szCs w:val="19"/>
              </w:rPr>
              <w:t xml:space="preserve">$30M–$100M+</w:t>
            </w:r>
          </w:p>
        </w:tc>
      </w:tr>
    </w:tbl>
    <w:p>
      <w:pPr>
        <w:spacing w:after="200"/>
      </w:pPr>
      <w:r>
        <w:rPr>
          <w:rFonts w:ascii="Arial" w:cs="Arial" w:eastAsia="Arial" w:hAnsi="Arial"/>
          <w:sz w:val="22"/>
          <w:szCs w:val="22"/>
        </w:rPr>
        <w:t xml:space="preserve"/>
      </w:r>
    </w:p>
    <w:p>
      <w:pPr>
        <w:pStyle w:val="Heading1"/>
      </w:pPr>
      <w:r>
        <w:t xml:space="preserve">7. Revised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Weeks 1–2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Netflix pilot on sunsetting repo. 116 coders, read-only, email permission.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First enterprise-scale validation.</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A1A2E"/>
                <w:sz w:val="19"/>
                <w:szCs w:val="19"/>
              </w:rPr>
              <w:t xml:space="preserve">Weeks 3–4</w:t>
            </w:r>
          </w:p>
        </w:tc>
        <w:tc>
          <w:tcPr>
            <w:tcW w:type="dxa" w:w="37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Compile results. Approach Founder 3 and 4 with live data, not a pitch.</w:t>
            </w:r>
          </w:p>
        </w:tc>
        <w:tc>
          <w:tcPr>
            <w:tcW w:type="dxa" w:w="37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Team from strength: “We ran this at Netflix.”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Month 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Operating agreement, equity, vesting, IP assignment. Attorney: $2–5K.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Legal foundation before results create misaligned expectations.</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A1A2E"/>
                <w:sz w:val="19"/>
                <w:szCs w:val="19"/>
              </w:rPr>
              <w:t xml:space="preserve">Months 2–3</w:t>
            </w:r>
          </w:p>
        </w:tc>
        <w:tc>
          <w:tcPr>
            <w:tcW w:type="dxa" w:w="37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Netflix advocate pushes expansion. Testimonial secured either way.</w:t>
            </w:r>
          </w:p>
        </w:tc>
        <w:tc>
          <w:tcPr>
            <w:tcW w:type="dxa" w:w="37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Expansion = first customer. No expansion = best possible case study.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Months 3–4</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VC intros via Founder 4. Biotech VC leverages David’s dual expertise.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Pre-seed/seed: $500K–$1.5M at $5–12M valuation.</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A1A2E"/>
                <w:sz w:val="19"/>
                <w:szCs w:val="19"/>
              </w:rPr>
              <w:t xml:space="preserve">Months 4–6</w:t>
            </w:r>
          </w:p>
        </w:tc>
        <w:tc>
          <w:tcPr>
            <w:tcW w:type="dxa" w:w="37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3–5 paying customers via case study, Google connections, VC intros.</w:t>
            </w:r>
          </w:p>
        </w:tc>
        <w:tc>
          <w:tcPr>
            <w:tcW w:type="dxa" w:w="37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$100K–$500K ARR run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Months 6–12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Scale to 10–20 customers. Begin Layer 2 R&amp;D (non-code artifacts).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$500K–$2M ARR. Series A prep.</w:t>
            </w:r>
          </w:p>
        </w:tc>
      </w:tr>
      <w:tr>
        <w:tc>
          <w:tcPr>
            <w:tcW w:type="dxa" w:w="1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A1A2E"/>
                <w:sz w:val="19"/>
                <w:szCs w:val="19"/>
              </w:rPr>
              <w:t xml:space="preserve">Months 12–18</w:t>
            </w:r>
          </w:p>
        </w:tc>
        <w:tc>
          <w:tcPr>
            <w:tcW w:type="dxa" w:w="37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Series A. Full-artifact governance launches. Layer 2 TAM unlocked.</w:t>
            </w:r>
          </w:p>
        </w:tc>
        <w:tc>
          <w:tcPr>
            <w:tcW w:type="dxa" w:w="378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$20M–$50M valuation. Equity enters meaningful dollar range.</w:t>
            </w:r>
          </w:p>
        </w:tc>
      </w:tr>
    </w:tbl>
    <w:p>
      <w:pPr>
        <w:spacing w:after="200"/>
      </w:pPr>
      <w:r>
        <w:rPr>
          <w:rFonts w:ascii="Arial" w:cs="Arial" w:eastAsia="Arial" w:hAnsi="Arial"/>
          <w:sz w:val="22"/>
          <w:szCs w:val="22"/>
        </w:rPr>
        <w:t xml:space="preserve"/>
      </w:r>
    </w:p>
    <w:p>
      <w:pPr>
        <w:pStyle w:val="Heading1"/>
      </w:pPr>
      <w:r>
        <w:t xml:space="preserve">8. Founding Team Equity Value by Stage</w:t>
      </w:r>
    </w:p>
    <w:p>
      <w:pPr>
        <w:spacing w:after="200"/>
      </w:pPr>
      <w:r>
        <w:rPr>
          <w:rFonts w:ascii="Arial" w:cs="Arial" w:eastAsia="Arial" w:hAnsi="Arial"/>
          <w:sz w:val="22"/>
          <w:szCs w:val="22"/>
        </w:rPr>
        <w:t xml:space="preserve">Assumes: David 45%, Igor 20%, Founder 3 15%, Founder 4 10%, Option Pool 10%. Pre-dilution except where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Valuation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David (45%)</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Igor (20%)</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Founder 3 (15%)</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Founder 4 (10%)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Pre-seed $5M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$2.25M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$1.0M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$750K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$500K</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A1A2E"/>
                <w:sz w:val="19"/>
                <w:szCs w:val="19"/>
              </w:rPr>
              <w:t xml:space="preserve">Seed $10M</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$4.5M</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$2.0M</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$1.5M</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$1.0M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Series A $30M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$10.1M*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$4.5M*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$3.4M*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19"/>
                <w:szCs w:val="19"/>
              </w:rPr>
              <w:t xml:space="preserve">$2.3M*</w:t>
            </w:r>
          </w:p>
        </w:tc>
      </w:tr>
      <w:tr>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bCs/>
                <w:color w:val="1A1A2E"/>
                <w:sz w:val="19"/>
                <w:szCs w:val="19"/>
              </w:rPr>
              <w:t xml:space="preserve">Series A $50M</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$16.9M*</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$7.5M*</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$5.6M*</w:t>
            </w:r>
          </w:p>
        </w:tc>
        <w:tc>
          <w:tcPr>
            <w:tcW w:type="dxa" w:w="1872"/>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color w:val="1A1A2E"/>
                <w:sz w:val="19"/>
                <w:szCs w:val="19"/>
              </w:rPr>
              <w:t xml:space="preserve">$3.8M*</w:t>
            </w:r>
          </w:p>
        </w:tc>
      </w:tr>
      <w:tr>
        <w:tc>
          <w:tcPr>
            <w:tcW w:type="dxa" w:w="1872"/>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b/>
                <w:bCs/>
                <w:color w:val="1A1A2E"/>
                <w:sz w:val="19"/>
                <w:szCs w:val="19"/>
              </w:rPr>
              <w:t xml:space="preserve">Series B $150M</w:t>
            </w:r>
          </w:p>
        </w:tc>
        <w:tc>
          <w:tcPr>
            <w:tcW w:type="dxa" w:w="1872"/>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color w:val="1A1A2E"/>
                <w:sz w:val="19"/>
                <w:szCs w:val="19"/>
              </w:rPr>
              <w:t xml:space="preserve">$38–$51M*</w:t>
            </w:r>
          </w:p>
        </w:tc>
        <w:tc>
          <w:tcPr>
            <w:tcW w:type="dxa" w:w="1872"/>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color w:val="1A1A2E"/>
                <w:sz w:val="19"/>
                <w:szCs w:val="19"/>
              </w:rPr>
              <w:t xml:space="preserve">$17–$23M*</w:t>
            </w:r>
          </w:p>
        </w:tc>
        <w:tc>
          <w:tcPr>
            <w:tcW w:type="dxa" w:w="1872"/>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color w:val="1A1A2E"/>
                <w:sz w:val="19"/>
                <w:szCs w:val="19"/>
              </w:rPr>
              <w:t xml:space="preserve">$13–$17M*</w:t>
            </w:r>
          </w:p>
        </w:tc>
        <w:tc>
          <w:tcPr>
            <w:tcW w:type="dxa" w:w="1872"/>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color w:val="1A1A2E"/>
                <w:sz w:val="19"/>
                <w:szCs w:val="19"/>
              </w:rPr>
              <w:t xml:space="preserve">$8.5–$11M*</w:t>
            </w:r>
          </w:p>
        </w:tc>
      </w:tr>
    </w:tbl>
    <w:p>
      <w:pPr>
        <w:spacing w:after="200"/>
      </w:pPr>
      <w:r>
        <w:rPr>
          <w:rFonts w:ascii="Arial" w:cs="Arial" w:eastAsia="Arial" w:hAnsi="Arial"/>
          <w:i/>
          <w:iCs/>
          <w:color w:val="666666"/>
          <w:sz w:val="22"/>
          <w:szCs w:val="22"/>
        </w:rPr>
        <w:t xml:space="preserve">*Post-dilution estimates assuming 20–25% dilution per round.</w:t>
      </w:r>
    </w:p>
    <w:p>
      <w:pPr>
        <w:spacing w:before="200"/>
      </w:pPr>
    </w:p>
    <w:p>
      <w:pPr>
        <w:pStyle w:val="Heading1"/>
      </w:pPr>
      <w:r>
        <w:t xml:space="preserve">9. Pricing Anchor: The Netflix Math</w:t>
      </w:r>
    </w:p>
    <w:p>
      <w:pPr>
        <w:spacing w:after="200"/>
      </w:pPr>
      <w:r>
        <w:rPr>
          <w:rFonts w:ascii="Arial" w:cs="Arial" w:eastAsia="Arial" w:hAnsi="Arial"/>
          <w:sz w:val="22"/>
          <w:szCs w:val="22"/>
        </w:rPr>
        <w:t xml:space="preserve">The Netflix pilot provides a concrete pricing anchor. One DevOps engineer managing 116 contributors at a 4x review velocity deficit represents a clear cost-savings calculation. A senior DevOps engineer at Netflix costs $180,000–$250,000 fully loaded. The review gap means this engineer needs at minimum one additional hire. GuardSpine eliminates or dramatically reduces that gap.</w:t>
      </w:r>
    </w:p>
    <w:p>
      <w:pPr>
        <w:spacing w:after="200"/>
      </w:pPr>
      <w:r>
        <w:rPr>
          <w:rFonts w:ascii="Arial" w:cs="Arial" w:eastAsia="Arial" w:hAnsi="Arial"/>
          <w:sz w:val="22"/>
          <w:szCs w:val="22"/>
        </w:rPr>
        <w:t xml:space="preserve">At $3,500/repo/month, 50 Netflix repositories = $2.1M annual contract value. At 200 repositories = $8.4M ACV. Any company with 50+ engineers pushing AI-assisted code faces some version of this problem. There are thousands of such companies globally. At average deal sizes of $100K–$500K/year (mid-market) and $500K–$5M/year (enterprise), the bottoms-up TAM for code governance alone exceeds $1B.</w:t>
      </w:r>
    </w:p>
    <w:p>
      <w:pPr>
        <w:pStyle w:val="Heading1"/>
      </w:pPr>
      <w:r>
        <w:t xml:space="preserve">10. Strategic Advantages</w:t>
      </w:r>
    </w:p>
    <w:p>
      <w:pPr>
        <w:pStyle w:val="ListParagraph"/>
        <w:numPr>
          <w:ilvl w:val="0"/>
          <w:numId w:val="2"/>
        </w:numPr>
        <w:spacing w:after="120"/>
      </w:pPr>
      <w:r>
        <w:rPr>
          <w:rFonts w:ascii="Arial" w:cs="Arial" w:eastAsia="Arial" w:hAnsi="Arial"/>
          <w:b/>
          <w:bCs/>
          <w:sz w:val="22"/>
          <w:szCs w:val="22"/>
        </w:rPr>
        <w:t xml:space="preserve">Netflix anchor customer. </w:t>
      </w:r>
      <w:r>
        <w:rPr>
          <w:rFonts w:ascii="Arial" w:cs="Arial" w:eastAsia="Arial" w:hAnsi="Arial"/>
          <w:sz w:val="22"/>
          <w:szCs w:val="22"/>
        </w:rPr>
        <w:t xml:space="preserve">The most credible proof point a pre-seed startup could have.</w:t>
      </w:r>
    </w:p>
    <w:p>
      <w:pPr>
        <w:pStyle w:val="ListParagraph"/>
        <w:numPr>
          <w:ilvl w:val="0"/>
          <w:numId w:val="2"/>
        </w:numPr>
        <w:spacing w:after="120"/>
      </w:pPr>
      <w:r>
        <w:rPr>
          <w:rFonts w:ascii="Arial" w:cs="Arial" w:eastAsia="Arial" w:hAnsi="Arial"/>
          <w:b/>
          <w:bCs/>
          <w:sz w:val="22"/>
          <w:szCs w:val="22"/>
        </w:rPr>
        <w:t xml:space="preserve">Relationship-driven sales. </w:t>
      </w:r>
      <w:r>
        <w:rPr>
          <w:rFonts w:ascii="Arial" w:cs="Arial" w:eastAsia="Arial" w:hAnsi="Arial"/>
          <w:sz w:val="22"/>
          <w:szCs w:val="22"/>
        </w:rPr>
        <w:t xml:space="preserve">Netflix contact is a personal advocate (David helped him find a specialist doctor during a health crisis). VC contact shares David’s biotech interests (peptides, genetic analysis). These are not cold relationships.</w:t>
      </w:r>
    </w:p>
    <w:p>
      <w:pPr>
        <w:pStyle w:val="ListParagraph"/>
        <w:numPr>
          <w:ilvl w:val="0"/>
          <w:numId w:val="2"/>
        </w:numPr>
        <w:spacing w:after="120"/>
      </w:pPr>
      <w:r>
        <w:rPr>
          <w:rFonts w:ascii="Arial" w:cs="Arial" w:eastAsia="Arial" w:hAnsi="Arial"/>
          <w:b/>
          <w:bCs/>
          <w:sz w:val="22"/>
          <w:szCs w:val="22"/>
        </w:rPr>
        <w:t xml:space="preserve">Hash-encoded evidence packs. </w:t>
      </w:r>
      <w:r>
        <w:rPr>
          <w:rFonts w:ascii="Arial" w:cs="Arial" w:eastAsia="Arial" w:hAnsi="Arial"/>
          <w:sz w:val="22"/>
          <w:szCs w:val="22"/>
        </w:rPr>
        <w:t xml:space="preserve">Cryptographic, tamper-proof artifact trails no incumbent can replicate without rebuilding from scratch.</w:t>
      </w:r>
    </w:p>
    <w:p>
      <w:pPr>
        <w:pStyle w:val="ListParagraph"/>
        <w:numPr>
          <w:ilvl w:val="0"/>
          <w:numId w:val="2"/>
        </w:numPr>
        <w:spacing w:after="120"/>
      </w:pPr>
      <w:r>
        <w:rPr>
          <w:rFonts w:ascii="Arial" w:cs="Arial" w:eastAsia="Arial" w:hAnsi="Arial"/>
          <w:b/>
          <w:bCs/>
          <w:sz w:val="22"/>
          <w:szCs w:val="22"/>
        </w:rPr>
        <w:t xml:space="preserve">Category creation timing. </w:t>
      </w:r>
      <w:r>
        <w:rPr>
          <w:rFonts w:ascii="Arial" w:cs="Arial" w:eastAsia="Arial" w:hAnsi="Arial"/>
          <w:sz w:val="22"/>
          <w:szCs w:val="22"/>
        </w:rPr>
        <w:t xml:space="preserve">Semantic Artifact Governance doesn’t exist as a category yet. First movers get 3–5x valuation premium.</w:t>
      </w:r>
    </w:p>
    <w:p>
      <w:pPr>
        <w:pStyle w:val="ListParagraph"/>
        <w:numPr>
          <w:ilvl w:val="0"/>
          <w:numId w:val="2"/>
        </w:numPr>
        <w:spacing w:after="120"/>
      </w:pPr>
      <w:r>
        <w:rPr>
          <w:rFonts w:ascii="Arial" w:cs="Arial" w:eastAsia="Arial" w:hAnsi="Arial"/>
          <w:b/>
          <w:bCs/>
          <w:sz w:val="22"/>
          <w:szCs w:val="22"/>
        </w:rPr>
        <w:t xml:space="preserve">Near-zero capex. </w:t>
      </w:r>
      <w:r>
        <w:rPr>
          <w:rFonts w:ascii="Arial" w:cs="Arial" w:eastAsia="Arial" w:hAnsi="Arial"/>
          <w:sz w:val="22"/>
          <w:szCs w:val="22"/>
        </w:rPr>
        <w:t xml:space="preserve">Logic, schemas, hash verification. No training, no inference, no bulk storage. &lt;$5K to first revenue. 85%+ gross margins from day one.</w:t>
      </w:r>
    </w:p>
    <w:p>
      <w:pPr>
        <w:pStyle w:val="ListParagraph"/>
        <w:numPr>
          <w:ilvl w:val="0"/>
          <w:numId w:val="2"/>
        </w:numPr>
        <w:spacing w:after="120"/>
      </w:pPr>
      <w:r>
        <w:rPr>
          <w:rFonts w:ascii="Arial" w:cs="Arial" w:eastAsia="Arial" w:hAnsi="Arial"/>
          <w:b/>
          <w:bCs/>
          <w:sz w:val="22"/>
          <w:szCs w:val="22"/>
        </w:rPr>
        <w:t xml:space="preserve">Platform pitch, not point solution. </w:t>
      </w:r>
      <w:r>
        <w:rPr>
          <w:rFonts w:ascii="Arial" w:cs="Arial" w:eastAsia="Arial" w:hAnsi="Arial"/>
          <w:sz w:val="22"/>
          <w:szCs w:val="22"/>
        </w:rPr>
        <w:t xml:space="preserve">“Proving on code at Netflix; every artifact type hits the same problem within 18 months.” This justifies higher valuation at every stage.</w:t>
      </w:r>
    </w:p>
    <w:p>
      <w:pPr>
        <w:pStyle w:val="ListParagraph"/>
        <w:numPr>
          <w:ilvl w:val="0"/>
          <w:numId w:val="2"/>
        </w:numPr>
        <w:spacing w:after="120"/>
      </w:pPr>
      <w:r>
        <w:rPr>
          <w:rFonts w:ascii="Arial" w:cs="Arial" w:eastAsia="Arial" w:hAnsi="Arial"/>
          <w:b/>
          <w:bCs/>
          <w:sz w:val="22"/>
          <w:szCs w:val="22"/>
        </w:rPr>
        <w:t xml:space="preserve">Biotech crossover. </w:t>
      </w:r>
      <w:r>
        <w:rPr>
          <w:rFonts w:ascii="Arial" w:cs="Arial" w:eastAsia="Arial" w:hAnsi="Arial"/>
          <w:sz w:val="22"/>
          <w:szCs w:val="22"/>
        </w:rPr>
        <w:t xml:space="preserve">David’s dual expertise in AI governance + biotechnology opens pharma/biotech verticals—among the most heavily regulated industries on Earth.</w:t>
      </w:r>
    </w:p>
    <w:p>
      <w:pPr>
        <w:spacing w:before="300"/>
      </w:pPr>
      <w:r>
        <w:rPr>
          <w:color w:val="CCCCCC"/>
        </w:rPr>
        <w:t xml:space="preserve">────────────────────────────────────────────────────────────</w:t>
      </w:r>
    </w:p>
    <w:p>
      <w:pPr>
        <w:spacing w:after="200"/>
      </w:pPr>
      <w:r>
        <w:rPr>
          <w:rFonts w:ascii="Arial" w:cs="Arial" w:eastAsia="Arial" w:hAnsi="Arial"/>
          <w:i/>
          <w:iCs/>
          <w:color w:val="666666"/>
          <w:sz w:val="22"/>
          <w:szCs w:val="22"/>
        </w:rPr>
        <w:t xml:space="preserve">Prepared February 5, 2026. Market data sourced from Grand View Research, MarketsandMarkets, IMARC Group, NextMSC, Mordor Intelligence, Precedence Research, Stratview Research, and others. Revenue projections are estimates based on standard SaaS models and comparable benchmarks.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GuardSpine TAM Analysis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07A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2026-02-06T01:58:46.343Z</dcterms:created>
  <dcterms:modified xsi:type="dcterms:W3CDTF">2026-02-06T01:58:46.344Z</dcterms:modified>
</cp:coreProperties>
</file>

<file path=docProps/custom.xml><?xml version="1.0" encoding="utf-8"?>
<Properties xmlns="http://schemas.openxmlformats.org/officeDocument/2006/custom-properties" xmlns:vt="http://schemas.openxmlformats.org/officeDocument/2006/docPropsVTypes"/>
</file>