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b856da0d0d0b3a5b5fb69bb069714f79ac0a8e4"/>
    <w:p>
      <w:pPr>
        <w:pStyle w:val="Heading1"/>
      </w:pPr>
      <w:r>
        <w:t xml:space="preserve">WireGuard on DigitalOcean REGIONAL_NETWORK LB — POC Results</w:t>
      </w:r>
    </w:p>
    <w:p>
      <w:pPr>
        <w:pStyle w:val="FirstParagraph"/>
      </w:pPr>
      <w:r>
        <w:rPr>
          <w:b/>
          <w:bCs/>
        </w:rPr>
        <w:t xml:space="preserve">Customer:</w:t>
      </w:r>
      <w:r>
        <w:t xml:space="preserve"> </w:t>
      </w:r>
      <w:r>
        <w:t xml:space="preserve">Telnyx</w:t>
      </w:r>
      <w:r>
        <w:br/>
      </w:r>
      <w:r>
        <w:rPr>
          <w:b/>
          <w:bCs/>
        </w:rPr>
        <w:t xml:space="preserve">SA:</w:t>
      </w:r>
      <w:r>
        <w:t xml:space="preserve"> </w:t>
      </w:r>
      <w:r>
        <w:t xml:space="preserve">Diogo Vieira</w:t>
      </w:r>
      <w:r>
        <w:br/>
      </w:r>
      <w:r>
        <w:rPr>
          <w:b/>
          <w:bCs/>
        </w:rPr>
        <w:t xml:space="preserve">Dates:</w:t>
      </w:r>
      <w:r>
        <w:t xml:space="preserve"> </w:t>
      </w:r>
      <w:r>
        <w:t xml:space="preserve">2026-03-25 → 2026-03-30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WireGuard UDP over DO Network LB at scale, on self-managed Kubernetes (RKE2/Rancher)</w:t>
      </w:r>
    </w:p>
    <w:p>
      <w:r>
        <w:pict>
          <v:rect style="width:0;height:1.5pt" o:hralign="center" o:hrstd="t" o:hr="t"/>
        </w:pict>
      </w:r>
    </w:p>
    <w:bookmarkStart w:id="9" w:name="overall-verdict-pass"/>
    <w:p>
      <w:pPr>
        <w:pStyle w:val="Heading2"/>
      </w:pPr>
      <w:r>
        <w:t xml:space="preserve">Overall Verdict: PASS</w:t>
      </w:r>
    </w:p>
    <w:p>
      <w:pPr>
        <w:pStyle w:val="FirstParagraph"/>
      </w:pPr>
      <w:r>
        <w:t xml:space="preserve">Three phases of testing confirm that running WireGuard through a DigitalOcean REGIONAL_NETWORK load balancer is production-viable on self-managed Kubernetes. The architecture Telnyx is targeting works. The 40-rule-per-LB ceiling is now fully resolved by the port 0 (any-to-any UDP) feature, which was validated in Phase 3b.</w:t>
      </w:r>
    </w:p>
    <w:p>
      <w:r>
        <w:pict>
          <v:rect style="width:0;height:1.5pt" o:hralign="center" o:hrstd="t" o:hr="t"/>
        </w:pict>
      </w:r>
    </w:p>
    <w:bookmarkEnd w:id="9"/>
    <w:bookmarkStart w:id="10" w:name="phase-summary"/>
    <w:p>
      <w:pPr>
        <w:pStyle w:val="Heading2"/>
      </w:pPr>
      <w:r>
        <w:t xml:space="preserve">Phase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2178"/>
        <w:gridCol w:w="2772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Tested On</w:t>
            </w:r>
          </w:p>
        </w:tc>
        <w:tc>
          <w:tcPr/>
          <w:p>
            <w:pPr>
              <w:pStyle w:val="Compact"/>
            </w:pPr>
            <w:r>
              <w:t xml:space="preserve">Key Question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DOKS</w:t>
            </w:r>
          </w:p>
        </w:tc>
        <w:tc>
          <w:tcPr/>
          <w:p>
            <w:pPr>
              <w:pStyle w:val="Compact"/>
            </w:pPr>
            <w:r>
              <w:t xml:space="preserve">Does WireGuard UDP work through a REGIONAL_NETWORK LB at all?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DOKS</w:t>
            </w:r>
          </w:p>
        </w:tc>
        <w:tc>
          <w:tcPr/>
          <w:p>
            <w:pPr>
              <w:pStyle w:val="Compact"/>
            </w:pPr>
            <w:r>
              <w:t xml:space="preserve">Which multi-pod topology works?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(2 of 4 options viable)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RKE2 (self-managed)</w:t>
            </w:r>
          </w:p>
        </w:tc>
        <w:tc>
          <w:tcPr/>
          <w:p>
            <w:pPr>
              <w:pStyle w:val="Compact"/>
            </w:pPr>
            <w:r>
              <w:t xml:space="preserve">Can 39 pods share one LB? Self-managed K8s gotchas?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3b</w:t>
            </w:r>
          </w:p>
        </w:tc>
        <w:tc>
          <w:tcPr/>
          <w:p>
            <w:pPr>
              <w:pStyle w:val="Compact"/>
            </w:pPr>
            <w:r>
              <w:t xml:space="preserve">RKE2 (self-managed)</w:t>
            </w:r>
          </w:p>
        </w:tc>
        <w:tc>
          <w:tcPr/>
          <w:p>
            <w:pPr>
              <w:pStyle w:val="Compact"/>
            </w:pPr>
            <w:r>
              <w:t xml:space="preserve">Does port 0 (any-to-any UDP) remove the 40-rule ceiling?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hase-1-baseline-validation-2026-03-25"/>
    <w:p>
      <w:pPr>
        <w:pStyle w:val="Heading2"/>
      </w:pPr>
      <w:r>
        <w:t xml:space="preserve">Phase 1: Baseline Validation (2026-03-25)</w:t>
      </w:r>
    </w:p>
    <w:p>
      <w:pPr>
        <w:pStyle w:val="FirstParagraph"/>
      </w:pPr>
      <w:r>
        <w:rPr>
          <w:b/>
          <w:bCs/>
        </w:rPr>
        <w:t xml:space="preserve">Cluster:</w:t>
      </w:r>
      <w:r>
        <w:t xml:space="preserve"> </w:t>
      </w:r>
      <w:r>
        <w:t xml:space="preserve">DOKS, SFO2</w:t>
      </w:r>
      <w:r>
        <w:br/>
      </w:r>
      <w:r>
        <w:rPr>
          <w:b/>
          <w:bCs/>
        </w:rPr>
        <w:t xml:space="preserve">Setup:</w:t>
      </w:r>
      <w:r>
        <w:t xml:space="preserve"> </w:t>
      </w:r>
      <w:r>
        <w:t xml:space="preserve">1 WireGuard pod, 1 REGIONAL_NETWORK LB, UDP 51820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017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Handshake through LB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Core UDP forwarding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transfer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0% packet loss, ~80ms RTT SFO2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MTU / large packets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WireGuard tunnel MTU (1420) constrains before LB’s 1424-byte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persistence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LB maintains UDP source mapping — critical for WireGuard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 restart resilience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Ephemeral key (</w:t>
            </w:r>
            <w:r>
              <w:rPr>
                <w:rStyle w:val="VerbatimChar"/>
              </w:rPr>
              <w:t xml:space="preserve">emptyDir</w:t>
            </w:r>
            <w:r>
              <w:t xml:space="preserve">) —</w:t>
            </w:r>
            <w:r>
              <w:t xml:space="preserve"> </w:t>
            </w:r>
            <w:r>
              <w:rPr>
                <w:b/>
                <w:bCs/>
              </w:rPr>
              <w:t xml:space="preserve">fix: store key in K8s Secret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UDP idle timeout</w:t>
            </w:r>
          </w:p>
        </w:tc>
        <w:tc>
          <w:tcPr/>
          <w:p>
            <w:pPr>
              <w:pStyle w:val="Compact"/>
            </w:pPr>
            <w:r>
              <w:t xml:space="preserve">NOT TESTED</w:t>
            </w:r>
          </w:p>
        </w:tc>
        <w:tc>
          <w:tcPr/>
          <w:p>
            <w:pPr>
              <w:pStyle w:val="Compact"/>
            </w:pPr>
            <w:r>
              <w:t xml:space="preserve">Mitigation:</w:t>
            </w:r>
            <w:r>
              <w:t xml:space="preserve"> </w:t>
            </w:r>
            <w:r>
              <w:rPr>
                <w:rStyle w:val="VerbatimChar"/>
              </w:rPr>
              <w:t xml:space="preserve">PersistentKeepalive = 25</w:t>
            </w:r>
            <w:r>
              <w:t xml:space="preserve"> </w:t>
            </w:r>
            <w:r>
              <w:t xml:space="preserve">on all clients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takeaway:</w:t>
      </w:r>
      <w:r>
        <w:t xml:space="preserve"> </w:t>
      </w:r>
      <w:r>
        <w:t xml:space="preserve">Platform works. The only failure is a deployment config issue (ephemeral keys), not an LB or network limitation.</w:t>
      </w:r>
    </w:p>
    <w:p>
      <w:r>
        <w:pict>
          <v:rect style="width:0;height:1.5pt" o:hralign="center" o:hrstd="t" o:hr="t"/>
        </w:pict>
      </w:r>
    </w:p>
    <w:bookmarkEnd w:id="11"/>
    <w:bookmarkStart w:id="14" w:name="phase-2-architecture-options-2026-03-26"/>
    <w:p>
      <w:pPr>
        <w:pStyle w:val="Heading2"/>
      </w:pPr>
      <w:r>
        <w:t xml:space="preserve">Phase 2: Architecture Options (2026-03-26)</w:t>
      </w:r>
    </w:p>
    <w:p>
      <w:pPr>
        <w:pStyle w:val="FirstParagraph"/>
      </w:pPr>
      <w:r>
        <w:rPr>
          <w:b/>
          <w:bCs/>
        </w:rPr>
        <w:t xml:space="preserve">Cluster:</w:t>
      </w:r>
      <w:r>
        <w:t xml:space="preserve"> </w:t>
      </w:r>
      <w:r>
        <w:t xml:space="preserve">DOKS, SFO2</w:t>
      </w:r>
      <w:r>
        <w:br/>
      </w:r>
      <w:r>
        <w:rPr>
          <w:b/>
          <w:bCs/>
        </w:rPr>
        <w:t xml:space="preserve">Setup:</w:t>
      </w:r>
      <w:r>
        <w:t xml:space="preserve"> </w:t>
      </w:r>
      <w:r>
        <w:t xml:space="preserve">3 WireGuard pods, 4 topology variants tested</w:t>
      </w:r>
    </w:p>
    <w:bookmarkStart w:id="12" w:name="what-doesnt-work-and-why"/>
    <w:p>
      <w:pPr>
        <w:pStyle w:val="Heading3"/>
      </w:pPr>
      <w:r>
        <w:t xml:space="preserve">What doesn’t work (and why)</w:t>
      </w:r>
    </w:p>
    <w:p>
      <w:pPr>
        <w:pStyle w:val="FirstParagraph"/>
      </w:pPr>
      <w:r>
        <w:rPr>
          <w:b/>
          <w:bCs/>
        </w:rPr>
        <w:t xml:space="preserve">Option B — Single Service, multi-port, multi-pod:</w:t>
      </w:r>
      <w:r>
        <w:t xml:space="preserve"> </w:t>
      </w:r>
      <w:r>
        <w:t xml:space="preserve">NOT VIABLE</w:t>
      </w:r>
      <w:r>
        <w:br/>
      </w:r>
      <w:r>
        <w:t xml:space="preserve">Kubernetes Services cannot route different ports to different pods. All ports share the same endpoint set — a packet on port 32000 can land on any pod, not just the one listening on 32000. Not a DO limitation; it’s a K8s fundamental.</w:t>
      </w:r>
    </w:p>
    <w:p>
      <w:pPr>
        <w:pStyle w:val="BodyText"/>
      </w:pPr>
      <w:r>
        <w:rPr>
          <w:b/>
          <w:bCs/>
        </w:rPr>
        <w:t xml:space="preserve">Option D — Shared port, source-IP affinity:</w:t>
      </w:r>
      <w:r>
        <w:t xml:space="preserve"> </w:t>
      </w:r>
      <w:r>
        <w:t xml:space="preserve">NOT VIABLE</w:t>
      </w:r>
      <w:r>
        <w:br/>
      </w:r>
      <w:r>
        <w:t xml:space="preserve">WireGuard handshakes are encrypted to a specific server public key. If the LB routes to the wrong pod (wrong key), the packet is silently dropped. Source-IP affinity can’t fix this because it only kicks in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first packet, and the first packet determines which pod you get.</w:t>
      </w:r>
    </w:p>
    <w:bookmarkEnd w:id="12"/>
    <w:bookmarkStart w:id="13" w:name="what-works"/>
    <w:p>
      <w:pPr>
        <w:pStyle w:val="Heading3"/>
      </w:pPr>
      <w:r>
        <w:t xml:space="preserve">What works</w:t>
      </w:r>
    </w:p>
    <w:p>
      <w:pPr>
        <w:pStyle w:val="FirstParagraph"/>
      </w:pPr>
      <w:r>
        <w:rPr>
          <w:b/>
          <w:bCs/>
        </w:rPr>
        <w:t xml:space="preserve">Option A — Separate LB per pod:</w:t>
      </w:r>
      <w:r>
        <w:t xml:space="preserve"> </w:t>
      </w:r>
      <w:r>
        <w:t xml:space="preserve">- Clean, 1:1 isolation (each customer = their own LB IP + pod)</w:t>
      </w:r>
      <w:r>
        <w:t xml:space="preserve"> </w:t>
      </w:r>
      <w:r>
        <w:t xml:space="preserve">- All 3 simultaneous tunnels: 0% packet loss</w:t>
      </w:r>
      <w:r>
        <w:t xml:space="preserve"> </w:t>
      </w:r>
      <w:r>
        <w:t xml:space="preserve">- Cost:</w:t>
      </w:r>
      <w:r>
        <w:t xml:space="preserve"> </w:t>
      </w:r>
      <w:r>
        <w:rPr>
          <w:b/>
          <w:bCs/>
        </w:rPr>
        <w:t xml:space="preserve">$12/mo per customer</w:t>
      </w:r>
      <w:r>
        <w:t xml:space="preserve"> </w:t>
      </w:r>
      <w:r>
        <w:t xml:space="preserve">— scales linearly to $1,200/mo at 100 customers</w:t>
      </w:r>
      <w:r>
        <w:t xml:space="preserve"> </w:t>
      </w:r>
      <w:r>
        <w:t xml:space="preserve">- LB provisioning: ~22s per new customer</w:t>
      </w:r>
    </w:p>
    <w:p>
      <w:pPr>
        <w:pStyle w:val="BodyText"/>
      </w:pPr>
      <w:r>
        <w:rPr>
          <w:b/>
          <w:bCs/>
        </w:rPr>
        <w:t xml:space="preserve">Option C — Shared gateway pod (recommended for shared-port model):</w:t>
      </w:r>
      <w:r>
        <w:t xml:space="preserve"> </w:t>
      </w:r>
      <w:r>
        <w:t xml:space="preserve">- 1 LB + 1 pod, unlimited peers (WireGuard supports thousands)</w:t>
      </w:r>
      <w:r>
        <w:t xml:space="preserve"> </w:t>
      </w:r>
      <w:r>
        <w:t xml:space="preserve">- All 3 clients connected: 0% packet loss, correct peer discrimination by public key</w:t>
      </w:r>
      <w:r>
        <w:t xml:space="preserve"> </w:t>
      </w:r>
      <w:r>
        <w:t xml:space="preserve">- Unknown clients silently rejected — no unauthorized access</w:t>
      </w:r>
      <w:r>
        <w:t xml:space="preserve"> </w:t>
      </w:r>
      <w:r>
        <w:t xml:space="preserve">- Cost:</w:t>
      </w:r>
      <w:r>
        <w:t xml:space="preserve"> </w:t>
      </w:r>
      <w:r>
        <w:rPr>
          <w:b/>
          <w:bCs/>
        </w:rPr>
        <w:t xml:space="preserve">$12/mo flat regardless of customer count</w:t>
      </w:r>
      <w:r>
        <w:t xml:space="preserve"> </w:t>
      </w:r>
      <w:r>
        <w:t xml:space="preserve">- Tradeoff: pod failure affects all customers; requires inter-peer iptables if isolation needed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X5093b9df9430c0096afb55722cf0d46a849a778"/>
    <w:p>
      <w:pPr>
        <w:pStyle w:val="Heading2"/>
      </w:pPr>
      <w:r>
        <w:t xml:space="preserve">Phase 3: Scale Test — 39 Pods on One LB (2026-03-30)</w:t>
      </w:r>
    </w:p>
    <w:p>
      <w:pPr>
        <w:pStyle w:val="FirstParagraph"/>
      </w:pPr>
      <w:r>
        <w:rPr>
          <w:b/>
          <w:bCs/>
        </w:rPr>
        <w:t xml:space="preserve">Cluster:</w:t>
      </w:r>
      <w:r>
        <w:t xml:space="preserve"> </w:t>
      </w:r>
      <w:r>
        <w:t xml:space="preserve">Self-managed RKE2 v1.34.6, NYC3 (4 nodes: 1 control plane + 3 workers)</w:t>
      </w:r>
      <w:r>
        <w:br/>
      </w:r>
      <w:r>
        <w:rPr>
          <w:b/>
          <w:bCs/>
        </w:rPr>
        <w:t xml:space="preserve">This is the architecture that matches Telnyx’s Rancher environment.</w:t>
      </w:r>
    </w:p>
    <w:bookmarkStart w:id="15" w:name="infrastructure"/>
    <w:p>
      <w:pPr>
        <w:pStyle w:val="Heading3"/>
      </w:pPr>
      <w:r>
        <w:t xml:space="preserve">Infrastructure</w:t>
      </w:r>
    </w:p>
    <w:p>
      <w:pPr>
        <w:pStyle w:val="SourceCode"/>
      </w:pPr>
      <w:r>
        <w:rPr>
          <w:rStyle w:val="VerbatimChar"/>
        </w:rPr>
        <w:t xml:space="preserve">                      Internet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+--------------------+</w:t>
      </w:r>
      <w:r>
        <w:br/>
      </w:r>
      <w:r>
        <w:rPr>
          <w:rStyle w:val="VerbatimChar"/>
        </w:rPr>
        <w:t xml:space="preserve">               |  REGIONAL_NETWORK  |</w:t>
      </w:r>
      <w:r>
        <w:br/>
      </w:r>
      <w:r>
        <w:rPr>
          <w:rStyle w:val="VerbatimChar"/>
        </w:rPr>
        <w:t xml:space="preserve">               |   134.199.242.48   |</w:t>
      </w:r>
      <w:r>
        <w:br/>
      </w:r>
      <w:r>
        <w:rPr>
          <w:rStyle w:val="VerbatimChar"/>
        </w:rPr>
        <w:t xml:space="preserve">               | UDP:32000-32038    |</w:t>
      </w:r>
      <w:r>
        <w:br/>
      </w:r>
      <w:r>
        <w:rPr>
          <w:rStyle w:val="VerbatimChar"/>
        </w:rPr>
        <w:t xml:space="preserve">               | TCP:30080 (HC)     |</w:t>
      </w:r>
      <w:r>
        <w:br/>
      </w:r>
      <w:r>
        <w:rPr>
          <w:rStyle w:val="VerbatimChar"/>
        </w:rPr>
        <w:t xml:space="preserve">               +--------------------+</w:t>
      </w:r>
      <w:r>
        <w:br/>
      </w:r>
      <w:r>
        <w:rPr>
          <w:rStyle w:val="VerbatimChar"/>
        </w:rPr>
        <w:t xml:space="preserve">               /         |          \</w:t>
      </w:r>
      <w:r>
        <w:br/>
      </w:r>
      <w:r>
        <w:rPr>
          <w:rStyle w:val="VerbatimChar"/>
        </w:rPr>
        <w:t xml:space="preserve">     +----------+   +----------+   +----------+   +----------+</w:t>
      </w:r>
      <w:r>
        <w:br/>
      </w:r>
      <w:r>
        <w:rPr>
          <w:rStyle w:val="VerbatimChar"/>
        </w:rPr>
        <w:t xml:space="preserve">     | Agent-1  |   | Agent-2  |   | Agent-3  |   | Server   |</w:t>
      </w:r>
      <w:r>
        <w:br/>
      </w:r>
      <w:r>
        <w:rPr>
          <w:rStyle w:val="VerbatimChar"/>
        </w:rPr>
        <w:t xml:space="preserve">     | 5 WG pods|   |10 WG pods|   |11 WG pods|   |13 WG pods|</w:t>
      </w:r>
      <w:r>
        <w:br/>
      </w:r>
      <w:r>
        <w:rPr>
          <w:rStyle w:val="VerbatimChar"/>
        </w:rPr>
        <w:t xml:space="preserve">     +----------+   +----------+   +----------+   +----------+</w:t>
      </w:r>
    </w:p>
    <w:p>
      <w:pPr>
        <w:pStyle w:val="Compact"/>
        <w:numPr>
          <w:ilvl w:val="0"/>
          <w:numId w:val="1001"/>
        </w:numPr>
      </w:pPr>
      <w:r>
        <w:t xml:space="preserve">39 WireGuard pods, each with a unique UDP port (32000–32038) and its own keypair</w:t>
      </w:r>
    </w:p>
    <w:p>
      <w:pPr>
        <w:pStyle w:val="Compact"/>
        <w:numPr>
          <w:ilvl w:val="0"/>
          <w:numId w:val="1001"/>
        </w:numPr>
      </w:pPr>
      <w:r>
        <w:t xml:space="preserve">40 LB forwarding rules (39 UDP + 1 TCP health check)</w:t>
      </w:r>
    </w:p>
    <w:p>
      <w:pPr>
        <w:pStyle w:val="Compact"/>
        <w:numPr>
          <w:ilvl w:val="0"/>
          <w:numId w:val="1001"/>
        </w:numPr>
      </w:pPr>
      <w:r>
        <w:t xml:space="preserve">Keys stored in K8s Secrets, config in ConfigMaps</w:t>
      </w:r>
    </w:p>
    <w:p>
      <w:pPr>
        <w:pStyle w:val="Compact"/>
        <w:numPr>
          <w:ilvl w:val="0"/>
          <w:numId w:val="1001"/>
        </w:numPr>
      </w:pPr>
      <w:r>
        <w:t xml:space="preserve">Health check: DaemonSet with</w:t>
      </w:r>
      <w:r>
        <w:t xml:space="preserve"> </w:t>
      </w:r>
      <w:r>
        <w:rPr>
          <w:rStyle w:val="VerbatimChar"/>
        </w:rPr>
        <w:t xml:space="preserve">hostNetwork: true</w:t>
      </w:r>
      <w:r>
        <w:t xml:space="preserve"> </w:t>
      </w:r>
      <w:r>
        <w:t xml:space="preserve">on TCP 30080</w:t>
      </w:r>
    </w:p>
    <w:bookmarkEnd w:id="15"/>
    <w:bookmarkStart w:id="16" w:name="test-results"/>
    <w:p>
      <w:pPr>
        <w:pStyle w:val="Heading3"/>
      </w:pPr>
      <w:r>
        <w:t xml:space="preserve">Test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795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First and last pod connectivity (port 32000, 32038)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 simultaneous tunnels (instances 0, 10, 20, 30, 38)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Cross-node routing (pods on all 4 nodes reachable)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Pod restart — other tunnels unaffected, pod reconnects in ~5s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41st rule rejected with HTTP 422</w:t>
            </w:r>
          </w:p>
        </w:tc>
        <w:tc>
          <w:tcPr/>
          <w:p>
            <w:pPr>
              <w:pStyle w:val="Compact"/>
            </w:pPr>
            <w:r>
              <w:t xml:space="preserve">PASS (limit confirmed)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Resource usage: ~1m CPU, ~4 MiB per WireGuard pod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Forwarding rule remove/re-add (~19s propagation)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Source IP</w:t>
            </w:r>
          </w:p>
        </w:tc>
        <w:tc>
          <w:tcPr/>
          <w:p>
            <w:pPr>
              <w:pStyle w:val="Compact"/>
            </w:pPr>
            <w:r>
              <w:t xml:space="preserve">NOTED — kube-proxy SNAT; pods see internal IP, not client real IP</w:t>
            </w:r>
          </w:p>
        </w:tc>
      </w:tr>
    </w:tbl>
    <w:p>
      <w:pPr>
        <w:pStyle w:val="BodyText"/>
      </w:pPr>
      <w:r>
        <w:rPr>
          <w:b/>
          <w:bCs/>
        </w:rPr>
        <w:t xml:space="preserve">19 tests passed, 0 failed.</w:t>
      </w:r>
    </w:p>
    <w:bookmarkEnd w:id="16"/>
    <w:bookmarkStart w:id="17" w:name="self-managed-k8s-critical-requirements"/>
    <w:p>
      <w:pPr>
        <w:pStyle w:val="Heading3"/>
      </w:pPr>
      <w:r>
        <w:t xml:space="preserve">Self-Managed K8s: Critical Requirements</w:t>
      </w:r>
    </w:p>
    <w:p>
      <w:pPr>
        <w:pStyle w:val="FirstParagraph"/>
      </w:pPr>
      <w:r>
        <w:t xml:space="preserve">These are not needed on DOKS (CCM handles them), but are mandatory for Telnyx’s Rancher setup:</w:t>
      </w:r>
    </w:p>
    <w:p>
      <w:pPr>
        <w:pStyle w:val="BodyText"/>
      </w:pPr>
      <w:r>
        <w:rPr>
          <w:b/>
          <w:bCs/>
        </w:rPr>
        <w:t xml:space="preserve">1. NLB local route on every backend node</w:t>
      </w:r>
      <w:r>
        <w:t xml:space="preserve"> </w:t>
      </w:r>
      <w:r>
        <w:t xml:space="preserve">(DO REGIONAL_NETWORK uses DSR)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route add to local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NLB_IP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dev eth0</w:t>
      </w:r>
    </w:p>
    <w:p>
      <w:pPr>
        <w:pStyle w:val="FirstParagraph"/>
      </w:pPr>
      <w:r>
        <w:t xml:space="preserve">Persist via systemd unit. Without this, the kernel drops incoming NLB packets —</w:t>
      </w:r>
      <w:r>
        <w:t xml:space="preserve"> </w:t>
      </w:r>
      <w:r>
        <w:rPr>
          <w:b/>
          <w:bCs/>
        </w:rPr>
        <w:t xml:space="preserve">nothing works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 All nodes must be tagged as LB backends</w:t>
      </w:r>
    </w:p>
    <w:p>
      <w:pPr>
        <w:pStyle w:val="BodyText"/>
      </w:pPr>
      <w:r>
        <w:t xml:space="preserve">kube-proxy may forward to pods on any node. If a non-backend node handles the return path, the NLB rejects it. Either tag all nodes or restrict WireGuard pods to backend nodes via affinity.</w:t>
      </w:r>
    </w:p>
    <w:p>
      <w:pPr>
        <w:pStyle w:val="BodyText"/>
      </w:pPr>
      <w:r>
        <w:rPr>
          <w:b/>
          <w:bCs/>
        </w:rPr>
        <w:t xml:space="preserve">3. Health check must 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hostNetwork: true</w:t>
      </w:r>
      <w:r>
        <w:rPr>
          <w:b/>
          <w:bCs/>
        </w:rPr>
        <w:t xml:space="preserve"> </w:t>
      </w:r>
      <w:r>
        <w:rPr>
          <w:b/>
          <w:bCs/>
        </w:rPr>
        <w:t xml:space="preserve">DaemonSet</w:t>
      </w:r>
    </w:p>
    <w:p>
      <w:pPr>
        <w:pStyle w:val="BodyText"/>
      </w:pPr>
      <w:r>
        <w:t xml:space="preserve">NodePort-based health checks don’t work because the health check response comes from the pod’s node, not the node the NLB checked. A hostNetwork DaemonSet ensures every node responds directly.</w:t>
      </w:r>
    </w:p>
    <w:bookmarkEnd w:id="17"/>
    <w:bookmarkStart w:id="18" w:name="resource-footprint"/>
    <w:p>
      <w:pPr>
        <w:pStyle w:val="Heading3"/>
      </w:pPr>
      <w:r>
        <w:t xml:space="preserve">Resource footprint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WG Pods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wg-scale-server (cp)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552m (27%)</w:t>
            </w:r>
          </w:p>
        </w:tc>
        <w:tc>
          <w:tcPr/>
          <w:p>
            <w:pPr>
              <w:pStyle w:val="Compact"/>
            </w:pPr>
            <w:r>
              <w:t xml:space="preserve">2095 MiB (53%)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wg-scale-agent-2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134m (6%)</w:t>
            </w:r>
          </w:p>
        </w:tc>
        <w:tc>
          <w:tcPr/>
          <w:p>
            <w:pPr>
              <w:pStyle w:val="Compact"/>
            </w:pPr>
            <w:r>
              <w:t xml:space="preserve">1436 MiB (36%)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wg-scale-agent-3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125m (6%)</w:t>
            </w:r>
          </w:p>
        </w:tc>
        <w:tc>
          <w:tcPr/>
          <w:p>
            <w:pPr>
              <w:pStyle w:val="Compact"/>
            </w:pPr>
            <w:r>
              <w:t xml:space="preserve">1380 MiB (35%)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wg-scale-agent-1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191m (9%)</w:t>
            </w:r>
          </w:p>
        </w:tc>
        <w:tc>
          <w:tcPr/>
          <w:p>
            <w:pPr>
              <w:pStyle w:val="Compact"/>
            </w:pPr>
            <w:r>
              <w:t xml:space="preserve">1496 MiB (38%)</w:t>
            </w:r>
          </w:p>
        </w:tc>
      </w:tr>
    </w:tbl>
    <w:p>
      <w:pPr>
        <w:pStyle w:val="BodyText"/>
      </w:pPr>
      <w:r>
        <w:t xml:space="preserve">WireGuard is extremely lightweight —</w:t>
      </w:r>
      <w:r>
        <w:t xml:space="preserve"> </w:t>
      </w:r>
      <w:r>
        <w:rPr>
          <w:b/>
          <w:bCs/>
        </w:rPr>
        <w:t xml:space="preserve">4 MiB RAM per pod</w:t>
      </w:r>
      <w:r>
        <w:t xml:space="preserve">. Resource is not the bottleneck.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f3ceaa1770a7578c140b0c0984739ed09455f12"/>
    <w:p>
      <w:pPr>
        <w:pStyle w:val="Heading2"/>
      </w:pPr>
      <w:r>
        <w:t xml:space="preserve">Phase 3b: Port 0 (Any-to-Any UDP) Validation (2026-03-30)</w:t>
      </w:r>
    </w:p>
    <w:p>
      <w:pPr>
        <w:pStyle w:val="FirstParagraph"/>
      </w:pPr>
      <w:r>
        <w:rPr>
          <w:b/>
          <w:bCs/>
        </w:rPr>
        <w:t xml:space="preserve">The 40-rule ceiling is now a non-issue.</w:t>
      </w:r>
    </w:p>
    <w:p>
      <w:pPr>
        <w:pStyle w:val="BodyText"/>
      </w:pPr>
      <w:r>
        <w:t xml:space="preserve">Port 0 on REGIONAL_NETWORK LB forwards all UDP traffic regardless of port — no per-port forwarding rules needed.</w:t>
      </w:r>
    </w:p>
    <w:p>
      <w:pPr>
        <w:pStyle w:val="BodyText"/>
      </w:pPr>
      <w:r>
        <w:t xml:space="preserve">Tested 5 pods on ports that were</w:t>
      </w:r>
      <w:r>
        <w:t xml:space="preserve"> </w:t>
      </w:r>
      <w:r>
        <w:rPr>
          <w:b/>
          <w:bCs/>
        </w:rPr>
        <w:t xml:space="preserve">never added as LB rules</w:t>
      </w:r>
      <w:r>
        <w:t xml:space="preserve"> </w:t>
      </w:r>
      <w:r>
        <w:t xml:space="preserve">(32050, 32060, 31000, 30100, 32700):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In LB Rules?</w:t>
            </w:r>
          </w:p>
        </w:tc>
        <w:tc>
          <w:tcPr/>
          <w:p>
            <w:pPr>
              <w:pStyle w:val="Compact"/>
            </w:pPr>
            <w:r>
              <w:t xml:space="preserve">Handshake</w:t>
            </w:r>
          </w:p>
        </w:tc>
        <w:tc>
          <w:tcPr/>
          <w:p>
            <w:pPr>
              <w:pStyle w:val="Compact"/>
            </w:pPr>
            <w:r>
              <w:t xml:space="preserve">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32050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32060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31000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30100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32700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20 tests passed, 0 failed, 0 warnings.</w:t>
      </w:r>
    </w:p>
    <w:p>
      <w:pPr>
        <w:pStyle w:val="BodyText"/>
      </w:pPr>
      <w:r>
        <w:t xml:space="preserve">With port 0, a single LB rule (</w:t>
      </w:r>
      <w:r>
        <w:rPr>
          <w:rStyle w:val="VerbatimChar"/>
        </w:rPr>
        <w:t xml:space="preserve">UDP:0 → UDP:0</w:t>
      </w:r>
      <w:r>
        <w:t xml:space="preserve">) forwards all ports. No per-customer rule management needed.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-recommendation"/>
    <w:p>
      <w:pPr>
        <w:pStyle w:val="Heading2"/>
      </w:pPr>
      <w:r>
        <w:t xml:space="preserve">Architecture Recommendation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634"/>
        <w:gridCol w:w="1131"/>
        <w:gridCol w:w="1382"/>
        <w:gridCol w:w="1382"/>
        <w:gridCol w:w="1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Customers/LB</w:t>
            </w:r>
          </w:p>
        </w:tc>
        <w:tc>
          <w:tcPr/>
          <w:p>
            <w:pPr>
              <w:pStyle w:val="Compact"/>
            </w:pPr>
            <w:r>
              <w:t xml:space="preserve">Cost/LB</w:t>
            </w:r>
          </w:p>
        </w:tc>
        <w:tc>
          <w:tcPr/>
          <w:p>
            <w:pPr>
              <w:pStyle w:val="Compact"/>
            </w:pPr>
            <w:r>
              <w:t xml:space="preserve">Source IP</w:t>
            </w:r>
          </w:p>
        </w:tc>
        <w:tc>
          <w:tcPr/>
          <w:p>
            <w:pPr>
              <w:pStyle w:val="Compact"/>
            </w:pPr>
            <w:r>
              <w:t xml:space="preserve">Isolation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Per-port, per-LB rules (Phase 3)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$12/mo</w:t>
            </w:r>
          </w:p>
        </w:tc>
        <w:tc>
          <w:tcPr/>
          <w:p>
            <w:pPr>
              <w:pStyle w:val="Compact"/>
            </w:pPr>
            <w:r>
              <w:t xml:space="preserve">NATed</w:t>
            </w:r>
          </w:p>
        </w:tc>
        <w:tc>
          <w:tcPr/>
          <w:p>
            <w:pPr>
              <w:pStyle w:val="Compact"/>
            </w:pPr>
            <w:r>
              <w:t xml:space="preserve">Cryptographic + port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 0, single rule (Phase 3b)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$12/mo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Cryptographic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Separate LB per customer (Phase 2A)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$12/mo</w:t>
            </w:r>
          </w:p>
        </w:tc>
        <w:tc>
          <w:tcPr/>
          <w:p>
            <w:pPr>
              <w:pStyle w:val="Compact"/>
            </w:pPr>
            <w:r>
              <w:t xml:space="preserve">NATed</w:t>
            </w:r>
          </w:p>
        </w:tc>
        <w:tc>
          <w:tcPr/>
          <w:p>
            <w:pPr>
              <w:pStyle w:val="Compact"/>
            </w:pPr>
            <w:r>
              <w:t xml:space="preserve">Network + cryptographic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gateway (Phase 2C)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$12/mo</w:t>
            </w:r>
          </w:p>
        </w:tc>
        <w:tc>
          <w:tcPr/>
          <w:p>
            <w:pPr>
              <w:pStyle w:val="Compact"/>
            </w:pPr>
            <w:r>
              <w:t xml:space="preserve">NATed</w:t>
            </w:r>
          </w:p>
        </w:tc>
        <w:tc>
          <w:tcPr/>
          <w:p>
            <w:pPr>
              <w:pStyle w:val="Compact"/>
            </w:pPr>
            <w:r>
              <w:t xml:space="preserve">Cryptographic only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Recommended path for Telnyx:</w:t>
      </w:r>
      <w:r>
        <w:t xml:space="preserve"> </w:t>
      </w:r>
      <w:r>
        <w:t xml:space="preserve">Port 0 + one pod per customer, all behind a single LB. Add LBs only to shard at scale (e.g., per-region or per-tier). Shared gateway (Phase 2C) is an alternative if unique ports per customer are not required.</w:t>
      </w:r>
    </w:p>
    <w:p>
      <w:r>
        <w:pict>
          <v:rect style="width:0;height:1.5pt" o:hralign="center" o:hrstd="t" o:hr="t"/>
        </w:pict>
      </w:r>
    </w:p>
    <w:bookmarkEnd w:id="21"/>
    <w:bookmarkStart w:id="22" w:name="production-checklist"/>
    <w:p>
      <w:pPr>
        <w:pStyle w:val="Heading2"/>
      </w:pPr>
      <w:r>
        <w:t xml:space="preserve">Production Checklist</w:t>
      </w:r>
    </w:p>
    <w:p>
      <w:pPr>
        <w:pStyle w:val="Compact"/>
        <w:numPr>
          <w:ilvl w:val="0"/>
          <w:numId w:val="1002"/>
        </w:numPr>
      </w:pPr>
      <w:r>
        <w:t xml:space="preserve">Add NLB local route on all Rancher nodes:</w:t>
      </w:r>
      <w:r>
        <w:t xml:space="preserve"> </w:t>
      </w:r>
      <w:r>
        <w:rPr>
          <w:rStyle w:val="VerbatimChar"/>
        </w:rPr>
        <w:t xml:space="preserve">ip route add to local &lt;NLB_IP&gt; dev eth0</w:t>
      </w:r>
      <w:r>
        <w:t xml:space="preserve"> </w:t>
      </w:r>
      <w:r>
        <w:t xml:space="preserve">+ systemd persistence</w:t>
      </w:r>
    </w:p>
    <w:p>
      <w:pPr>
        <w:pStyle w:val="Compact"/>
        <w:numPr>
          <w:ilvl w:val="0"/>
          <w:numId w:val="1003"/>
        </w:numPr>
      </w:pPr>
      <w:r>
        <w:t xml:space="preserve">Tag all nodes as NLB backends (or use pod affinity to restrict WG pods to tagged nodes)</w:t>
      </w:r>
    </w:p>
    <w:p>
      <w:pPr>
        <w:pStyle w:val="Compact"/>
        <w:numPr>
          <w:ilvl w:val="0"/>
          <w:numId w:val="1004"/>
        </w:numPr>
      </w:pPr>
      <w:r>
        <w:t xml:space="preserve">Deploy health check DaemonSet (</w:t>
      </w:r>
      <w:r>
        <w:rPr>
          <w:rStyle w:val="VerbatimChar"/>
        </w:rPr>
        <w:t xml:space="preserve">hostNetwork: true</w:t>
      </w:r>
      <w:r>
        <w:t xml:space="preserve">) on TCP 30080</w:t>
      </w:r>
    </w:p>
    <w:p>
      <w:pPr>
        <w:pStyle w:val="Compact"/>
        <w:numPr>
          <w:ilvl w:val="0"/>
          <w:numId w:val="1005"/>
        </w:numPr>
      </w:pPr>
      <w:r>
        <w:t xml:space="preserve">Store server private keys in K8s Secrets (not emptyDir)</w:t>
      </w:r>
    </w:p>
    <w:p>
      <w:pPr>
        <w:pStyle w:val="Compact"/>
        <w:numPr>
          <w:ilvl w:val="0"/>
          <w:numId w:val="1006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PersistentKeepalive = 25</w:t>
      </w:r>
      <w:r>
        <w:t xml:space="preserve"> </w:t>
      </w:r>
      <w:r>
        <w:t xml:space="preserve">on all client configs</w:t>
      </w:r>
    </w:p>
    <w:p>
      <w:pPr>
        <w:pStyle w:val="Compact"/>
        <w:numPr>
          <w:ilvl w:val="0"/>
          <w:numId w:val="1007"/>
        </w:numPr>
      </w:pPr>
      <w:r>
        <w:t xml:space="preserve">Set tunnel MTU to 1360 on server and client configs</w:t>
      </w:r>
    </w:p>
    <w:p>
      <w:pPr>
        <w:pStyle w:val="Compact"/>
        <w:numPr>
          <w:ilvl w:val="0"/>
          <w:numId w:val="1008"/>
        </w:numPr>
      </w:pPr>
      <w:r>
        <w:t xml:space="preserve">Use port 0 LB rule to remove 39-customer ceiling</w:t>
      </w:r>
    </w:p>
    <w:p>
      <w:pPr>
        <w:pStyle w:val="Compact"/>
        <w:numPr>
          <w:ilvl w:val="0"/>
          <w:numId w:val="1009"/>
        </w:numPr>
      </w:pPr>
      <w:r>
        <w:t xml:space="preserve">Note: WireGuard pods see kube-proxy SNAT IP, not client real IP — use public key for customer identification</w:t>
      </w:r>
    </w:p>
    <w:p>
      <w:pPr>
        <w:pStyle w:val="Compact"/>
        <w:numPr>
          <w:ilvl w:val="0"/>
          <w:numId w:val="1010"/>
        </w:numPr>
      </w:pPr>
      <w:r>
        <w:t xml:space="preserve">Note: LB rule changes propagate in ~19s — account for this in provisioning flow</w:t>
      </w:r>
    </w:p>
    <w:p>
      <w:r>
        <w:pict>
          <v:rect style="width:0;height:1.5pt" o:hralign="center" o:hrstd="t" o:hr="t"/>
        </w:pict>
      </w:r>
    </w:p>
    <w:bookmarkEnd w:id="22"/>
    <w:bookmarkStart w:id="23" w:name="cost-model"/>
    <w:p>
      <w:pPr>
        <w:pStyle w:val="Heading2"/>
      </w:pPr>
      <w:r>
        <w:t xml:space="preserve">Cost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LBs Needed</w:t>
            </w:r>
          </w:p>
        </w:tc>
        <w:tc>
          <w:tcPr/>
          <w:p>
            <w:pPr>
              <w:pStyle w:val="Compact"/>
            </w:pPr>
            <w:r>
              <w:t xml:space="preserve">LB Cost/mo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1–39 customers (per-port rules)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40+ customers (port 0)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Multi-region or HA sharding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$12 × N</w:t>
            </w:r>
          </w:p>
        </w:tc>
      </w:tr>
    </w:tbl>
    <w:p>
      <w:pPr>
        <w:pStyle w:val="BodyText"/>
      </w:pPr>
      <w:r>
        <w:t xml:space="preserve">Droplet cost (s-2vcpu-4gb): ~$24/mo per node. At 39 pods per node, that’s ~$0.62/customer/month for compute at full density.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2026-04-06T16:34:28Z</dcterms:created>
  <dcterms:modified xsi:type="dcterms:W3CDTF">2026-04-06T16:34:28Z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