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Bilgi Güvenliği Politikası</w:t>
      </w:r>
    </w:p>
    <w:p>
      <w:r>
        <w:t xml:space="preserve">Bu politika, Örnek Lojistik A.Ş. bilgi sistemlerini kullanan bütün çalışanları, stajyerleri ve yüklenici personelini kapsar. Politika; şirket bilgisayarları, cep telefonları, e-posta hesapları vb. bütün araçlar için geçerlidir.</w:t>
      </w:r>
    </w:p>
    <w:p>
      <w:r>
        <w:t xml:space="preserve">Politikanın uygulanmasından Bilgi İşlem Md. sorumludur. Politika yılda bir kez, ocak ayında gözden geçirilir.</w:t>
      </w:r>
    </w:p>
    <w:p>
      <w:pPr>
        <w:pStyle w:val="Heading2"/>
      </w:pPr>
      <w:r>
        <w:t xml:space="preserve">Bölüm 1: Parolalar</w:t>
      </w:r>
    </w:p>
    <w:p>
      <w:r>
        <w:t xml:space="preserve">Parolalar en az on iki karakterden oluşur; en az bir büyük harf, bir rakam ve bir özel işaret içerir. Parolalar doksan günde bir değiştirilir ve son beş parola yeniden kullanılamaz. Parola kimseyle paylaşılmaz; yöneticiler de çalışandan parolasını isteyemez.</w:t>
      </w:r>
    </w:p>
    <w:p>
      <w:r>
        <w:t xml:space="preserve">Beş hatalı girişten sonra hesap otuz dakika süreyle kilitlenir. Kilidin daha erken açılması için Bilgi İşlem Destek Hattı (dahili 4040) aranır.</w:t>
      </w:r>
    </w:p>
    <w:p>
      <w:pPr>
        <w:pStyle w:val="Heading3"/>
      </w:pPr>
      <w:r>
        <w:t xml:space="preserve">1.1 İki Adımlı Doğrulama</w:t>
      </w:r>
    </w:p>
    <w:p>
      <w:r>
        <w:t xml:space="preserve">E-posta, VPN ve muhasebe yazılımına girişte iki adımlı doğrulama zorunludur. Doğrulama kodu şirketin onayladığı telefon uygulamasıyla üretilir. SMS ile kod, yalnızca uygulamanın kullanılamadığı durumlarda Bilgi İşlem'in onayıyla verilir.</w:t>
      </w:r>
    </w:p>
    <w:p>
      <w:pPr>
        <w:pStyle w:val="Heading2"/>
      </w:pPr>
      <w:r>
        <w:t xml:space="preserve">Bölüm 2: Cihazlar</w:t>
      </w:r>
    </w:p>
    <w:p>
      <w:r>
        <w:t xml:space="preserve">Şirket bilgisayarına yalnızca Bilgi İşlem'in onayladığı yazılımlar kurulur. Kişisel USB bellek takılması yasaktır; dosya aktarımı için şirketin dosya paylaşım alanı kullanılır. Bilgisayarının başından ayrılan çalışan ekranını kilitler; ekran, beş dakika işlem yapılmadığında kendiliğinden kilitlenir.</w:t>
      </w:r>
    </w:p>
    <w:p>
      <w:pPr>
        <w:pStyle w:val="Heading3"/>
      </w:pPr>
      <w:r>
        <w:t xml:space="preserve">2.1 Kayıp ve Çalıntı</w:t>
      </w:r>
    </w:p>
    <w:p>
      <w:r>
        <w:t xml:space="preserve">Kaybolan ya da çalınan cihaz en geç iki saat içinde Bilgi İşlem Destek Hattı'na bildirilir. Bilgi İşlem, cihazdaki verileri uzaktan siler. Çalıntı durumunda çalışan ayrıca polis tutanağını üç iş günü içinde İnsan Kaynakları'na iletir.</w:t>
      </w:r>
    </w:p>
    <w:p>
      <w:pPr>
        <w:pStyle w:val="Heading3"/>
      </w:pPr>
      <w:r>
        <w:t xml:space="preserve">2.2 Kişisel Cihazlar</w:t>
      </w:r>
    </w:p>
    <w:p>
      <w:r>
        <w:t xml:space="preserve">Kişisel telefonda şirket e-postası kullanmak için birim yöneticisinin yazılı onayı ve cihazda ekran kilidi bulunması gerekir. Kişisel bilgisayarlardan şirket ağına VPN ile bağlanılamaz.</w:t>
      </w:r>
    </w:p>
    <w:p>
      <w:pPr>
        <w:pStyle w:val="Heading2"/>
      </w:pPr>
      <w:r>
        <w:t xml:space="preserve">Bölüm 3: Verilerin Sınıflandırılması</w:t>
      </w:r>
    </w:p>
    <w:p>
      <w:r>
        <w:t xml:space="preserve">Şirket verileri üç sınıfa ayrılır. Sınıflar ve şirket dışıyla paylaşım kuralları aşağıdaki tabloda gösterilmiştir.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3024"/>
        <w:gridCol w:w="3024"/>
        <w:gridCol w:w="3024"/>
      </w:tblGrid>
      <w:tr>
        <w:trPr>
          <w:tblHeader/>
        </w:trPr>
        <w:tc>
          <w:tcPr>
            <w:tcW w:w="3024" w:type="dxa"/>
          </w:tcPr>
          <w:p>
            <w:r>
              <w:rPr>
                <w:b/>
              </w:rPr>
              <w:t xml:space="preserve">Sınıf</w:t>
            </w:r>
          </w:p>
        </w:tc>
        <w:tc>
          <w:tcPr>
            <w:tcW w:w="3024" w:type="dxa"/>
          </w:tcPr>
          <w:p>
            <w:r>
              <w:rPr>
                <w:b/>
              </w:rPr>
              <w:t xml:space="preserve">Örnek</w:t>
            </w:r>
          </w:p>
        </w:tc>
        <w:tc>
          <w:tcPr>
            <w:tcW w:w="3024" w:type="dxa"/>
          </w:tcPr>
          <w:p>
            <w:r>
              <w:rPr>
                <w:b/>
              </w:rPr>
              <w:t xml:space="preserve">Şirket dışıyla paylaşım</w:t>
            </w:r>
          </w:p>
        </w:tc>
      </w:tr>
      <w:tr>
        <w:tc>
          <w:tcPr>
            <w:tcW w:w="3024" w:type="dxa"/>
          </w:tcPr>
          <w:p>
            <w:r>
              <w:t xml:space="preserve">Genel</w:t>
            </w:r>
          </w:p>
        </w:tc>
        <w:tc>
          <w:tcPr>
            <w:tcW w:w="3024" w:type="dxa"/>
          </w:tcPr>
          <w:p>
            <w:r>
              <w:t xml:space="preserve">Tanıtım broşürü, ilan metni</w:t>
            </w:r>
          </w:p>
        </w:tc>
        <w:tc>
          <w:tcPr>
            <w:tcW w:w="3024" w:type="dxa"/>
          </w:tcPr>
          <w:p>
            <w:r>
              <w:t xml:space="preserve">Serbest</w:t>
            </w:r>
          </w:p>
        </w:tc>
      </w:tr>
      <w:tr>
        <w:tc>
          <w:tcPr>
            <w:tcW w:w="3024" w:type="dxa"/>
          </w:tcPr>
          <w:p>
            <w:r>
              <w:t xml:space="preserve">Şirket içi</w:t>
            </w:r>
          </w:p>
        </w:tc>
        <w:tc>
          <w:tcPr>
            <w:tcW w:w="3024" w:type="dxa"/>
          </w:tcPr>
          <w:p>
            <w:r>
              <w:t xml:space="preserve">Vardiya çizelgesi, iç yazışma</w:t>
            </w:r>
          </w:p>
        </w:tc>
        <w:tc>
          <w:tcPr>
            <w:tcW w:w="3024" w:type="dxa"/>
          </w:tcPr>
          <w:p>
            <w:r>
              <w:t xml:space="preserve">Birim yöneticisinin onayıyla</w:t>
            </w:r>
          </w:p>
        </w:tc>
      </w:tr>
      <w:tr>
        <w:tc>
          <w:tcPr>
            <w:tcW w:w="3024" w:type="dxa"/>
          </w:tcPr>
          <w:p>
            <w:r>
              <w:t xml:space="preserve">Gizli</w:t>
            </w:r>
          </w:p>
        </w:tc>
        <w:tc>
          <w:tcPr>
            <w:tcW w:w="3024" w:type="dxa"/>
          </w:tcPr>
          <w:p>
            <w:r>
              <w:t xml:space="preserve">Müşteri sözleşmesi, ücret bilgisi</w:t>
            </w:r>
          </w:p>
        </w:tc>
        <w:tc>
          <w:tcPr>
            <w:tcW w:w="3024" w:type="dxa"/>
          </w:tcPr>
          <w:p>
            <w:r>
              <w:t xml:space="preserve">Yalnızca gizlilik sözleşmesi imzalanmışsa</w:t>
            </w:r>
          </w:p>
        </w:tc>
      </w:tr>
    </w:tbl>
    <w:p>
      <w:r>
        <w:t xml:space="preserve">Gizli veriler e-posta ile gönderilirken dosya şifrelenir; şifre alıcıya telefon gibi ayrı bir kanaldan iletilir.</w:t>
      </w:r>
    </w:p>
    <w:p>
      <w:r>
        <w:br w:type="page"/>
      </w:r>
    </w:p>
    <w:p>
      <w:pPr>
        <w:pStyle w:val="Heading2"/>
      </w:pPr>
      <w:r>
        <w:t xml:space="preserve">Bölüm 4: İhlal Bildirimi</w:t>
      </w:r>
    </w:p>
    <w:p>
      <w:r>
        <w:t xml:space="preserve">Şüpheli bir e-posta alan çalışan bağlantıya tıklamaz, eki açmaz ve e-postayı guvenlik@orneklojistik.example adresine iletir. Bir güvenlik ihlalinden şüphelenen çalışan durumu en geç bir saat içinde Bilgi İşlem Destek Hattı'na bildirir.</w:t>
      </w:r>
    </w:p>
    <w:p>
      <w:r>
        <w:t xml:space="preserve">Kişisel verilerin etkilendiği ihlaller, Bilgi İşlem Md. tarafından yetmiş iki saat içinde Kişisel Verileri Koruma Kurulu'na bildirilir. Politikaya aykırı davranışlar disiplin soruşturmasına konu olur.</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71"/>
    <w:rsid w:val="00A86D28"/>
    <w:rsid w:val="00CA2691"/>
    <w:rsid w:val="00DA2971"/>
    <w:rsid w:val="00F32C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6596"/>
  <w15:chartTrackingRefBased/>
  <w15:docId w15:val="{E28E5DCB-77F7-4442-B13B-15C7E429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2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971"/>
    <w:rPr>
      <w:rFonts w:eastAsiaTheme="majorEastAsia" w:cstheme="majorBidi"/>
      <w:color w:val="272727" w:themeColor="text1" w:themeTint="D8"/>
    </w:rPr>
  </w:style>
  <w:style w:type="paragraph" w:styleId="Title">
    <w:name w:val="Title"/>
    <w:basedOn w:val="Normal"/>
    <w:next w:val="Normal"/>
    <w:link w:val="TitleChar"/>
    <w:uiPriority w:val="10"/>
    <w:qFormat/>
    <w:rsid w:val="00DA2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971"/>
    <w:pPr>
      <w:spacing w:before="160"/>
      <w:jc w:val="center"/>
    </w:pPr>
    <w:rPr>
      <w:i/>
      <w:iCs/>
      <w:color w:val="404040" w:themeColor="text1" w:themeTint="BF"/>
    </w:rPr>
  </w:style>
  <w:style w:type="character" w:customStyle="1" w:styleId="QuoteChar">
    <w:name w:val="Quote Char"/>
    <w:basedOn w:val="DefaultParagraphFont"/>
    <w:link w:val="Quote"/>
    <w:uiPriority w:val="29"/>
    <w:rsid w:val="00DA2971"/>
    <w:rPr>
      <w:i/>
      <w:iCs/>
      <w:color w:val="404040" w:themeColor="text1" w:themeTint="BF"/>
    </w:rPr>
  </w:style>
  <w:style w:type="paragraph" w:styleId="ListParagraph">
    <w:name w:val="List Paragraph"/>
    <w:basedOn w:val="Normal"/>
    <w:uiPriority w:val="34"/>
    <w:qFormat/>
    <w:rsid w:val="00DA2971"/>
    <w:pPr>
      <w:ind w:left="720"/>
      <w:contextualSpacing/>
    </w:pPr>
  </w:style>
  <w:style w:type="character" w:styleId="IntenseEmphasis">
    <w:name w:val="Intense Emphasis"/>
    <w:basedOn w:val="DefaultParagraphFont"/>
    <w:uiPriority w:val="21"/>
    <w:qFormat/>
    <w:rsid w:val="00DA2971"/>
    <w:rPr>
      <w:i/>
      <w:iCs/>
      <w:color w:val="0F4761" w:themeColor="accent1" w:themeShade="BF"/>
    </w:rPr>
  </w:style>
  <w:style w:type="paragraph" w:styleId="IntenseQuote">
    <w:name w:val="Intense Quote"/>
    <w:basedOn w:val="Normal"/>
    <w:next w:val="Normal"/>
    <w:link w:val="IntenseQuoteChar"/>
    <w:uiPriority w:val="30"/>
    <w:qFormat/>
    <w:rsid w:val="00DA2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971"/>
    <w:rPr>
      <w:i/>
      <w:iCs/>
      <w:color w:val="0F4761" w:themeColor="accent1" w:themeShade="BF"/>
    </w:rPr>
  </w:style>
  <w:style w:type="character" w:styleId="IntenseReference">
    <w:name w:val="Intense Reference"/>
    <w:basedOn w:val="DefaultParagraphFont"/>
    <w:uiPriority w:val="32"/>
    <w:qFormat/>
    <w:rsid w:val="00DA2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2026-10-08T08:32:27Z</dcterms:created>
  <dcterms:modified xsi:type="dcterms:W3CDTF">2026-10-08T08:32:27Z</dcterms:modified>
</cp:coreProperties>
</file>