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 xml:space="preserve">Depo ve Sevkiyat Operasyonları El Kitabı</w:t>
      </w:r>
    </w:p>
    <w:p>
      <w:r>
        <w:t xml:space="preserve">Bu el kitabı, Örnek Lojistik A.Ş. depolarında malın kabulünden müşteriye teslimine kadar yürütülen işleri anlatır. Merkez Depo (Gebze), Ankara Aktarma Deposu ve İzmir Bölge Deposu'nda çalışan bütün personel ile bu depolarda görev yapan taşeron çalışanları için geçerlidir. Güvenlik kuralları bu el kitabının konusu değildir; onlar için Depo İş Güvenliği Talimatı uygulanır.</w:t>
      </w:r>
    </w:p>
    <w:p>
      <w:r>
        <w:t xml:space="preserve">El kitabının güncelliğinden Operasyon Direktörlüğü sorumludur. Metin yılda iki kez, haziran ve aralık aylarında gözden geçirilir; değişiklik önerileri depo müdürleri aracılığıyla Süreç Geliştirme Uzm.'na iletilir. Bu belgede "DYS", şirketin kullandığı depo yönetim sistemi yazılımını ifade eder.</w:t>
      </w:r>
    </w:p>
    <w:p>
      <w:pPr>
        <w:pStyle w:val="Heading2"/>
      </w:pPr>
      <w:r>
        <w:t xml:space="preserve">Bölüm 1: Mal Kabul</w:t>
      </w:r>
    </w:p>
    <w:p>
      <w:r>
        <w:t xml:space="preserve">Mal kabul, tedarikçiden ya da müşteriden gelen ürünün depoya alınıp DYS'de stoka işlenmesine kadar süren adımları kapsar. Yanlış ya da eksik kabul edilen her teslimat sonraki bütün adımlarda hataya yol açar; bu yüzden mal kabulde öncelik hız değil doğruluktur.</w:t>
      </w:r>
    </w:p>
    <w:p>
      <w:pPr>
        <w:pStyle w:val="Heading3"/>
      </w:pPr>
      <w:r>
        <w:t xml:space="preserve">1.1 Randevu ve Araç Kabul</w:t>
      </w:r>
    </w:p>
    <w:p>
      <w:r>
        <w:t xml:space="preserve">Depoya mal getirecek her araç için en geç bir iş günü önce saat 15:00'e kadar randevu alınır. Randevu, tedarikçi portalı üzerinden ya da mal kabul sorumlusuna e-posta ile talep edilir; talepte sipariş numarası, palet sayısı, aracın plakası ve tahmini varış saati yer alır. Mal kabul rampaları hafta içi 08:00 ile 17:00 arasında, cumartesi günleri 08:00 ile 13:00 arasında çalışır; pazar günleri ve resmî tatillerde mal kabul yapılmaz. Randevu saatinden en fazla otuz dakika önce gelen araç bekleme alanına alınır, daha erken gelen araç tesise kabul edilmez. Randevusuna kırk beş dakikadan fazla geciken araç sıranın sonuna alınır ve o gün boş rampa kalmazsa ertesi iş gününe ertelenir; gecikme aynı ay içinde üçüncü kez yaşanırsa durum Satın Alma birimine yazılı olarak bildirilir. Randevusuz gelen araçlar yalnızca depo müdürünün onayıyla ve randevulu araçların işi bittikten sonra kabul edilir. Araç tesise girerken güvenlik görevlisi sürücünün kimliğini ve aracın plakasını kaydeder, sürücüye ziyaretçi kartı ile rampa numarasını verir. Sürücü boşaltma sırasında aracının yanında kalır ancak rampa içine girmez; boşaltma bittiğinde irsaliyenin bir nüshası kaşelenip imzalanarak sürücüye geri verilir. Soğuk zincir ürünü taşıyan araçlar için bekleme yoktur: bu araçlar randevu saatinden bağımsız olarak ilk boşalan rampaya alınır ve boşaltmaya en geç on beş dakika içinde başlanır. Bir aracın rampada kalma süresi standart yüklerde doksan dakikayı geçmemelidir; sürenin aşılacağı anlaşılırsa mal kabul sorumlusu vardiya amirini bilgilendirir.</w:t>
      </w:r>
    </w:p>
    <w:p>
      <w:pPr>
        <w:pStyle w:val="Heading3"/>
      </w:pPr>
      <w:r>
        <w:t xml:space="preserve">1.2 Sayım ve Kalite Kontrol</w:t>
      </w:r>
    </w:p>
    <w:p>
      <w:r>
        <w:t xml:space="preserve">İndirilen paletler önce mal kabul alanına alınır ve irsaliye ile karşılaştırılır. Koli sayısı her teslimatta eksiksiz sayılır; koli içi adet kontrolü ise örnekleme ile yapılır: teslimattaki kolilerin yüzde onu, en az beş koli olmak üzere açılarak sayılır. Örneklemede tek bir kolide bile fark çıkarsa teslimatın tamamı adet bazında sayılır.</w:t>
      </w:r>
    </w:p>
    <w:p>
      <w:r>
        <w:t xml:space="preserve">Kalite kontrolde ambalajın sağlamlığı, ürün etiketindeki barkodun okunabilirliği ve son kullanma tarihi kontrol edilir. Gıda ve kozmetik ürünlerinde toplam raf ömrünün en az üçte ikisi kalmamışsa ürün kabul edilmez; müşteri sözleşmesinde farklı bir oran yazıyorsa sözleşmedeki oran geçerlidir. Soğuk zincir ürünlerinde araç içi sıcaklık kaydı sürücüden alınır ve ürün sıcaklığı prob termometreyle ölçülür; ölçüm sonucu mal kabul formuna yazılır.</w:t>
      </w:r>
    </w:p>
    <w:p>
      <w:r>
        <w:t xml:space="preserve">Kontrolü tamamlanan ürünler DYS'ye girilir ve her palete bir palet etiketi basılır. Mal kabul, aracın boşaltılmasından itibaren en geç dört saat içinde DYS'de kapatılmalıdır; kapatılmayan kabul, ürünün satışa açılmasını engeller.</w:t>
      </w:r>
    </w:p>
    <w:p>
      <w:pPr>
        <w:pStyle w:val="Heading3"/>
      </w:pPr>
      <w:r>
        <w:t xml:space="preserve">1.3 Uygunsuz Teslimat</w:t>
      </w:r>
    </w:p>
    <w:p>
      <w:r>
        <w:t xml:space="preserve">Eksik, fazla, hasarlı ya da yanlış ürün içeren teslimatlar için uygunsuzluk tutanağı düzenlenir. Tutanak sürücüye imzalatılır; sürücü imzadan kaçınırsa bu durum tutanağa yazılır ve teslimatın fotoğrafları eklenir. Hasarlı ürünler karantina alanına alınır ve kırmızı "Bloke" etiketiyle işaretlenir.</w:t>
      </w:r>
    </w:p>
    <w:p>
      <w:r>
        <w:t xml:space="preserve">Uygunsuzluk, tutanak tarihini izleyen iki iş günü içinde ilgili müşteri temsilcisine ve tedarikçiye yazılı olarak bildirilir. Karantinadaki ürün için müşteriden en geç on iş günü içinde talimat beklenir: iade, imha ya da indirimli kabul. Bu süre içinde talimat gelmezse ürün iade edilmek üzere ayrılır ve depolama ücreti on birinci günden itibaren müşteriye yansıtılır.</w:t>
      </w:r>
    </w:p>
    <w:p>
      <w:pPr>
        <w:pStyle w:val="Heading2"/>
      </w:pPr>
      <w:r>
        <w:t xml:space="preserve">Bölüm 2: Depolama ve Adresleme</w:t>
      </w:r>
    </w:p>
    <w:p>
      <w:r>
        <w:t xml:space="preserve">Kabul edilen her palet, DYS'nin önerdiği adrese yerleştirilir. Adres, ürünün nerede olduğunu tek başına söyleyen bir koddur; adressiz ya da yanlış adresli bir palet depoda fiilen kayıptır.</w:t>
      </w:r>
    </w:p>
    <w:p>
      <w:pPr>
        <w:pStyle w:val="Heading3"/>
      </w:pPr>
      <w:r>
        <w:t xml:space="preserve">2.1 Adresleme</w:t>
      </w:r>
    </w:p>
    <w:p>
      <w:r>
        <w:t xml:space="preserve">Depo adresleri dört bölümden oluşur: koridor harfi, raf sırası, kat ve göz numarası. Örneğin C-14-03-02, C koridorunun 14. sırasındaki rafın üçüncü katının ikinci gözünü gösterir. Zemin katın numarası 00'dır. Adres etiketleri rafın sol dikmesinde, göz hizasında bulunur ve el terminaliyle okutulur.</w:t>
      </w:r>
    </w:p>
    <w:p>
      <w:r>
        <w:t xml:space="preserve">Yerleştirmeyi yapan operatör önce palet etiketini, sonra adres etiketini okutur; DYS iki okutma eşleşmeden yerleştirmeyi tamamlanmış saymaz. Operatör, DYS'nin önerdiği adres doluysa ya da palet o göze sığmıyorsa paleti kendi seçtiği bir adrese koyamaz; durumu vardiya amirine bildirir ve yeni adres DYS üzerinden atanır. Mal kabulü kapatılan paletler en geç iki saat içinde adreslerine yerleştirilir; mal kabul alanında gece boyu palet bırakılmaz.</w:t>
      </w:r>
    </w:p>
    <w:p>
      <w:pPr>
        <w:pStyle w:val="Heading3"/>
      </w:pPr>
      <w:r>
        <w:t xml:space="preserve">2.2 Stok Döndürme</w:t>
      </w:r>
    </w:p>
    <w:p>
      <w:r>
        <w:t xml:space="preserve">Stok döndürmede iki kural kullanılır. Son kullanma tarihi olan ürünlerde "son kullanma tarihi en yakın olan önce çıkar" kuralı (FEFO), diğer ürünlerde "ilk giren ilk çıkar" kuralı (FIFO) uygulanır. Hangi kuralın geçerli olduğu ürün kartında tanımlıdır ve DYS toplama görevlerini buna göre üretir; operatör, sistemin gösterdiği paletin yerine aynı üründen daha kolay ulaşılan bir başka paleti alamaz. Son kullanma tarihine doksan günden az kalan ürünler DYS'de "yakın tarihli" olarak işaretlenir ve müşteri temsilcisine haftalık olarak raporlanır. Son kullanma tarihine otuz günden az kalan ürünler satışa kapatılır ve karantina alanına taşınır; bu ürünler ancak müşterinin yazılı talimatıyla sevk edilebilir. Tarihi geçmiş ürün hiçbir koşulda sevk edilmez.</w:t>
      </w:r>
    </w:p>
    <w:p>
      <w:pPr>
        <w:pStyle w:val="Heading3"/>
      </w:pPr>
      <w:r>
        <w:t xml:space="preserve">2.3 Özel Depolama Alanları</w:t>
      </w:r>
    </w:p>
    <w:p>
      <w:r>
        <w:t xml:space="preserve">Soğuk depo iki bölümdür: soğutulmuş ürünler +2 °C ile +8 °C arasında, donuk ürünler −18 °C ve altında saklanır. Sıcaklık, otomatik kayıt cihazlarıyla on dakikada bir kaydedilir; değer sınırın dışına çıkarsa sistem vardiya amirinin telefonuna uyarı gönderir. Sıcaklık sapması otuz dakikayı aşarsa etkilenen ürünler bloke edilir ve ürünün akıbetine Kalite Güvence Uzm. karar verir. Soğuk depo kapıları yükleme ve boşaltma dışında kapalı tutulur; bir kapının açık kalma süresi iki dakikayı geçemez.</w:t>
      </w:r>
    </w:p>
    <w:p>
      <w:r>
        <w:t xml:space="preserve">Birim değeri 5.000 TL'yi aşan elektronik ürünler ve benzeri değerli ürünler kilitli kafes alanında saklanır. Kafes alanına yalnızca yetki listesindeki personel girebilir; giriş ve çıkışlar kartlı geçiş sistemiyle kaydedilir ve alan kesintisiz olarak kamerayla izlenir.</w:t>
      </w:r>
    </w:p>
    <w:p>
      <w:r>
        <w:t xml:space="preserve">Yanıcı, aşındırıcı ürünler ve basınçlı kaplar gibi tehlikeli madde sınıfındaki ürünler ayrı bir bölmede, sınıflarına göre birbirinden ayrılarak depolanır. Bu bölmede paletler en fazla iki kat üst üste konulur ve her ürünün güvenlik bilgi formu bölmenin girişinde bulunur.</w:t>
      </w:r>
    </w:p>
    <w:p>
      <w:r>
        <w:t xml:space="preserve">Depolama alanlarının sıcaklık koşulları ve sayım sıklıkları aşağıdaki tabloda gösterilmiştir.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Pr>
      <w:tblGrid>
        <w:gridCol w:w="3024"/>
        <w:gridCol w:w="3024"/>
        <w:gridCol w:w="3024"/>
      </w:tblGrid>
      <w:tr>
        <w:trPr>
          <w:tblHeader/>
        </w:trPr>
        <w:tc>
          <w:tcPr>
            <w:tcW w:w="3024" w:type="dxa"/>
          </w:tcPr>
          <w:p>
            <w:r>
              <w:rPr>
                <w:b/>
              </w:rPr>
              <w:t xml:space="preserve">Depolama alanı</w:t>
            </w:r>
          </w:p>
        </w:tc>
        <w:tc>
          <w:tcPr>
            <w:tcW w:w="3024" w:type="dxa"/>
          </w:tcPr>
          <w:p>
            <w:r>
              <w:rPr>
                <w:b/>
              </w:rPr>
              <w:t xml:space="preserve">Sıcaklık</w:t>
            </w:r>
          </w:p>
        </w:tc>
        <w:tc>
          <w:tcPr>
            <w:tcW w:w="3024" w:type="dxa"/>
          </w:tcPr>
          <w:p>
            <w:r>
              <w:rPr>
                <w:b/>
              </w:rPr>
              <w:t xml:space="preserve">Sayım sıklığı</w:t>
            </w:r>
          </w:p>
        </w:tc>
      </w:tr>
      <w:tr>
        <w:tc>
          <w:tcPr>
            <w:tcW w:w="3024" w:type="dxa"/>
          </w:tcPr>
          <w:p>
            <w:r>
              <w:t xml:space="preserve">Standart raf alanı</w:t>
            </w:r>
          </w:p>
        </w:tc>
        <w:tc>
          <w:tcPr>
            <w:tcW w:w="3024" w:type="dxa"/>
          </w:tcPr>
          <w:p>
            <w:r>
              <w:t xml:space="preserve">Ortam sıcaklığı</w:t>
            </w:r>
          </w:p>
        </w:tc>
        <w:tc>
          <w:tcPr>
            <w:tcW w:w="3024" w:type="dxa"/>
          </w:tcPr>
          <w:p>
            <w:r>
              <w:t xml:space="preserve">Yılda iki kez</w:t>
            </w:r>
          </w:p>
        </w:tc>
      </w:tr>
      <w:tr>
        <w:tc>
          <w:tcPr>
            <w:tcW w:w="3024" w:type="dxa"/>
          </w:tcPr>
          <w:p>
            <w:r>
              <w:t xml:space="preserve">Soğutulmuş ürün deposu</w:t>
            </w:r>
          </w:p>
        </w:tc>
        <w:tc>
          <w:tcPr>
            <w:tcW w:w="3024" w:type="dxa"/>
          </w:tcPr>
          <w:p>
            <w:r>
              <w:t xml:space="preserve">+2 °C ile +8 °C</w:t>
            </w:r>
          </w:p>
        </w:tc>
        <w:tc>
          <w:tcPr>
            <w:tcW w:w="3024" w:type="dxa"/>
          </w:tcPr>
          <w:p>
            <w:r>
              <w:t xml:space="preserve">Ayda bir</w:t>
            </w:r>
          </w:p>
        </w:tc>
      </w:tr>
      <w:tr>
        <w:tc>
          <w:tcPr>
            <w:tcW w:w="3024" w:type="dxa"/>
          </w:tcPr>
          <w:p>
            <w:r>
              <w:t xml:space="preserve">Donuk ürün deposu</w:t>
            </w:r>
          </w:p>
        </w:tc>
        <w:tc>
          <w:tcPr>
            <w:tcW w:w="3024" w:type="dxa"/>
          </w:tcPr>
          <w:p>
            <w:r>
              <w:t xml:space="preserve">−18 °C ve altı</w:t>
            </w:r>
          </w:p>
        </w:tc>
        <w:tc>
          <w:tcPr>
            <w:tcW w:w="3024" w:type="dxa"/>
          </w:tcPr>
          <w:p>
            <w:r>
              <w:t xml:space="preserve">Ayda bir</w:t>
            </w:r>
          </w:p>
        </w:tc>
      </w:tr>
      <w:tr>
        <w:tc>
          <w:tcPr>
            <w:tcW w:w="3024" w:type="dxa"/>
          </w:tcPr>
          <w:p>
            <w:r>
              <w:t xml:space="preserve">Kafes alanı</w:t>
            </w:r>
          </w:p>
        </w:tc>
        <w:tc>
          <w:tcPr>
            <w:tcW w:w="3024" w:type="dxa"/>
          </w:tcPr>
          <w:p>
            <w:r>
              <w:t xml:space="preserve">Ortam sıcaklığı</w:t>
            </w:r>
          </w:p>
        </w:tc>
        <w:tc>
          <w:tcPr>
            <w:tcW w:w="3024" w:type="dxa"/>
          </w:tcPr>
          <w:p>
            <w:r>
              <w:t xml:space="preserve">Haftada bir</w:t>
            </w:r>
          </w:p>
        </w:tc>
      </w:tr>
      <w:tr>
        <w:tc>
          <w:tcPr>
            <w:tcW w:w="3024" w:type="dxa"/>
          </w:tcPr>
          <w:p>
            <w:r>
              <w:t xml:space="preserve">Tehlikeli madde bölmesi</w:t>
            </w:r>
          </w:p>
        </w:tc>
        <w:tc>
          <w:tcPr>
            <w:tcW w:w="3024" w:type="dxa"/>
          </w:tcPr>
          <w:p>
            <w:r>
              <w:t xml:space="preserve">En fazla +25 °C</w:t>
            </w:r>
          </w:p>
        </w:tc>
        <w:tc>
          <w:tcPr>
            <w:tcW w:w="3024" w:type="dxa"/>
          </w:tcPr>
          <w:p>
            <w:r>
              <w:t xml:space="preserve">Üç ayda bir</w:t>
            </w:r>
          </w:p>
        </w:tc>
      </w:tr>
    </w:tbl>
    <w:p>
      <w:pPr>
        <w:pStyle w:val="Heading2"/>
      </w:pPr>
      <w:r>
        <w:t xml:space="preserve">Bölüm 3: Sipariş Hazırlama</w:t>
      </w:r>
    </w:p>
    <w:p>
      <w:r>
        <w:t xml:space="preserve">Sipariş hazırlama, siparişin DYS'ye düşmesiyle başlar; paketlenmiş ve etiketlenmiş kolilerin sevkiyat alanına bırakılmasıyla biter.</w:t>
      </w:r>
    </w:p>
    <w:p>
      <w:pPr>
        <w:pStyle w:val="Heading3"/>
      </w:pPr>
      <w:r>
        <w:t xml:space="preserve">3.1 Sipariş Kesim Saatleri</w:t>
      </w:r>
    </w:p>
    <w:p>
      <w:r>
        <w:t xml:space="preserve">Hafta içi saat 14:00'e kadar DYS'ye düşen siparişler aynı gün sevk edilir. Bu saatten sonra gelen siparişler ertesi iş günü sevk edilir; cumartesi günleri kesim saati 11:00'dir. "Acil" olarak işaretlenen siparişler kesim saatinden sonra da aynı gün hazırlanabilir; ancak bunun için müşteri temsilcisinin talebi ve vardiya amirinin onayı gerekir ve müşteriye sipariş başına 350 TL ek hizmet bedeli yansıtılır. Kampanya dönemlerinde kesim saatleri Operasyon Direktörlüğü'nün duyurusuyla geçici olarak değiştirilebilir.</w:t>
      </w:r>
    </w:p>
    <w:p>
      <w:pPr>
        <w:pStyle w:val="Heading3"/>
      </w:pPr>
      <w:r>
        <w:t xml:space="preserve">3.2 Toplama</w:t>
      </w:r>
    </w:p>
    <w:p>
      <w:r>
        <w:t xml:space="preserve">Toplama görevleri DYS tarafından oluşturulur ve el terminallerine gönderilir. Tek kalemli küçük siparişler toplu toplama yöntemiyle, yani birden fazla siparişin aynı turda toplanmasıyla hazırlanır; bir toplama turuna en fazla yirmi sipariş atanır. Çok kalemli ve hacimli siparişler tek tek toplanır. Toplayıcı her kalemde önce adres etiketini, sonra ürün barkodunu okutur ve terminalin istediği adedi alır; barkodu okunmayan ürün elle girilmez, ürün yerinde bırakılarak vardiya amirine bildirilir. Adreste yeterli ürün yoksa toplayıcı terminalde "eksik" seçeneğini işaretler; DYS aynı ürünün başka bir adresi varsa görevi oraya yönlendirir, yoksa siparişi "eksik bekliyor" durumuna alır ve stok kontrol görevlisine sayım görevi açar. Eksik bekleyen siparişler kesim saatine bir saat kala hâlâ tamamlanamamışsa müşteri temsilcisine bildirilir; müşteri eksik sevke onay verirse sipariş eksik kalemler çıkarılarak kapatılır. Kırılabilir ürünler toplama arabasının üst sepetine, ağır ürünler alt sepetine konur; kimyasal ürünler gıda ürünleriyle aynı sepette taşınmaz. Toplama doğruluğu hedefi yüzde 99,7'dir ve her toplayıcının doğruluk oranı haftalık olarak izlenir. Hedefin altında kalan toplayıcı, vardiya amirinin gözetiminde iki vardiya boyunca yeniden eğitilir; bu süre içinde toplu toplama turlarına atanmaz. Toplama sırasında fark edilen hasarlı ya da tarihi geçmiş ürün toplanmaz, adreste bırakılarak hasar kaydı açılır.</w:t>
      </w:r>
    </w:p>
    <w:p>
      <w:pPr>
        <w:pStyle w:val="Heading3"/>
      </w:pPr>
      <w:r>
        <w:t xml:space="preserve">3.3 Paketleme ve Etiketleme</w:t>
      </w:r>
    </w:p>
    <w:p>
      <w:r>
        <w:t xml:space="preserve">Toplanan ürünler paketleme istasyonunda sipariş bazında bir kez daha okutulur; bu ikinci okutma, yanlış ürün gönderimini önleyen son kontroldür. Koli, ürünün içinde hareket etmeyeceği en küçük boyda seçilir ve boşluklar kâğıt dolgu malzemesiyle doldurulur; plastik dolgu malzemesi yalnızca sıvı ürünlerde kullanılır. Bir kolinin ağırlığı 25 kilogramı geçemez; daha ağır siparişler birden fazla koliye bölünür.</w:t>
      </w:r>
    </w:p>
    <w:p>
      <w:r>
        <w:t xml:space="preserve">Her koliye kargo etiketi ve içinde irsaliye bulunduğunu gösteren "Belge içeridedir" etiketi yapıştırılır. Kırılabilir ürün içeren kolilere ayrıca "Kırılır" etiketi, sıvı içerenlere ok işaretli "Bu yüzü yukarı" etiketi eklenir. Paketlenen koli tartılır; tartılan ağırlık ile DYS'nin hesapladığı ağırlık arasındaki fark yüzde beşi aşarsa koli açılarak yeniden kontrol edilir.</w:t>
      </w:r>
    </w:p>
    <w:p>
      <w:r>
        <w:t xml:space="preserve">Palet halinde sevk edilen siparişlerde palet yüksekliği, palet dahil 160 santimetreyi geçemez ve palet en az dört kat streç filmle sarılır. Müşterinin özel etiketleme ya da paletleme talimatı varsa ürün kartındaki talimat esas alınır.</w:t>
      </w:r>
    </w:p>
    <w:p>
      <w:pPr>
        <w:pStyle w:val="Heading2"/>
      </w:pPr>
      <w:r>
        <w:t xml:space="preserve">Bölüm 4: Sevkiyat</w:t>
      </w:r>
    </w:p>
    <w:p>
      <w:r>
        <w:t xml:space="preserve">Sevkiyat, hazırlanan siparişlerin araca yüklenip alıcıya teslim edilmesini ve teslimin belgelenmesini kapsar.</w:t>
      </w:r>
    </w:p>
    <w:p>
      <w:pPr>
        <w:pStyle w:val="Heading3"/>
      </w:pPr>
      <w:r>
        <w:t xml:space="preserve">4.1 Sevkiyat Planlama</w:t>
      </w:r>
    </w:p>
    <w:p>
      <w:r>
        <w:t xml:space="preserve">Sevkiyat planı, kesim saatinden sonra planlama sorumlusu tarafından hazırlanır ve en geç saat 16:00'da vardiya amirine teslim edilir. Planda her araç için güzergâh, teslimat sırası, toplam ağırlık ve hacim yer alır. Araçlar teslimat sırasının tersine yüklenir: en son teslim edilecek sipariş araca ilk yüklenir. Bir aracın doluluk oranı hacim olarak yüzde seksen beşin altında kalıyorsa planlama sorumlusu güzergâh birleştirme seçeneğini değerlendirir.</w:t>
      </w:r>
    </w:p>
    <w:p>
      <w:pPr>
        <w:pStyle w:val="Heading3"/>
      </w:pPr>
      <w:r>
        <w:t xml:space="preserve">4.2 Yükleme</w:t>
      </w:r>
    </w:p>
    <w:p>
      <w:r>
        <w:t xml:space="preserve">Yükleme öncesinde sürücü ile yükleme sorumlusu aracı birlikte kontrol eder: kasanın temiz ve kuru olması, kapı ve kilitlerin sağlam olması, soğutuculu araçlarda soğutma ünitesinin çalışması ve kasanın istenen sıcaklığa önceden getirilmiş olması gerekir. Soğutulmuş ürün yüklenecek kasa en az otuz dakika önceden soğutulur. Uygun olmayan araca yükleme yapılmaz ve durum Filo Yönetimi'ne bildirilir. Yüklenen her koli ya da palet, araca konulmadan önce el terminaliyle okutulur; DYS, plandaki bütün kalemler okutulmadan yüklemeyi kapatmaz. Ağır paletler kasanın ön tarafına ve zemine, hafif ve kırılabilir yükler üste yerleştirilir; yükler gergi kayışlarıyla sabitlenir. Gıda ürünleri ile kimyasal ürünler aynı araca ancak aralarında fiziksel bir ayırıcı varsa yüklenebilir; tehlikeli madde sınıfındaki ürünler yalnızca ADR belgeli sürücünün kullandığı, uygun donanımlı araçlarla taşınır. Yükleme tamamlandığında kasa mühürlenir ve mühür numarası sevk irsaliyesine yazılır; mührü yükleme sorumlusu takar, sürücü numarayı kontrol ederek irsaliyeyi imzalar. Yüklemesi biten araç en geç yirmi dakika içinde rampadan ayrılır. Yol üzerinde mührün kırılması gerekirse, örneğin bir yol kontrolünde, sürücü durumu planlama sorumlusuna telefonla bildirir, yeni mührün numarasını irsaliyeye yazar ve teslimatta alıcıya bilgi verir.</w:t>
      </w:r>
    </w:p>
    <w:p>
      <w:pPr>
        <w:pStyle w:val="Heading3"/>
      </w:pPr>
      <w:r>
        <w:t xml:space="preserve">4.3 Teslimat</w:t>
      </w:r>
    </w:p>
    <w:p>
      <w:r>
        <w:t xml:space="preserve">Sürücü teslimatı irsaliyedeki adrese ve alıcıya yapar; alıcının kimliğini ya da kaşesini kontrol eder ve teslim tesellüm belgesini imzalatır. İmzalı belgenin fotoğrafı, teslimattan sonra en geç bir saat içinde mobil uygulama üzerinden sisteme yüklenir. Alıcı kolilerde gözle görülür hasar tespit ederse hasar, teslim tesellüm belgesine not edilir; alıcının sonradan bildirdiği gizli hasarlar için Bölüm 5 uygulanır.</w:t>
      </w:r>
    </w:p>
    <w:p>
      <w:r>
        <w:t xml:space="preserve">Alıcı adreste bulunamazsa sürücü müşteri hizmetlerini arar ve en az on beş dakika bekler. Teslimat yine yapılamazsa ürün depoya geri getirilir ve ertesi iş günü ikinci kez teslim edilmeye çalışılır. İkinci denemede de teslim edilemeyen sipariş depoda en fazla yedi gün bekletilir; bu sürede müşteriden talimat gelmezse sipariş iade olarak işleme alınır. Üçüncü ve sonraki teslimat denemeleri ücretlidir.</w:t>
      </w:r>
    </w:p>
    <w:p>
      <w:r>
        <w:t xml:space="preserve">Teslimat süreleri bölgeye göre aşağıdaki tabloda gösterilmiştir.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Pr>
      <w:tblGrid>
        <w:gridCol w:w="3024"/>
        <w:gridCol w:w="3024"/>
        <w:gridCol w:w="3024"/>
      </w:tblGrid>
      <w:tr>
        <w:trPr>
          <w:tblHeader/>
        </w:trPr>
        <w:tc>
          <w:tcPr>
            <w:tcW w:w="3024" w:type="dxa"/>
          </w:tcPr>
          <w:p>
            <w:r>
              <w:rPr>
                <w:b/>
              </w:rPr>
              <w:t xml:space="preserve">Bölge</w:t>
            </w:r>
          </w:p>
        </w:tc>
        <w:tc>
          <w:tcPr>
            <w:tcW w:w="3024" w:type="dxa"/>
          </w:tcPr>
          <w:p>
            <w:r>
              <w:rPr>
                <w:b/>
              </w:rPr>
              <w:t xml:space="preserve">Standart teslimat</w:t>
            </w:r>
          </w:p>
        </w:tc>
        <w:tc>
          <w:tcPr>
            <w:tcW w:w="3024" w:type="dxa"/>
          </w:tcPr>
          <w:p>
            <w:r>
              <w:rPr>
                <w:b/>
              </w:rPr>
              <w:t xml:space="preserve">Hızlı teslimat</w:t>
            </w:r>
          </w:p>
        </w:tc>
      </w:tr>
      <w:tr>
        <w:tc>
          <w:tcPr>
            <w:tcW w:w="3024" w:type="dxa"/>
          </w:tcPr>
          <w:p>
            <w:r>
              <w:t xml:space="preserve">Aynı il içi</w:t>
            </w:r>
          </w:p>
        </w:tc>
        <w:tc>
          <w:tcPr>
            <w:tcW w:w="3024" w:type="dxa"/>
          </w:tcPr>
          <w:p>
            <w:r>
              <w:t xml:space="preserve">1 iş günü</w:t>
            </w:r>
          </w:p>
        </w:tc>
        <w:tc>
          <w:tcPr>
            <w:tcW w:w="3024" w:type="dxa"/>
          </w:tcPr>
          <w:p>
            <w:r>
              <w:t xml:space="preserve">Aynı gün</w:t>
            </w:r>
          </w:p>
        </w:tc>
      </w:tr>
      <w:tr>
        <w:tc>
          <w:tcPr>
            <w:tcW w:w="3024" w:type="dxa"/>
          </w:tcPr>
          <w:p>
            <w:r>
              <w:t xml:space="preserve">Komşu iller</w:t>
            </w:r>
          </w:p>
        </w:tc>
        <w:tc>
          <w:tcPr>
            <w:tcW w:w="3024" w:type="dxa"/>
          </w:tcPr>
          <w:p>
            <w:r>
              <w:t xml:space="preserve">2 iş günü</w:t>
            </w:r>
          </w:p>
        </w:tc>
        <w:tc>
          <w:tcPr>
            <w:tcW w:w="3024" w:type="dxa"/>
          </w:tcPr>
          <w:p>
            <w:r>
              <w:t xml:space="preserve">1 iş günü</w:t>
            </w:r>
          </w:p>
        </w:tc>
      </w:tr>
      <w:tr>
        <w:tc>
          <w:tcPr>
            <w:tcW w:w="3024" w:type="dxa"/>
          </w:tcPr>
          <w:p>
            <w:r>
              <w:t xml:space="preserve">Diğer iller</w:t>
            </w:r>
          </w:p>
        </w:tc>
        <w:tc>
          <w:tcPr>
            <w:tcW w:w="3024" w:type="dxa"/>
          </w:tcPr>
          <w:p>
            <w:r>
              <w:t xml:space="preserve">3 iş günü</w:t>
            </w:r>
          </w:p>
        </w:tc>
        <w:tc>
          <w:tcPr>
            <w:tcW w:w="3024" w:type="dxa"/>
          </w:tcPr>
          <w:p>
            <w:r>
              <w:t xml:space="preserve">2 iş günü</w:t>
            </w:r>
          </w:p>
        </w:tc>
      </w:tr>
      <w:tr>
        <w:tc>
          <w:tcPr>
            <w:tcW w:w="3024" w:type="dxa"/>
          </w:tcPr>
          <w:p>
            <w:r>
              <w:t xml:space="preserve">Köy ve mobil dağıtım bölgeleri</w:t>
            </w:r>
          </w:p>
        </w:tc>
        <w:tc>
          <w:tcPr>
            <w:tcW w:w="3024" w:type="dxa"/>
          </w:tcPr>
          <w:p>
            <w:r>
              <w:t xml:space="preserve">5 iş günü</w:t>
            </w:r>
          </w:p>
        </w:tc>
        <w:tc>
          <w:tcPr>
            <w:tcW w:w="3024" w:type="dxa"/>
          </w:tcPr>
          <w:p>
            <w:r>
              <w:t xml:space="preserve">Yok</w:t>
            </w:r>
          </w:p>
        </w:tc>
      </w:tr>
    </w:tbl>
    <w:p>
      <w:r>
        <w:t xml:space="preserve">Tablodaki süreler siparişin sevk edildiği günü izleyen iş gününden başlar. Hızlı teslimat yalnızca kesim saatinden önce verilen ve toplam ağırlığı 30 kilogramı geçmeyen siparişlerde seçilebilir.</w:t>
      </w:r>
    </w:p>
    <w:p>
      <w:pPr>
        <w:pStyle w:val="Heading2"/>
      </w:pPr>
      <w:r>
        <w:t xml:space="preserve">Bölüm 5: İadeler ve Hasar Yönetimi</w:t>
      </w:r>
    </w:p>
    <w:p>
      <w:r>
        <w:t xml:space="preserve">İadeler ve hasarlı ürünler normal stoktan ayrı tutulur. Bu bölüm, geri gelen ürünün nasıl sınıflandırılacağını ve hasarın nasıl kayda geçirileceğini anlatır.</w:t>
      </w:r>
    </w:p>
    <w:p>
      <w:pPr>
        <w:pStyle w:val="Heading3"/>
      </w:pPr>
      <w:r>
        <w:t xml:space="preserve">5.1 İade Kabul</w:t>
      </w:r>
    </w:p>
    <w:p>
      <w:r>
        <w:t xml:space="preserve">Depoya gelen her iade, iade kabul alanında ayrı olarak işlem görür ve normal stokla karıştırılmaz. İade kolisi, depoya ulaştığı günü izleyen iki iş günü içinde açılır ve içeriği iade formuyla karşılaştırılır. Ürünler üç sınıftan birine ayrılır: A sınıfı (ambalajı açılmamış, yeniden satılabilir), B sınıfı (ambalajı açılmış ama ürün sağlam; müşterinin onayıyla ikinci kalite olarak satılabilir) ve C sınıfı (hasarlı ya da eksik; satılamaz).</w:t>
      </w:r>
    </w:p>
    <w:p>
      <w:r>
        <w:t xml:space="preserve">A sınıfı ürünler yeniden etiketlenerek stoka alınır. B ve C sınıfı ürünler karantina alanında bekletilir ve müşteriye haftalık iade raporuyla bildirilir. İade nedeninin "yanlış ürün gönderimi" olduğu durumlarda kayıt ayrıca toplama hatası olarak işlenir ve ilgili vardiyanın doğruluk oranına yansır.</w:t>
      </w:r>
    </w:p>
    <w:p>
      <w:pPr>
        <w:pStyle w:val="Heading3"/>
      </w:pPr>
      <w:r>
        <w:t xml:space="preserve">5.2 Hasar Tespiti ve Bildirimi</w:t>
      </w:r>
    </w:p>
    <w:p>
      <w:r>
        <w:t xml:space="preserve">Depo içinde düşme, forklift çarpması ya da ıslanma gibi nedenlerle oluşan hasarlar fark edildiği anda vardiya amirine bildirilir ve aynı vardiya içinde hasar tutanağı düzenlenir. Tutanakta ürünün kodu, adedi, hasarın nasıl oluştuğu, varsa tanıklar ve en az üç fotoğraf yer alır. Hasarlı ürün karantina alanına alınır; hasarın nedeni raf, palet ya da ekipman kaynaklıysa ilgili ekipman da kullanım dışı bırakılır. Taşıma sırasında oluşan ve teslimatta fark edilen hasarlar teslim tesellüm belgesine yazılır. Alıcının teslimattan sonra fark ettiği gizli hasarlar ise teslim tarihini izleyen üç gün içinde müşteri hizmetlerine bildirilmelidir; bu süreden sonra yapılan bildirimler değerlendirmeye alınmaz. Her hasar kaydı DYS'de bir hasar koduna bağlanır ve kusurun kimde olduğu belirlenir: depo, taşıyıcı, tedarikçi ya da belirlenemeyen. Kusurun depoda olduğu hasarların bedeli şirketçe karşılanır; müşteriye ödenecek tutar ürünün fatura bedeli ile sınırlıdır ve dolaylı zararları kapsamaz. Tek bir olayda hasar tutarı 20.000 TL'yi aşarsa olay sigorta şirketine en geç beş iş günü içinde bildirilir ve hasarlı ürünler eksper incelemesi tamamlanana kadar imha edilmez. Aylık hasar oranı sevk edilen koli sayısının binde ikisini aşan depo için Operasyon Direktörlüğü kök neden analizi ister.</w:t>
      </w:r>
    </w:p>
    <w:p>
      <w:pPr>
        <w:pStyle w:val="Heading3"/>
      </w:pPr>
      <w:r>
        <w:t xml:space="preserve">5.3 İmha</w:t>
      </w:r>
    </w:p>
    <w:p>
      <w:r>
        <w:t xml:space="preserve">Satılamayan ve iade edilemeyen ürünler ancak müşterinin yazılı imha talimatıyla imha edilir. İmha, lisanslı atık firması aracılığıyla yapılır; imha sırasında depo müdürü ya da görevlendirdiği kişi ile, isterse müşterinin bir temsilcisi hazır bulunur. İmha tutanağı ve atık firmasının verdiği belge beş yıl süreyle saklanır. Gıda ürünlerinin imhasında ambalaj ile içerik ayrıştırılır; ambalaj geri dönüşüme gönderilir.</w:t>
      </w:r>
    </w:p>
    <w:p>
      <w:pPr>
        <w:pStyle w:val="Heading2"/>
      </w:pPr>
      <w:r>
        <w:t xml:space="preserve">Bölüm 6: Stok Sayımı ve Kayıt Doğruluğu</w:t>
      </w:r>
    </w:p>
    <w:p>
      <w:r>
        <w:t xml:space="preserve">DYS'deki kayıt ile raftaki ürün birbirini tutmuyorsa satış, toplama ve sevkiyat kararlarının hepsi yanlış veriye dayanır. Sayımın amacı farkı bulmak kadar, farkın neden oluştuğunu da anlamaktır.</w:t>
      </w:r>
    </w:p>
    <w:p>
      <w:pPr>
        <w:pStyle w:val="Heading3"/>
      </w:pPr>
      <w:r>
        <w:t xml:space="preserve">6.1 Sayım Türleri</w:t>
      </w:r>
    </w:p>
    <w:p>
      <w:r>
        <w:t xml:space="preserve">Depolarda üç tür sayım yapılır. Tam sayım, deponun bütün adreslerinin sayıldığı ve yılda iki kez, haziran ve aralık aylarının son hafta sonunda yapılan sayımdır; tam sayım sırasında mal kabul ve sevkiyat durdurulur. Döngüsel sayım, her gün belirli sayıda adresin sayıldığı sürekli sayımdır: DYS her vardiya için en az kırk adreslik bir sayım listesi üretir ve hızlı dönen ürünlerin adresleri ayda en az bir kez sayılacak biçimde planlanır. Tetiklenen sayım ise toplama sırasında "eksik" işaretlenen ya da hasar kaydı açılan adresler için kendiliğinden açılır ve aynı vardiya içinde tamamlanır.</w:t>
      </w:r>
    </w:p>
    <w:p>
      <w:r>
        <w:t xml:space="preserve">Sayımı, o adreste son işlemi yapan kişiden farklı bir çalışan yapar. Sayım "kör" yöntemle yürütülür: sayan kişi DYS'deki miktarı görmez, yalnızca saydığı miktarı girer.</w:t>
      </w:r>
    </w:p>
    <w:p>
      <w:pPr>
        <w:pStyle w:val="Heading3"/>
      </w:pPr>
      <w:r>
        <w:t xml:space="preserve">6.2 Sayım Farkları</w:t>
      </w:r>
    </w:p>
    <w:p>
      <w:r>
        <w:t xml:space="preserve">Sayılan miktar ile DYS'deki miktar arasında fark çıkarsa adres ikinci kez, başka bir çalışan tarafından sayılır. İkinci sayım da farkı doğrularsa stok kontrol görevlisi farkın nedenini araştırır: yanlış adrese yerleştirme, okutulmadan yapılan hareket ya da yanlış birimle kabul gibi. Araştırma en geç üç iş günü içinde tamamlanır.</w:t>
      </w:r>
    </w:p>
    <w:p>
      <w:r>
        <w:t xml:space="preserve">Stok düzeltme kayıtları yetki sınırlarına bağlıdır; tek bir üründeki farkın tutarına göre onaylayacak kişi aşağıdaki tabloda gösterilmiştir. Onaylanmadan DYS'de düzeltme kaydı atılamaz.</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Pr>
      <w:tblGrid>
        <w:gridCol w:w="4536"/>
        <w:gridCol w:w="4536"/>
      </w:tblGrid>
      <w:tr>
        <w:trPr>
          <w:tblHeader/>
        </w:trPr>
        <w:tc>
          <w:tcPr>
            <w:tcW w:w="4536" w:type="dxa"/>
          </w:tcPr>
          <w:p>
            <w:r>
              <w:rPr>
                <w:b/>
              </w:rPr>
              <w:t xml:space="preserve">Farkın tutarı</w:t>
            </w:r>
          </w:p>
        </w:tc>
        <w:tc>
          <w:tcPr>
            <w:tcW w:w="4536" w:type="dxa"/>
          </w:tcPr>
          <w:p>
            <w:r>
              <w:rPr>
                <w:b/>
              </w:rPr>
              <w:t xml:space="preserve">Onaylayan</w:t>
            </w:r>
          </w:p>
        </w:tc>
      </w:tr>
      <w:tr>
        <w:tc>
          <w:tcPr>
            <w:tcW w:w="4536" w:type="dxa"/>
          </w:tcPr>
          <w:p>
            <w:r>
              <w:t xml:space="preserve">2.500 TL'ye kadar</w:t>
            </w:r>
          </w:p>
        </w:tc>
        <w:tc>
          <w:tcPr>
            <w:tcW w:w="4536" w:type="dxa"/>
          </w:tcPr>
          <w:p>
            <w:r>
              <w:t xml:space="preserve">Stok kontrol görevlisi</w:t>
            </w:r>
          </w:p>
        </w:tc>
      </w:tr>
      <w:tr>
        <w:tc>
          <w:tcPr>
            <w:tcW w:w="4536" w:type="dxa"/>
          </w:tcPr>
          <w:p>
            <w:r>
              <w:t xml:space="preserve">2.500 TL – 25.000 TL</w:t>
            </w:r>
          </w:p>
        </w:tc>
        <w:tc>
          <w:tcPr>
            <w:tcW w:w="4536" w:type="dxa"/>
          </w:tcPr>
          <w:p>
            <w:r>
              <w:t xml:space="preserve">Depo müdürü</w:t>
            </w:r>
          </w:p>
        </w:tc>
      </w:tr>
      <w:tr>
        <w:tc>
          <w:tcPr>
            <w:tcW w:w="4536" w:type="dxa"/>
          </w:tcPr>
          <w:p>
            <w:r>
              <w:t xml:space="preserve">25.000 TL üzeri</w:t>
            </w:r>
          </w:p>
        </w:tc>
        <w:tc>
          <w:tcPr>
            <w:tcW w:w="4536" w:type="dxa"/>
          </w:tcPr>
          <w:p>
            <w:r>
              <w:t xml:space="preserve">Operasyon Direktörü</w:t>
            </w:r>
          </w:p>
        </w:tc>
      </w:tr>
    </w:tbl>
    <w:p>
      <w:r>
        <w:t xml:space="preserve">Müşteriye ait stokta çıkan ve nedeni açıklanamayan eksikler, ay sonunda müşteriye sayım farkı raporuyla bildirilir; sözleşmedeki fire oranını aşan eksiklerin bedeli şirketçe karşılanır.</w:t>
      </w:r>
    </w:p>
    <w:p>
      <w:pPr>
        <w:pStyle w:val="Heading3"/>
      </w:pPr>
      <w:r>
        <w:t xml:space="preserve">6.3 Kayıt Doğruluğu</w:t>
      </w:r>
    </w:p>
    <w:p>
      <w:r>
        <w:t xml:space="preserve">Kayıt doğruluğu, sayılan adreslerden miktarı DYS ile birebir tutan adreslerin oranıdır ve hedef yüzde 99,5'tir. Oran iki ay üst üste yüzde 99'un altında kalan depoda döngüsel sayım listesi iki katına çıkarılır ve Süreç Geliştirme Uzm. depoda bir haftalık gözlem yapar.</w:t>
      </w:r>
    </w:p>
    <w:p>
      <w:pPr>
        <w:pStyle w:val="Heading2"/>
      </w:pPr>
      <w:r>
        <w:t xml:space="preserve">Bölüm 7: Müşteri Hizmetleri ve Şikâyet Yönetimi</w:t>
      </w:r>
    </w:p>
    <w:p>
      <w:r>
        <w:t xml:space="preserve">Müşteri hizmetleri, depoların dışarıya bakan yüzüdür. Bu bölüm başvuruların nasıl kayda alınacağını, hangi sürede yanıtlanacağını ve şirketin kusuru olduğunda neyin ödeneceğini belirler.</w:t>
      </w:r>
    </w:p>
    <w:p>
      <w:pPr>
        <w:pStyle w:val="Heading3"/>
      </w:pPr>
      <w:r>
        <w:t xml:space="preserve">7.1 Başvuru Kanalları</w:t>
      </w:r>
    </w:p>
    <w:p>
      <w:r>
        <w:t xml:space="preserve">Müşteriler ve alıcılar çağrı merkezi, e-posta ve müşteri portalı üzerinden başvurabilir. Çağrı merkezi hafta içi 08:30 ile 18:30, cumartesi 09:00 ile 14:00 arasında hizmet verir. Hangi kanaldan gelirse gelsin her başvuru, müşteri ilişkileri sisteminde bir kayıt numarasıyla açılır ve başvuru sahibine bu numara bildirilir. Telefonla gelen çağrıların yüzde sekseninin yirmi saniye içinde yanıtlanması hedeflenir.</w:t>
      </w:r>
    </w:p>
    <w:p>
      <w:pPr>
        <w:pStyle w:val="Heading3"/>
      </w:pPr>
      <w:r>
        <w:t xml:space="preserve">7.2 Yanıt ve Çözüm Süreleri</w:t>
      </w:r>
    </w:p>
    <w:p>
      <w:r>
        <w:t xml:space="preserve">Başvurular aciliyetine göre üç önceliğe ayrılır. Birinci öncelik, soğuk zincir ürünlerine ya da ilaç ve tıbbi malzemeye ilişkin teslimat sorunları ile bir müşterinin bütün sevkiyatını durduran arızalardır; bu başvurulara otuz dakika içinde ilk yanıt verilir ve çözüm için hedef dört saattir. İkinci öncelik; geciken teslimat, eksik ya da yanlış ürün ve hasar bildirimleridir; ilk yanıt iki saat içinde verilir, çözüm hedefi bir iş günüdür. Üçüncü öncelik bilgi talepleri, fatura soruları ve genel önerilerdir; bunlara bir iş günü içinde yanıt verilir ve üç iş günü içinde çözüm hedeflenir. Süreler başvurunun kayda alındığı andan başlar ve yalnızca çağrı merkezinin çalışma saatleri içinde işler. Hedef süresi içinde çözülemeyen başvuru kendiliğinden bir üst kademeye aktarılır: önce müşteri hizmetleri takım liderine, hedef sürenin iki katı aşıldığında Müşteri Hizmetleri Md.'ye. Çözülen her başvuruda başvuru sahibine sonuç yazılı olarak bildirilir; başvuru sahibi iki iş günü içinde itiraz etmezse kayıt kapatılır. Aynı sorun için otuz gün içinde ikinci kez açılan başvuru "tekrarlayan" olarak işaretlenir ve doğrudan takım liderine atanır. Başvuru sahibine hakaret içeren ya da kişisel veri paylaşan yanıt verilmesi disiplin soruşturmasına konu olur; görüşme kayıtları kalite değerlendirmesi için doksan gün saklanır.</w:t>
      </w:r>
    </w:p>
    <w:p>
      <w:pPr>
        <w:pStyle w:val="Heading3"/>
      </w:pPr>
      <w:r>
        <w:t xml:space="preserve">7.3 Tazminat</w:t>
      </w:r>
    </w:p>
    <w:p>
      <w:r>
        <w:t xml:space="preserve">Şirketin kusurundan kaynaklanan gecikmelerde müşteriye, geciken siparişin taşıma bedeli iade edilir; gecikme üç iş gününü aşarsa ayrıca taşıma bedelinin yarısı tutarında indirim çeki verilir. Kayıp ve hasarda ödenecek tutar ürünün fatura bedeliyle sınırlıdır. Tazminat talepleri, olayı izleyen on dört gün içinde yapılmalıdır. Tutarı 5.000 TL'ye kadar olan tazminatları Müşteri Hizmetleri Md., daha yüksek tutarları Operasyon Direktörü onaylar; onaylanan tazminat en geç on iş günü içinde ödenir.</w:t>
      </w:r>
    </w:p>
    <w:p>
      <w:pPr>
        <w:pStyle w:val="Heading2"/>
      </w:pPr>
      <w:r>
        <w:t xml:space="preserve">Bölüm 8: Performans Göstergeleri ve Raporlama</w:t>
      </w:r>
    </w:p>
    <w:p>
      <w:r>
        <w:t xml:space="preserve">Ölçülmeyen iş iyileştirilemez. Depoların performansı az sayıda, herkesin anladığı göstergeyle izlenir.</w:t>
      </w:r>
    </w:p>
    <w:p>
      <w:pPr>
        <w:pStyle w:val="Heading3"/>
      </w:pPr>
      <w:r>
        <w:t xml:space="preserve">8.1 Göstergeler</w:t>
      </w:r>
    </w:p>
    <w:p>
      <w:r>
        <w:t xml:space="preserve">Göstergeler ve hedefleri aşağıdaki tabloda gösterilmiştir. Hedefler yılda bir kez, bütçe döneminde gözden geçirilir.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Pr>
      <w:tblGrid>
        <w:gridCol w:w="3024"/>
        <w:gridCol w:w="3024"/>
        <w:gridCol w:w="3024"/>
      </w:tblGrid>
      <w:tr>
        <w:trPr>
          <w:tblHeader/>
        </w:trPr>
        <w:tc>
          <w:tcPr>
            <w:tcW w:w="3024" w:type="dxa"/>
          </w:tcPr>
          <w:p>
            <w:r>
              <w:rPr>
                <w:b/>
              </w:rPr>
              <w:t xml:space="preserve">Gösterge</w:t>
            </w:r>
          </w:p>
        </w:tc>
        <w:tc>
          <w:tcPr>
            <w:tcW w:w="3024" w:type="dxa"/>
          </w:tcPr>
          <w:p>
            <w:r>
              <w:rPr>
                <w:b/>
              </w:rPr>
              <w:t xml:space="preserve">Hedef</w:t>
            </w:r>
          </w:p>
        </w:tc>
        <w:tc>
          <w:tcPr>
            <w:tcW w:w="3024" w:type="dxa"/>
          </w:tcPr>
          <w:p>
            <w:r>
              <w:rPr>
                <w:b/>
              </w:rPr>
              <w:t xml:space="preserve">Ölçüm sıklığı</w:t>
            </w:r>
          </w:p>
        </w:tc>
      </w:tr>
      <w:tr>
        <w:tc>
          <w:tcPr>
            <w:tcW w:w="3024" w:type="dxa"/>
          </w:tcPr>
          <w:p>
            <w:r>
              <w:t xml:space="preserve">Zamanında sevkiyat oranı</w:t>
            </w:r>
          </w:p>
        </w:tc>
        <w:tc>
          <w:tcPr>
            <w:tcW w:w="3024" w:type="dxa"/>
          </w:tcPr>
          <w:p>
            <w:r>
              <w:t xml:space="preserve">% 98</w:t>
            </w:r>
          </w:p>
        </w:tc>
        <w:tc>
          <w:tcPr>
            <w:tcW w:w="3024" w:type="dxa"/>
          </w:tcPr>
          <w:p>
            <w:r>
              <w:t xml:space="preserve">Günlük</w:t>
            </w:r>
          </w:p>
        </w:tc>
      </w:tr>
      <w:tr>
        <w:tc>
          <w:tcPr>
            <w:tcW w:w="3024" w:type="dxa"/>
          </w:tcPr>
          <w:p>
            <w:r>
              <w:t xml:space="preserve">Toplama doğruluğu</w:t>
            </w:r>
          </w:p>
        </w:tc>
        <w:tc>
          <w:tcPr>
            <w:tcW w:w="3024" w:type="dxa"/>
          </w:tcPr>
          <w:p>
            <w:r>
              <w:t xml:space="preserve">% 99,7</w:t>
            </w:r>
          </w:p>
        </w:tc>
        <w:tc>
          <w:tcPr>
            <w:tcW w:w="3024" w:type="dxa"/>
          </w:tcPr>
          <w:p>
            <w:r>
              <w:t xml:space="preserve">Haftalık</w:t>
            </w:r>
          </w:p>
        </w:tc>
      </w:tr>
      <w:tr>
        <w:tc>
          <w:tcPr>
            <w:tcW w:w="3024" w:type="dxa"/>
          </w:tcPr>
          <w:p>
            <w:r>
              <w:t xml:space="preserve">Kayıt doğruluğu</w:t>
            </w:r>
          </w:p>
        </w:tc>
        <w:tc>
          <w:tcPr>
            <w:tcW w:w="3024" w:type="dxa"/>
          </w:tcPr>
          <w:p>
            <w:r>
              <w:t xml:space="preserve">% 99,5</w:t>
            </w:r>
          </w:p>
        </w:tc>
        <w:tc>
          <w:tcPr>
            <w:tcW w:w="3024" w:type="dxa"/>
          </w:tcPr>
          <w:p>
            <w:r>
              <w:t xml:space="preserve">Aylık</w:t>
            </w:r>
          </w:p>
        </w:tc>
      </w:tr>
      <w:tr>
        <w:tc>
          <w:tcPr>
            <w:tcW w:w="3024" w:type="dxa"/>
          </w:tcPr>
          <w:p>
            <w:r>
              <w:t xml:space="preserve">Hasar oranı</w:t>
            </w:r>
          </w:p>
        </w:tc>
        <w:tc>
          <w:tcPr>
            <w:tcW w:w="3024" w:type="dxa"/>
          </w:tcPr>
          <w:p>
            <w:r>
              <w:t xml:space="preserve">En fazla binde 2</w:t>
            </w:r>
          </w:p>
        </w:tc>
        <w:tc>
          <w:tcPr>
            <w:tcW w:w="3024" w:type="dxa"/>
          </w:tcPr>
          <w:p>
            <w:r>
              <w:t xml:space="preserve">Aylık</w:t>
            </w:r>
          </w:p>
        </w:tc>
      </w:tr>
      <w:tr>
        <w:tc>
          <w:tcPr>
            <w:tcW w:w="3024" w:type="dxa"/>
          </w:tcPr>
          <w:p>
            <w:r>
              <w:t xml:space="preserve">Mal kabul kapatma süresi</w:t>
            </w:r>
          </w:p>
        </w:tc>
        <w:tc>
          <w:tcPr>
            <w:tcW w:w="3024" w:type="dxa"/>
          </w:tcPr>
          <w:p>
            <w:r>
              <w:t xml:space="preserve">En fazla 4 saat</w:t>
            </w:r>
          </w:p>
        </w:tc>
        <w:tc>
          <w:tcPr>
            <w:tcW w:w="3024" w:type="dxa"/>
          </w:tcPr>
          <w:p>
            <w:r>
              <w:t xml:space="preserve">Günlük</w:t>
            </w:r>
          </w:p>
        </w:tc>
      </w:tr>
      <w:tr>
        <w:tc>
          <w:tcPr>
            <w:tcW w:w="3024" w:type="dxa"/>
          </w:tcPr>
          <w:p>
            <w:r>
              <w:t xml:space="preserve">İlk çağrıda çözüm oranı</w:t>
            </w:r>
          </w:p>
        </w:tc>
        <w:tc>
          <w:tcPr>
            <w:tcW w:w="3024" w:type="dxa"/>
          </w:tcPr>
          <w:p>
            <w:r>
              <w:t xml:space="preserve">% 75</w:t>
            </w:r>
          </w:p>
        </w:tc>
        <w:tc>
          <w:tcPr>
            <w:tcW w:w="3024" w:type="dxa"/>
          </w:tcPr>
          <w:p>
            <w:r>
              <w:t xml:space="preserve">Aylık</w:t>
            </w:r>
          </w:p>
        </w:tc>
      </w:tr>
    </w:tbl>
    <w:p>
      <w:r>
        <w:t xml:space="preserve">Zamanında sevkiyat oranı, kesim saatinden önce gelen siparişlerden aynı gün sevk edilenlerin oranıdır. İlk çağrıda çözüm oranı, başvuru sahibinin aynı konu için yeniden aramasına gerek kalmadan kapatılan başvuruların oranıdır.</w:t>
      </w:r>
    </w:p>
    <w:p>
      <w:pPr>
        <w:pStyle w:val="Heading3"/>
      </w:pPr>
      <w:r>
        <w:t xml:space="preserve">8.2 Raporlar ve Toplantılar</w:t>
      </w:r>
    </w:p>
    <w:p>
      <w:r>
        <w:t xml:space="preserve">Vardiya amiri her vardiya sonunda vardiya raporunu DYS üzerinden doldurur: işlenen sipariş sayısı, açık kalan işler, hasar ve iş kazası kayıtları. Depo müdürü her pazartesi haftalık operasyon raporunu Operasyon Direktörlüğü'ne gönderir. Aylık performans toplantısı her ayın ilk perşembe günü yapılır; toplantıya depo müdürleri, Müşteri Hizmetleri Md. ve Süreç Geliştirme Uzm. katılır.</w:t>
      </w:r>
    </w:p>
    <w:p>
      <w:r>
        <w:t xml:space="preserve">Hedefin altında kalan her gösterge için ilgili depo müdürü toplantıdan önce bir düzeltici faaliyet planı hazırlar. Bir gösterge üç ay üst üste hedefin altında kalırsa konu Genel Müdür'e raporlanır.</w:t>
      </w:r>
    </w:p>
    <w:p>
      <w:pPr>
        <w:pStyle w:val="Heading3"/>
      </w:pPr>
      <w:r>
        <w:t xml:space="preserve">8.3 İç Denetim</w:t>
      </w:r>
    </w:p>
    <w:p>
      <w:r>
        <w:t xml:space="preserve">Her depo yılda en az bir kez, haber verilmeden iç denetime tabi tutulur. Denetimde bu el kitabındaki adımların uygulanıp uygulanmadığına rastgele seçilen en az elli işlem üzerinden bakılır. Denetim bulguları depo müdürüne on iş günü içinde yazılı olarak iletilir; depo müdürü bulgulara aynı süre içinde eylem planıyla yanıt verir. Soğuk zincir kırılması, kafes alanına yetkisiz giriş ve onaysız stok düzeltmesi gibi kritik bulgular Operasyon Direktörü'ne aynı gün bildirilir.</w:t>
      </w:r>
    </w:p>
    <w:p>
      <w:pPr>
        <w:pStyle w:val="Heading2"/>
      </w:pPr>
      <w:r>
        <w:t xml:space="preserve">Bölüm 9: Vardiya Düzeni ve Personel</w:t>
      </w:r>
    </w:p>
    <w:p>
      <w:r>
        <w:t xml:space="preserve">Depolar haftanın altı günü, bazı dönemlerde yedi günü çalışır. Bu bölüm vardiyaların nasıl kurulduğunu ve depoda kimin hangi işi yapabileceğini anlatır.</w:t>
      </w:r>
    </w:p>
    <w:p>
      <w:pPr>
        <w:pStyle w:val="Heading3"/>
      </w:pPr>
      <w:r>
        <w:t xml:space="preserve">9.1 Vardiyalar</w:t>
      </w:r>
    </w:p>
    <w:p>
      <w:r>
        <w:t xml:space="preserve">Merkez Depo üç vardiya çalışır: 06:00–14:00, 14:00–22:00 ve 22:00–06:00. Ankara ve İzmir depoları iki vardiya çalışır; gece vardiyası buralarda yalnızca kampanya dönemlerinde açılır. Her vardiyada otuz dakikalık bir yemek molası ile on beşer dakikalık iki dinlenme molası vardır. Vardiya değişiminde giden ve gelen vardiya amirleri en az on beş dakika birlikte bulunur ve açık işleri vardiya devir formu üzerinden devreder.</w:t>
      </w:r>
    </w:p>
    <w:p>
      <w:r>
        <w:t xml:space="preserve">Vardiya çizelgeleri İK Yönetmeliği'ndeki esaslara göre duyurulur. Bir çalışan art arda en fazla altı gün çalıştırılabilir ve iki vardiya arasında en az on bir saat dinlenme süresi bırakılır.</w:t>
      </w:r>
    </w:p>
    <w:p>
      <w:pPr>
        <w:pStyle w:val="Heading3"/>
      </w:pPr>
      <w:r>
        <w:t xml:space="preserve">9.2 Eğitim ve Yetkinlik</w:t>
      </w:r>
    </w:p>
    <w:p>
      <w:r>
        <w:t xml:space="preserve">İşe yeni başlayan depo personeli ilk beş iş gününü oryantasyon eğitiminde geçirir: ilk iki gün sınıf eğitimi, sonraki üç gün deneyimli bir çalışanın yanında uygulama. Oryantasyonu tamamlamayan personele el terminali kullanıcı kodu verilmez. Her çalışan yılda en az on altı saat mesleki eğitim alır. Soğuk depo, kafes alanı ve tehlikeli madde bölmesinde çalışacak personel, bu alanlara özel eğitimi tamamlayıp sınavdan en az yetmiş puan almış olmalıdır; bu eğitimler iki yılda bir yenilenir.</w:t>
      </w:r>
    </w:p>
    <w:p>
      <w:pPr>
        <w:pStyle w:val="Heading3"/>
      </w:pPr>
      <w:r>
        <w:t xml:space="preserve">9.3 Taşeron ve Geçici Personel</w:t>
      </w:r>
    </w:p>
    <w:p>
      <w:r>
        <w:t xml:space="preserve">Yoğun dönemlerde taşeron firmalardan geçici personel alınabilir. Geçici personel sayısı, bir vardiyadaki toplam personelin yüzde otuzunu geçemez. Geçici personel kafes alanında, tehlikeli madde bölmesinde ve stok düzeltme işlemlerinde görevlendirilmez; forklift kullanamaz. Geçici personelin her biri ilk gününde iki saatlik temel eğitim alır ve ilk hafta boyunca turuncu yelek giyer.</w:t>
      </w:r>
    </w:p>
    <w:p>
      <w:pPr>
        <w:pStyle w:val="Heading2"/>
      </w:pPr>
      <w:r>
        <w:t xml:space="preserve">Bölüm 10: Ekipman ve Bakım</w:t>
      </w:r>
    </w:p>
    <w:p>
      <w:r>
        <w:t xml:space="preserve">Depo işinin büyük bölümü ekipmanla yapılır; bozuk bir terminal ya da eğilmiş bir raf dikmesi hem işi durdurur hem kazaya yol açar.</w:t>
      </w:r>
    </w:p>
    <w:p>
      <w:pPr>
        <w:pStyle w:val="Heading3"/>
      </w:pPr>
      <w:r>
        <w:t xml:space="preserve">10.1 El Terminalleri</w:t>
      </w:r>
    </w:p>
    <w:p>
      <w:r>
        <w:t xml:space="preserve">El terminalleri vardiya başında zimmet defterine imza karşılığı teslim alınır ve vardiya sonunda şarj istasyonuna bırakılır. Terminalini düşüren ya da arıza fark eden çalışan cihazı kullanmaya devam etmez, vardiya amirine teslim eder. Kullanıcı kodu kişiye özeldir; başkasının koduyla işlem yapmak disiplin soruşturmasına konu olur. Depoda, günlük kullanılan terminal sayısının en az yüzde onu kadar yedek terminal bulundurulur.</w:t>
      </w:r>
    </w:p>
    <w:p>
      <w:pPr>
        <w:pStyle w:val="Heading3"/>
      </w:pPr>
      <w:r>
        <w:t xml:space="preserve">10.2 Raf ve Zemin Kontrolleri</w:t>
      </w:r>
    </w:p>
    <w:p>
      <w:r>
        <w:t xml:space="preserve">Raflar her ay depo sorumlusu tarafından gözle, yılda bir kez yetkili bir kuruluş tarafından ayrıntılı olarak kontrol edilir. Dikmesinde ezilme ya da eğilme görülen raf gözü derhal boşaltılır ve kırmızı bantla kapatılır. Yaya yolları, forklift yolları ve acil çıkış önlerindeki zemin işaretleri silindiğinde en geç bir hafta içinde yenilenir. Depo zemini her vardiya sonunda süpürülür, haftada bir kez makineyle yıkanır.</w:t>
      </w:r>
    </w:p>
    <w:p>
      <w:pPr>
        <w:pStyle w:val="Heading3"/>
      </w:pPr>
      <w:r>
        <w:t xml:space="preserve">10.3 Bakım Kayıtları</w:t>
      </w:r>
    </w:p>
    <w:p>
      <w:r>
        <w:t xml:space="preserve">Forklift, transpalet, konveyör ve rampa ekipmanlarının bakımı bakım planına göre yapılır; plan her yılın ocak ayında hazırlanır. Arıza kayıtları bakım yazılımına girilir ve arızalar önem derecesine göre sınıflandırılır: operasyonu durduran arızalara dört saat içinde, diğerlerine iki iş günü içinde müdahale edilir. Bakım ve onarım kayıtları ekipmanın kullanım ömrü boyunca saklanır. Forkliftlerin günlük kontrolü ve hız sınırları için Depo İş Güvenliği Talimatı'na bakılır.</w:t>
      </w:r>
    </w:p>
    <w:sectPr>
      <w:footerReference w:type="default" r:id="Rd42f58bc4b244c3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http://schemas.openxmlformats.org/wordprocessingml/2006/main">
  <w:p>
    <w:pPr>
      <w:jc w:val="center"/>
    </w:pPr>
    <w:r>
      <w:rPr>
        <w:sz w:val="16"/>
      </w:rPr>
      <w:t xml:space="preserve">DSK-04 | Rev. 03 | Yürürlük: 01.09.2026 | Sayfa </w:t>
    </w:r>
    <w:fldSimple w:instr=" PAGE ">
      <w:r>
        <w:rPr>
          <w:sz w:val="16"/>
        </w:rPr>
        <w:t>1</w:t>
      </w:r>
    </w:fldSimple>
    <w:r>
      <w:rPr>
        <w:sz w:val="16"/>
      </w:rPr>
      <w:t xml:space="preserve"> / </w:t>
    </w:r>
    <w:fldSimple w:instr=" NUMPAGES ">
      <w:r>
        <w:rPr>
          <w:sz w:val="16"/>
        </w:rPr>
        <w:t>1</w:t>
      </w:r>
    </w:fldSimple>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971"/>
    <w:rsid w:val="00A86D28"/>
    <w:rsid w:val="00CA2691"/>
    <w:rsid w:val="00DA2971"/>
    <w:rsid w:val="00F32CF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06596"/>
  <w15:chartTrackingRefBased/>
  <w15:docId w15:val="{E28E5DCB-77F7-4442-B13B-15C7E4299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29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29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A29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29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29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29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9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9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9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9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29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A29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29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29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29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9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9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971"/>
    <w:rPr>
      <w:rFonts w:eastAsiaTheme="majorEastAsia" w:cstheme="majorBidi"/>
      <w:color w:val="272727" w:themeColor="text1" w:themeTint="D8"/>
    </w:rPr>
  </w:style>
  <w:style w:type="paragraph" w:styleId="Title">
    <w:name w:val="Title"/>
    <w:basedOn w:val="Normal"/>
    <w:next w:val="Normal"/>
    <w:link w:val="TitleChar"/>
    <w:uiPriority w:val="10"/>
    <w:qFormat/>
    <w:rsid w:val="00DA29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9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9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9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971"/>
    <w:pPr>
      <w:spacing w:before="160"/>
      <w:jc w:val="center"/>
    </w:pPr>
    <w:rPr>
      <w:i/>
      <w:iCs/>
      <w:color w:val="404040" w:themeColor="text1" w:themeTint="BF"/>
    </w:rPr>
  </w:style>
  <w:style w:type="character" w:customStyle="1" w:styleId="QuoteChar">
    <w:name w:val="Quote Char"/>
    <w:basedOn w:val="DefaultParagraphFont"/>
    <w:link w:val="Quote"/>
    <w:uiPriority w:val="29"/>
    <w:rsid w:val="00DA2971"/>
    <w:rPr>
      <w:i/>
      <w:iCs/>
      <w:color w:val="404040" w:themeColor="text1" w:themeTint="BF"/>
    </w:rPr>
  </w:style>
  <w:style w:type="paragraph" w:styleId="ListParagraph">
    <w:name w:val="List Paragraph"/>
    <w:basedOn w:val="Normal"/>
    <w:uiPriority w:val="34"/>
    <w:qFormat/>
    <w:rsid w:val="00DA2971"/>
    <w:pPr>
      <w:ind w:left="720"/>
      <w:contextualSpacing/>
    </w:pPr>
  </w:style>
  <w:style w:type="character" w:styleId="IntenseEmphasis">
    <w:name w:val="Intense Emphasis"/>
    <w:basedOn w:val="DefaultParagraphFont"/>
    <w:uiPriority w:val="21"/>
    <w:qFormat/>
    <w:rsid w:val="00DA2971"/>
    <w:rPr>
      <w:i/>
      <w:iCs/>
      <w:color w:val="0F4761" w:themeColor="accent1" w:themeShade="BF"/>
    </w:rPr>
  </w:style>
  <w:style w:type="paragraph" w:styleId="IntenseQuote">
    <w:name w:val="Intense Quote"/>
    <w:basedOn w:val="Normal"/>
    <w:next w:val="Normal"/>
    <w:link w:val="IntenseQuoteChar"/>
    <w:uiPriority w:val="30"/>
    <w:qFormat/>
    <w:rsid w:val="00DA29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2971"/>
    <w:rPr>
      <w:i/>
      <w:iCs/>
      <w:color w:val="0F4761" w:themeColor="accent1" w:themeShade="BF"/>
    </w:rPr>
  </w:style>
  <w:style w:type="character" w:styleId="IntenseReference">
    <w:name w:val="Intense Reference"/>
    <w:basedOn w:val="DefaultParagraphFont"/>
    <w:uiPriority w:val="32"/>
    <w:qFormat/>
    <w:rsid w:val="00DA29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footer" Target="/word/footer1.xml" Id="Rd42f58bc4b244c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256</Words>
  <Characters>1461</Characters>
  <Application>Microsoft Office Word</Application>
  <DocSecurity>0</DocSecurity>
  <Lines>12</Lines>
  <Paragraphs>3</Paragraphs>
  <ScaleCrop>false</ScaleCrop>
  <Company/>
  <LinksUpToDate>false</LinksUpToDate>
  <CharactersWithSpaces>1714</CharactersWithSpaces>
  <SharedDoc>false</SharedDoc>
  <HyperlinksChanged>false</HyperlinksChanged>
  <AppVersion>16.0000</AppVersion>
</Properties>
</file>

<file path=docProps/core.xml><?xml version="1.0" encoding="utf-8"?>
<coreProperties xmlns:dc="http://purl.org/dc/elements/1.1/" xmlns:dcterms="http://purl.org/dc/terms/" xmlns:xsi="http://www.w3.org/2001/XMLSchema-instance" xmlns="http://schemas.openxmlformats.org/package/2006/metadata/core-properties">
  <dc:title>Uzaktan Çalışma Politikası</dc:title>
  <dc:subject/>
  <dc:creator/>
  <keywords/>
  <dc:description/>
  <lastModifiedBy/>
  <revision>1</revision>
  <dcterms:created xsi:type="dcterms:W3CDTF">2026-10-12T08:55:34Z</dcterms:created>
  <dcterms:modified xsi:type="dcterms:W3CDTF">2026-10-12T08:55:34Z</dcterms:modified>
</coreProperties>
</file>