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 xml:space="preserve">Depo İş Güvenliği Talimatı</w:t>
      </w:r>
    </w:p>
    <w:p>
      <w:r>
        <w:t xml:space="preserve">Bu talimat, Örnek Lojistik A.Ş. depolarında çalışan ya da depolara giren herkes için geçerlidir; ziyaretçiler ve yüklenici personeli de kapsama dahildir.</w:t>
      </w:r>
    </w:p>
    <w:p>
      <w:r>
        <w:t xml:space="preserve">Talimatın uygulanmasından İş Sağlığı ve Güvenliği Uzm. sorumludur.</w:t>
      </w:r>
    </w:p>
    <w:p>
      <w:pPr>
        <w:pStyle w:val="Heading2"/>
      </w:pPr>
      <w:r>
        <w:t xml:space="preserve">Bölüm 1: Kişisel Koruyucu Donanım</w:t>
      </w:r>
    </w:p>
    <w:p>
      <w:r>
        <w:t xml:space="preserve">Depo alanında çelik burunlu ayakkabı ve reflektörlü yelek zorunludur. Raf arası çalışmalarda baret, soğuk depoda termal mont ve eldiven kullanılır. Donanım şirket tarafından ücretsiz verilir; yıpranan donanım depo sorumlusuna teslim edilerek yenisiyle değiştirilir.</w:t>
      </w:r>
    </w:p>
    <w:p>
      <w:r>
        <w:t xml:space="preserve">Ziyaretçiler depo girişinde yelek ve baret alır ve depoda yalnızca bir çalışanın eşliğinde bulunabilir.</w:t>
      </w:r>
    </w:p>
    <w:p>
      <w:pPr>
        <w:pStyle w:val="Heading2"/>
      </w:pPr>
      <w:r>
        <w:t xml:space="preserve">Bölüm 2: Forklift Kullanımı</w:t>
      </w:r>
    </w:p>
    <w:p>
      <w:r>
        <w:t xml:space="preserve">Forklifti yalnızca operatör belgesi olan ve şirketin yıllık tazeleme eğitimini tamamlamış çalışanlar kullanabilir. Depo içinde forklift hızı 10 km/s'yi, kapı ve kavşaklarda 5 km/s'yi aşamaz. Forkliftte yolcu taşınmaz; çatallar yüklüyken yerden en fazla on beş santimetre yukarıda tutulur.</w:t>
      </w:r>
    </w:p>
    <w:p>
      <w:pPr>
        <w:pStyle w:val="Heading3"/>
      </w:pPr>
      <w:r>
        <w:t xml:space="preserve">2.1 Günlük Kontrol</w:t>
      </w:r>
    </w:p>
    <w:p>
      <w:r>
        <w:t xml:space="preserve">Operatör her vardiya başında frenleri, kornayı, çatalları ve akü şarjını kontrol eder ve forklift kontrol formunu doldurur. Arızalı forklift kullanılmaz; anahtarı depo sorumlusuna teslim edilir ve araca "Arızalı" etiketi asılır.</w:t>
      </w:r>
    </w:p>
    <w:p>
      <w:pPr>
        <w:pStyle w:val="Heading3"/>
      </w:pPr>
      <w:r>
        <w:t xml:space="preserve">2.2 Akü Şarjı</w:t>
      </w:r>
    </w:p>
    <w:p>
      <w:r>
        <w:t xml:space="preserve">Aküler yalnızca şarj alanında şarj edilir. Şarj alanında sigara içmek ve açık alev kullanmak yasaktır; şarj sırasında koruyucu gözlük ve eldiven takılır.</w:t>
      </w:r>
    </w:p>
    <w:p>
      <w:pPr>
        <w:pStyle w:val="Heading2"/>
      </w:pPr>
      <w:r>
        <w:t xml:space="preserve">Bölüm 3: İstifleme ve Raflar</w:t>
      </w:r>
    </w:p>
    <w:p>
      <w:r>
        <w:t xml:space="preserve">Rafların taşıma kapasitesi raf etiketinde yazılıdır ve aşılamaz. Raf katlarına göre yük sınırları aşağıdaki tabloda gösterilmiştir.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Pr>
      <w:tblGrid>
        <w:gridCol w:w="3024"/>
        <w:gridCol w:w="3024"/>
        <w:gridCol w:w="3024"/>
      </w:tblGrid>
      <w:tr>
        <w:trPr>
          <w:tblHeader/>
        </w:trPr>
        <w:tc>
          <w:tcPr>
            <w:tcW w:w="3024" w:type="dxa"/>
          </w:tcPr>
          <w:p>
            <w:r>
              <w:rPr>
                <w:b/>
              </w:rPr>
              <w:t xml:space="preserve">Raf katı</w:t>
            </w:r>
          </w:p>
        </w:tc>
        <w:tc>
          <w:tcPr>
            <w:tcW w:w="3024" w:type="dxa"/>
          </w:tcPr>
          <w:p>
            <w:r>
              <w:rPr>
                <w:b/>
              </w:rPr>
              <w:t xml:space="preserve">En fazla yük</w:t>
            </w:r>
          </w:p>
        </w:tc>
        <w:tc>
          <w:tcPr>
            <w:tcW w:w="3024" w:type="dxa"/>
          </w:tcPr>
          <w:p>
            <w:r>
              <w:rPr>
                <w:b/>
              </w:rPr>
              <w:t xml:space="preserve">Palet yüksekliği</w:t>
            </w:r>
          </w:p>
        </w:tc>
      </w:tr>
      <w:tr>
        <w:tc>
          <w:tcPr>
            <w:tcW w:w="3024" w:type="dxa"/>
          </w:tcPr>
          <w:p>
            <w:r>
              <w:t xml:space="preserve">Zemin</w:t>
            </w:r>
          </w:p>
        </w:tc>
        <w:tc>
          <w:tcPr>
            <w:tcW w:w="3024" w:type="dxa"/>
          </w:tcPr>
          <w:p>
            <w:r>
              <w:t xml:space="preserve">1.200 kg</w:t>
            </w:r>
          </w:p>
        </w:tc>
        <w:tc>
          <w:tcPr>
            <w:tcW w:w="3024" w:type="dxa"/>
          </w:tcPr>
          <w:p>
            <w:r>
              <w:t xml:space="preserve">180 cm</w:t>
            </w:r>
          </w:p>
        </w:tc>
      </w:tr>
      <w:tr>
        <w:tc>
          <w:tcPr>
            <w:tcW w:w="3024" w:type="dxa"/>
          </w:tcPr>
          <w:p>
            <w:r>
              <w:t xml:space="preserve">1. ve 2. kat</w:t>
            </w:r>
          </w:p>
        </w:tc>
        <w:tc>
          <w:tcPr>
            <w:tcW w:w="3024" w:type="dxa"/>
          </w:tcPr>
          <w:p>
            <w:r>
              <w:t xml:space="preserve">1.000 kg</w:t>
            </w:r>
          </w:p>
        </w:tc>
        <w:tc>
          <w:tcPr>
            <w:tcW w:w="3024" w:type="dxa"/>
          </w:tcPr>
          <w:p>
            <w:r>
              <w:t xml:space="preserve">160 cm</w:t>
            </w:r>
          </w:p>
        </w:tc>
      </w:tr>
      <w:tr>
        <w:tc>
          <w:tcPr>
            <w:tcW w:w="3024" w:type="dxa"/>
          </w:tcPr>
          <w:p>
            <w:r>
              <w:t xml:space="preserve">3. kat ve üzeri</w:t>
            </w:r>
          </w:p>
        </w:tc>
        <w:tc>
          <w:tcPr>
            <w:tcW w:w="3024" w:type="dxa"/>
          </w:tcPr>
          <w:p>
            <w:r>
              <w:t xml:space="preserve">800 kg</w:t>
            </w:r>
          </w:p>
        </w:tc>
        <w:tc>
          <w:tcPr>
            <w:tcW w:w="3024" w:type="dxa"/>
          </w:tcPr>
          <w:p>
            <w:r>
              <w:t xml:space="preserve">140 cm</w:t>
            </w:r>
          </w:p>
        </w:tc>
      </w:tr>
    </w:tbl>
    <w:p>
      <w:r>
        <w:t xml:space="preserve">Ağır yükler alt katlara, hafif yükler üst katlara yerleştirilir. Elle taşımada tek kişinin kaldırabileceği yük en fazla 25 kg'dır; daha ağır yükler iki kişiyle ya da transpaletle taşınır. Hasarlı palet kullanılmaz.</w:t>
      </w:r>
    </w:p>
    <w:p>
      <w:r>
        <w:br w:type="page"/>
      </w:r>
    </w:p>
    <w:p>
      <w:pPr>
        <w:pStyle w:val="Heading2"/>
      </w:pPr>
      <w:r>
        <w:t xml:space="preserve">Bölüm 4: Acil Durumlar</w:t>
      </w:r>
    </w:p>
    <w:p>
      <w:r>
        <w:t xml:space="preserve">Yangın alarmı çaldığında çalışanlar işi bırakır, en yakın acil çıkıştan çıkar ve otoparktaki toplanma alanına gider. Tahliye sırasında asansör ve forklift kullanılmaz. Acil çıkışların ve yangın söndürücülerin önüne malzeme konulmaz. Yılda iki kez tahliye tatbikatı yapılır.</w:t>
      </w:r>
    </w:p>
    <w:p>
      <w:pPr>
        <w:pStyle w:val="Heading3"/>
      </w:pPr>
      <w:r>
        <w:t xml:space="preserve">4.1 İş Kazası ve Ramak Kala</w:t>
      </w:r>
    </w:p>
    <w:p>
      <w:r>
        <w:t xml:space="preserve">İş kazası derhal vardiya amirine bildirilir; vardiya amiri aynı gün içinde kaza bildirim formunu doldurarak İş Sağlığı ve Güvenliği Uzm.'ye iletir. Yaralanmayla sonuçlanmayan ramak kala olaylar da üç iş günü içinde aynı formla bildirilir.</w:t>
      </w:r>
    </w:p>
    <w:p>
      <w:pPr>
        <w:pStyle w:val="Heading3"/>
      </w:pPr>
      <w:r>
        <w:t xml:space="preserve">4.2 Kimyasal Dökülmesi</w:t>
      </w:r>
    </w:p>
    <w:p>
      <w:r>
        <w:t xml:space="preserve">Kimyasal madde dökülmesinde alan şeritle çevrilir, dökülme emici malzemeyle sınırlandırılır ve depo sorumlusuna haber verilir. Maddenin güvenlik bilgi formu depo ofisinde bulunur.</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71"/>
    <w:rsid w:val="00A86D28"/>
    <w:rsid w:val="00CA2691"/>
    <w:rsid w:val="00DA2971"/>
    <w:rsid w:val="00F32C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6596"/>
  <w15:chartTrackingRefBased/>
  <w15:docId w15:val="{E28E5DCB-77F7-4442-B13B-15C7E4299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2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2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971"/>
    <w:rPr>
      <w:rFonts w:eastAsiaTheme="majorEastAsia" w:cstheme="majorBidi"/>
      <w:color w:val="272727" w:themeColor="text1" w:themeTint="D8"/>
    </w:rPr>
  </w:style>
  <w:style w:type="paragraph" w:styleId="Title">
    <w:name w:val="Title"/>
    <w:basedOn w:val="Normal"/>
    <w:next w:val="Normal"/>
    <w:link w:val="TitleChar"/>
    <w:uiPriority w:val="10"/>
    <w:qFormat/>
    <w:rsid w:val="00DA2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971"/>
    <w:pPr>
      <w:spacing w:before="160"/>
      <w:jc w:val="center"/>
    </w:pPr>
    <w:rPr>
      <w:i/>
      <w:iCs/>
      <w:color w:val="404040" w:themeColor="text1" w:themeTint="BF"/>
    </w:rPr>
  </w:style>
  <w:style w:type="character" w:customStyle="1" w:styleId="QuoteChar">
    <w:name w:val="Quote Char"/>
    <w:basedOn w:val="DefaultParagraphFont"/>
    <w:link w:val="Quote"/>
    <w:uiPriority w:val="29"/>
    <w:rsid w:val="00DA2971"/>
    <w:rPr>
      <w:i/>
      <w:iCs/>
      <w:color w:val="404040" w:themeColor="text1" w:themeTint="BF"/>
    </w:rPr>
  </w:style>
  <w:style w:type="paragraph" w:styleId="ListParagraph">
    <w:name w:val="List Paragraph"/>
    <w:basedOn w:val="Normal"/>
    <w:uiPriority w:val="34"/>
    <w:qFormat/>
    <w:rsid w:val="00DA2971"/>
    <w:pPr>
      <w:ind w:left="720"/>
      <w:contextualSpacing/>
    </w:pPr>
  </w:style>
  <w:style w:type="character" w:styleId="IntenseEmphasis">
    <w:name w:val="Intense Emphasis"/>
    <w:basedOn w:val="DefaultParagraphFont"/>
    <w:uiPriority w:val="21"/>
    <w:qFormat/>
    <w:rsid w:val="00DA2971"/>
    <w:rPr>
      <w:i/>
      <w:iCs/>
      <w:color w:val="0F4761" w:themeColor="accent1" w:themeShade="BF"/>
    </w:rPr>
  </w:style>
  <w:style w:type="paragraph" w:styleId="IntenseQuote">
    <w:name w:val="Intense Quote"/>
    <w:basedOn w:val="Normal"/>
    <w:next w:val="Normal"/>
    <w:link w:val="IntenseQuoteChar"/>
    <w:uiPriority w:val="30"/>
    <w:qFormat/>
    <w:rsid w:val="00DA2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971"/>
    <w:rPr>
      <w:i/>
      <w:iCs/>
      <w:color w:val="0F4761" w:themeColor="accent1" w:themeShade="BF"/>
    </w:rPr>
  </w:style>
  <w:style w:type="character" w:styleId="IntenseReference">
    <w:name w:val="Intense Reference"/>
    <w:basedOn w:val="DefaultParagraphFont"/>
    <w:uiPriority w:val="32"/>
    <w:qFormat/>
    <w:rsid w:val="00DA2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2026-10-08T08:32:27Z</dcterms:created>
  <dcterms:modified xsi:type="dcterms:W3CDTF">2026-10-08T08:32:27Z</dcterms:modified>
</cp:coreProperties>
</file>