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rFonts w:ascii="Calibri" w:hAnsi="Calibri"/>
          <w:b/>
          <w:color w:val="0F172A"/>
          <w:sz w:val="44"/>
        </w:rPr>
        <w:t>VCC Board Action Packet</w:t>
      </w:r>
    </w:p>
    <w:p>
      <w:pPr>
        <w:spacing w:after="280"/>
      </w:pPr>
      <w:r>
        <w:rPr>
          <w:rFonts w:ascii="Calibri" w:hAnsi="Calibri"/>
          <w:color w:val="475569"/>
          <w:sz w:val="22"/>
        </w:rPr>
        <w:t>Governance, ownership/control, compliance, and transportation launch approval framework</w:t>
      </w:r>
    </w:p>
    <w:p>
      <w:pPr>
        <w:spacing w:after="200"/>
      </w:pPr>
      <w:r>
        <w:rPr>
          <w:rFonts w:ascii="Calibri" w:hAnsi="Calibri"/>
          <w:b/>
          <w:color w:val="9B1C1C"/>
          <w:sz w:val="18"/>
        </w:rPr>
        <w:t>DRAFT - NOT EFFECTIVE UNTIL REVIEWED, APPROVED, DATED, AND SIGNED</w:t>
      </w:r>
    </w:p>
    <w:p>
      <w:pPr>
        <w:spacing w:after="160" w:line="300" w:lineRule="auto"/>
      </w:pPr>
      <w:r>
        <w:rPr>
          <w:rFonts w:ascii="Calibri" w:hAnsi="Calibri"/>
          <w:b w:val="0"/>
          <w:color w:val="1F2937"/>
        </w:rPr>
        <w:t>Prepared for VILIGANS COMMAND CORPORATION as an internal draft packet. This packet prepares decisions and evidence; it does not execute filings, issue stock, bind insurance, submit grants, sign contracts, or authorize paid passenger service.</w:t>
      </w:r>
    </w:p>
    <w:p>
      <w:pPr>
        <w:pStyle w:val="Heading1"/>
        <w:spacing w:before="360" w:after="200"/>
      </w:pPr>
      <w:r>
        <w:rPr>
          <w:rFonts w:ascii="Calibri" w:hAnsi="Calibri"/>
          <w:b/>
          <w:color w:val="2E74B5"/>
          <w:sz w:val="32"/>
        </w:rPr>
        <w:t>Executive Decision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2937"/>
                <w:sz w:val="18"/>
              </w:rPr>
              <w:t>Decision Area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2937"/>
                <w:sz w:val="18"/>
              </w:rPr>
              <w:t>Recommended Board Position</w:t>
            </w:r>
          </w:p>
        </w:tc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2937"/>
                <w:sz w:val="18"/>
              </w:rPr>
              <w:t>Reason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External control lane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Use Alawndus Davis -&gt; VCC -&gt; DOCS 8404 for active launch work.</w:t>
            </w:r>
          </w:p>
        </w:tc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This is the cleanest lane for banking, SAM, VetCert readiness, fleet, funding, and partner-facing materials.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Trust/SF language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Do not use externally unless separately approved for a limited purpose.</w:t>
            </w:r>
          </w:p>
        </w:tc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Prior binder materials contained inconsistent ownership narratives that can slow banks, grant reviewers, SBA, Medicaid, and insurers.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Outreach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Prepare only until evidence, authority, insurance, and launch gates are complete or waived.</w:t>
            </w:r>
          </w:p>
        </w:tc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Prevents unsupported claims and premature commitments.</w:t>
            </w:r>
          </w:p>
        </w:tc>
      </w:tr>
    </w:tbl>
    <w:p>
      <w:r>
        <w:br w:type="page"/>
      </w:r>
    </w:p>
    <w:p>
      <w:pPr>
        <w:pStyle w:val="Heading1"/>
        <w:spacing w:before="360" w:after="200"/>
      </w:pPr>
      <w:r>
        <w:rPr>
          <w:rFonts w:ascii="Calibri" w:hAnsi="Calibri"/>
          <w:b/>
          <w:color w:val="2E74B5"/>
          <w:sz w:val="32"/>
        </w:rPr>
        <w:t>Source-Proof Status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2937"/>
                <w:sz w:val="18"/>
              </w:rPr>
              <w:t>Requirement</w:t>
            </w:r>
          </w:p>
        </w:tc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2937"/>
                <w:sz w:val="18"/>
              </w:rPr>
              <w:t>Current Evidence</w:t>
            </w:r>
          </w:p>
        </w:tc>
        <w:tc>
          <w:tcPr>
            <w:tcW w:type="dxa" w:w="13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2937"/>
                <w:sz w:val="18"/>
              </w:rPr>
              <w:t>Status</w:t>
            </w:r>
          </w:p>
        </w:tc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2937"/>
                <w:sz w:val="18"/>
              </w:rPr>
              <w:t>Next Action</w:t>
            </w:r>
          </w:p>
        </w:tc>
      </w:tr>
      <w:tr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AF7EA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VCC Wyoming corporation</w:t>
            </w:r>
          </w:p>
        </w:tc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AF7EA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Filed Articles, Filing ID 2025-001851867, and July 28, 2026 certificate of good standing found in Google Drive.</w:t>
            </w:r>
          </w:p>
        </w:tc>
        <w:tc>
          <w:tcPr>
            <w:tcW w:type="dxa" w:w="13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AF7EA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Verified</w:t>
            </w:r>
          </w:p>
        </w:tc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AF7EA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Insert into final corporate binder tab.</w:t>
            </w:r>
          </w:p>
        </w:tc>
      </w:tr>
      <w:tr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AF7EA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Authorized shares</w:t>
            </w:r>
          </w:p>
        </w:tc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AF7EA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Filing info shows 1,000,000 common shares, $0.001 par value, 0 preferred shares.</w:t>
            </w:r>
          </w:p>
        </w:tc>
        <w:tc>
          <w:tcPr>
            <w:tcW w:type="dxa" w:w="13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AF7EA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Verified</w:t>
            </w:r>
          </w:p>
        </w:tc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AF7EA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Use these values in stock issuance records.</w:t>
            </w:r>
          </w:p>
        </w:tc>
      </w:tr>
      <w:tr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4E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Bylaws</w:t>
            </w:r>
          </w:p>
        </w:tc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4E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Generic/blank bylaws PDF found.</w:t>
            </w:r>
          </w:p>
        </w:tc>
        <w:tc>
          <w:tcPr>
            <w:tcW w:type="dxa" w:w="13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4E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Template only</w:t>
            </w:r>
          </w:p>
        </w:tc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4E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Complete VCC-specific bylaws and approve.</w:t>
            </w:r>
          </w:p>
        </w:tc>
      </w:tr>
      <w:tr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4E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Initial resolutions</w:t>
            </w:r>
          </w:p>
        </w:tc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4E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Generic/blank initial resolutions PDF found.</w:t>
            </w:r>
          </w:p>
        </w:tc>
        <w:tc>
          <w:tcPr>
            <w:tcW w:type="dxa" w:w="13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4E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Template only</w:t>
            </w:r>
          </w:p>
        </w:tc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4E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Complete VCC-specific resolutions and approve.</w:t>
            </w:r>
          </w:p>
        </w:tc>
      </w:tr>
      <w:tr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4E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DOCS 8404 state filing</w:t>
            </w:r>
          </w:p>
        </w:tc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4E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Operating agreement found; official Wyoming LLC filing proof not found in visible files.</w:t>
            </w:r>
          </w:p>
        </w:tc>
        <w:tc>
          <w:tcPr>
            <w:tcW w:type="dxa" w:w="13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4E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Open</w:t>
            </w:r>
          </w:p>
        </w:tc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4E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Pull official SOS record or file/verify LLC.</w:t>
            </w:r>
          </w:p>
        </w:tc>
      </w:tr>
      <w:tr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4E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SAM/UEI and VetCert</w:t>
            </w:r>
          </w:p>
        </w:tc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4E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Readiness drafts exist; active registration and certification approval not verified.</w:t>
            </w:r>
          </w:p>
        </w:tc>
        <w:tc>
          <w:tcPr>
            <w:tcW w:type="dxa" w:w="13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4E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Open</w:t>
            </w:r>
          </w:p>
        </w:tc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4E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Complete SAM, Grants.gov, and VetCert readiness evidence.</w:t>
            </w:r>
          </w:p>
        </w:tc>
      </w:tr>
    </w:tbl>
    <w:p>
      <w:r>
        <w:br w:type="page"/>
      </w:r>
    </w:p>
    <w:p>
      <w:pPr>
        <w:pStyle w:val="Heading1"/>
        <w:spacing w:before="360" w:after="200"/>
      </w:pPr>
      <w:r>
        <w:rPr>
          <w:rFonts w:ascii="Calibri" w:hAnsi="Calibri"/>
          <w:b/>
          <w:color w:val="2E74B5"/>
          <w:sz w:val="32"/>
        </w:rPr>
        <w:t>Draft Resolutions</w:t>
      </w:r>
    </w:p>
    <w:p>
      <w:pPr>
        <w:pStyle w:val="Heading2"/>
        <w:spacing w:before="280" w:after="140"/>
      </w:pPr>
      <w:r>
        <w:rPr>
          <w:rFonts w:ascii="Calibri" w:hAnsi="Calibri"/>
          <w:b/>
          <w:color w:val="2E74B5"/>
          <w:sz w:val="26"/>
        </w:rPr>
        <w:t>Resolution 001 - Active Control Structure</w:t>
      </w:r>
    </w:p>
    <w:p>
      <w:pPr>
        <w:spacing w:after="120" w:line="300" w:lineRule="auto"/>
      </w:pPr>
      <w:r>
        <w:rPr>
          <w:rFonts w:ascii="Calibri" w:hAnsi="Calibri"/>
          <w:b w:val="0"/>
          <w:color w:val="1F2937"/>
        </w:rPr>
        <w:t>The corporation confirms the active external-facing launch structure as Alawndus Davis -&gt; VILIGANS COMMAND CORPORATION -&gt; DOCS 8404 Logistics &amp; NEMT LLC, subject to verification of DOCS 8404 state records and counsel/CPA review where required.</w:t>
      </w:r>
    </w:p>
    <w:p>
      <w:pPr>
        <w:pStyle w:val="Heading2"/>
        <w:spacing w:before="280" w:after="140"/>
      </w:pPr>
      <w:r>
        <w:rPr>
          <w:rFonts w:ascii="Calibri" w:hAnsi="Calibri"/>
          <w:b/>
          <w:color w:val="2E74B5"/>
          <w:sz w:val="26"/>
        </w:rPr>
        <w:t>Resolution 002 - Governance Completion</w:t>
      </w:r>
    </w:p>
    <w:p>
      <w:pPr>
        <w:spacing w:after="120" w:line="300" w:lineRule="auto"/>
      </w:pPr>
      <w:r>
        <w:rPr>
          <w:rFonts w:ascii="Calibri" w:hAnsi="Calibri"/>
          <w:b w:val="0"/>
          <w:color w:val="1F2937"/>
        </w:rPr>
        <w:t>The corporation directs completion of VCC-specific bylaws, initial board consent, officer appointments, signing authority, and conflict/related-party controls before external submissions.</w:t>
      </w:r>
    </w:p>
    <w:p>
      <w:pPr>
        <w:pStyle w:val="Heading2"/>
        <w:spacing w:before="280" w:after="140"/>
      </w:pPr>
      <w:r>
        <w:rPr>
          <w:rFonts w:ascii="Calibri" w:hAnsi="Calibri"/>
          <w:b/>
          <w:color w:val="2E74B5"/>
          <w:sz w:val="26"/>
        </w:rPr>
        <w:t>Resolution 003 - Stock Issuance Readiness</w:t>
      </w:r>
    </w:p>
    <w:p>
      <w:pPr>
        <w:spacing w:after="120" w:line="300" w:lineRule="auto"/>
      </w:pPr>
      <w:r>
        <w:rPr>
          <w:rFonts w:ascii="Calibri" w:hAnsi="Calibri"/>
          <w:b w:val="0"/>
          <w:color w:val="1F2937"/>
        </w:rPr>
        <w:t>The corporation authorizes preparation of a founder stock issuance package using the filed share authorization. No third-party securities offering, investor solicitation, pledge, or transfer is authorized by this draft.</w:t>
      </w:r>
    </w:p>
    <w:p>
      <w:pPr>
        <w:pStyle w:val="Heading2"/>
        <w:spacing w:before="280" w:after="140"/>
      </w:pPr>
      <w:r>
        <w:rPr>
          <w:rFonts w:ascii="Calibri" w:hAnsi="Calibri"/>
          <w:b/>
          <w:color w:val="2E74B5"/>
          <w:sz w:val="26"/>
        </w:rPr>
        <w:t>Resolution 004 - Federal Readiness</w:t>
      </w:r>
    </w:p>
    <w:p>
      <w:pPr>
        <w:spacing w:after="120" w:line="300" w:lineRule="auto"/>
      </w:pPr>
      <w:r>
        <w:rPr>
          <w:rFonts w:ascii="Calibri" w:hAnsi="Calibri"/>
          <w:b w:val="0"/>
          <w:color w:val="1F2937"/>
        </w:rPr>
        <w:t>The corporation authorizes preparation of SAM.gov, Grants.gov, and SBA VetCert readiness records. No federal representation or application is authorized until reviewed and approved.</w:t>
      </w:r>
    </w:p>
    <w:p>
      <w:pPr>
        <w:pStyle w:val="Heading2"/>
        <w:spacing w:before="280" w:after="140"/>
      </w:pPr>
      <w:r>
        <w:rPr>
          <w:rFonts w:ascii="Calibri" w:hAnsi="Calibri"/>
          <w:b/>
          <w:color w:val="2E74B5"/>
          <w:sz w:val="26"/>
        </w:rPr>
        <w:t>Resolution 005 - Transportation Launch Gate</w:t>
      </w:r>
    </w:p>
    <w:p>
      <w:pPr>
        <w:spacing w:after="120" w:line="300" w:lineRule="auto"/>
      </w:pPr>
      <w:r>
        <w:rPr>
          <w:rFonts w:ascii="Calibri" w:hAnsi="Calibri"/>
          <w:b w:val="0"/>
          <w:color w:val="1F2937"/>
        </w:rPr>
        <w:t>The corporation prohibits paid passenger service until WYDOT/FMCSA path, insurance, vehicle readiness, driver files, operating policies, and incident/privacy controls are complete and approved.</w:t>
      </w:r>
    </w:p>
    <w:p>
      <w:pPr>
        <w:pStyle w:val="Heading2"/>
        <w:spacing w:before="280" w:after="140"/>
      </w:pPr>
      <w:r>
        <w:rPr>
          <w:rFonts w:ascii="Calibri" w:hAnsi="Calibri"/>
          <w:b/>
          <w:color w:val="2E74B5"/>
          <w:sz w:val="26"/>
        </w:rPr>
        <w:t>Resolution 006 - Partner And Funding Outreach</w:t>
      </w:r>
    </w:p>
    <w:p>
      <w:pPr>
        <w:spacing w:after="120" w:line="300" w:lineRule="auto"/>
      </w:pPr>
      <w:r>
        <w:rPr>
          <w:rFonts w:ascii="Calibri" w:hAnsi="Calibri"/>
          <w:b w:val="0"/>
          <w:color w:val="1F2937"/>
        </w:rPr>
        <w:t>The corporation authorizes drafting of outreach, MOU, sponsorship, and grant materials. No contract, MOU, sponsorship, grant submission, or financial obligation is effective without approval and signature.</w:t>
      </w:r>
    </w:p>
    <w:p>
      <w:r>
        <w:br w:type="page"/>
      </w:r>
    </w:p>
    <w:p>
      <w:pPr>
        <w:pStyle w:val="Heading1"/>
        <w:spacing w:before="360" w:after="200"/>
      </w:pPr>
      <w:r>
        <w:rPr>
          <w:rFonts w:ascii="Calibri" w:hAnsi="Calibri"/>
          <w:b/>
          <w:color w:val="2E74B5"/>
          <w:sz w:val="32"/>
        </w:rPr>
        <w:t>Launch Gate Checklist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2937"/>
                <w:sz w:val="18"/>
              </w:rPr>
              <w:t>Gate</w:t>
            </w:r>
          </w:p>
        </w:tc>
        <w:tc>
          <w:tcPr>
            <w:tcW w:type="dxa" w:w="48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2937"/>
                <w:sz w:val="18"/>
              </w:rPr>
              <w:t>Go Standard</w:t>
            </w:r>
          </w:p>
        </w:tc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2937"/>
                <w:sz w:val="18"/>
              </w:rPr>
              <w:t>Current Status</w:t>
            </w:r>
          </w:p>
        </w:tc>
      </w:tr>
      <w:tr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Entity records</w:t>
            </w:r>
          </w:p>
        </w:tc>
        <w:tc>
          <w:tcPr>
            <w:tcW w:type="dxa" w:w="48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VCC and DOCS 8404 source-proof records complete.</w:t>
            </w:r>
          </w:p>
        </w:tc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VCC verified; DOCS 8404 open.</w:t>
            </w:r>
          </w:p>
        </w:tc>
      </w:tr>
      <w:tr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Governance</w:t>
            </w:r>
          </w:p>
        </w:tc>
        <w:tc>
          <w:tcPr>
            <w:tcW w:type="dxa" w:w="48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Bylaws, officer appointments, stock ledger, cap table, and signing authority approved.</w:t>
            </w:r>
          </w:p>
        </w:tc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Open.</w:t>
            </w:r>
          </w:p>
        </w:tc>
      </w:tr>
      <w:tr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Authority</w:t>
            </w:r>
          </w:p>
        </w:tc>
        <w:tc>
          <w:tcPr>
            <w:tcW w:type="dxa" w:w="48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WYDOT/FMCSA path documented; application filed if required.</w:t>
            </w:r>
          </w:p>
        </w:tc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Open.</w:t>
            </w:r>
          </w:p>
        </w:tc>
      </w:tr>
      <w:tr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Insurance</w:t>
            </w:r>
          </w:p>
        </w:tc>
        <w:tc>
          <w:tcPr>
            <w:tcW w:type="dxa" w:w="48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Commercial passenger/NEMT coverage bound.</w:t>
            </w:r>
          </w:p>
        </w:tc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Open.</w:t>
            </w:r>
          </w:p>
        </w:tc>
      </w:tr>
      <w:tr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Vehicle</w:t>
            </w:r>
          </w:p>
        </w:tc>
        <w:tc>
          <w:tcPr>
            <w:tcW w:type="dxa" w:w="48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Accessible passenger vehicle titled/leased, inspected, and insured.</w:t>
            </w:r>
          </w:p>
        </w:tc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Open.</w:t>
            </w:r>
          </w:p>
        </w:tc>
      </w:tr>
      <w:tr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Staffing</w:t>
            </w:r>
          </w:p>
        </w:tc>
        <w:tc>
          <w:tcPr>
            <w:tcW w:type="dxa" w:w="48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Driver and backup driver files complete.</w:t>
            </w:r>
          </w:p>
        </w:tc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Open.</w:t>
            </w:r>
          </w:p>
        </w:tc>
      </w:tr>
      <w:tr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Partner</w:t>
            </w:r>
          </w:p>
        </w:tc>
        <w:tc>
          <w:tcPr>
            <w:tcW w:type="dxa" w:w="48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At least one LOI, MOU, paid pilot agreement, or sponsor commitment secured.</w:t>
            </w:r>
          </w:p>
        </w:tc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Open.</w:t>
            </w:r>
          </w:p>
        </w:tc>
      </w:tr>
    </w:tbl>
    <w:p>
      <w:pPr>
        <w:pStyle w:val="Heading1"/>
        <w:spacing w:before="360" w:after="200"/>
      </w:pPr>
      <w:r>
        <w:rPr>
          <w:rFonts w:ascii="Calibri" w:hAnsi="Calibri"/>
          <w:b/>
          <w:color w:val="2E74B5"/>
          <w:sz w:val="32"/>
        </w:rPr>
        <w:t>Signature Blocks</w:t>
      </w:r>
    </w:p>
    <w:p>
      <w:pPr>
        <w:spacing w:after="120" w:line="300" w:lineRule="auto"/>
      </w:pPr>
      <w:r>
        <w:rPr>
          <w:rFonts w:ascii="Calibri" w:hAnsi="Calibri"/>
          <w:b w:val="0"/>
          <w:color w:val="1F2937"/>
        </w:rPr>
        <w:t>These signature lines are placeholders. Do not sign until the final packet is reviewed and approved.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2937"/>
                <w:sz w:val="18"/>
              </w:rPr>
              <w:t>Role</w:t>
            </w:r>
          </w:p>
        </w:tc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2937"/>
                <w:sz w:val="18"/>
              </w:rPr>
              <w:t>Name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2937"/>
                <w:sz w:val="18"/>
              </w:rPr>
              <w:t>Signature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2937"/>
                <w:sz w:val="18"/>
              </w:rPr>
              <w:t>Date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President / CEO</w:t>
            </w:r>
          </w:p>
        </w:tc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Alawndus Davis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Secretary</w:t>
            </w:r>
          </w:p>
        </w:tc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Director</w:t>
            </w:r>
          </w:p>
        </w:tc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475569"/>
        <w:sz w:val="16"/>
      </w:rPr>
      <w:t xml:space="preserve">Draft packet - page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rPr>
        <w:rFonts w:ascii="Calibri" w:hAnsi="Calibri"/>
        <w:b/>
        <w:color w:val="475569"/>
        <w:sz w:val="16"/>
      </w:rPr>
      <w:t>VCC Board Action Packet | DOCS 8404 Launch Readiness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