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LoméShop — Dossier Technique Complet</w:t>
      </w:r>
    </w:p>
    <w:p>
      <w:pPr>
        <w:pStyle w:val="BodyText"/>
      </w:pPr>
      <w:r>
        <w:t xml:space="preserve">Document de référence pour la préparation du mémoire de fin d'études et de la soutenance orale. Ce dossier recense l'intégralité des technologies, architectures, services tiers et décisions techniques mises en œuvre dans le projet LoméShop, une marketplace e-commerce et de livraison géolocalisée pour la ville de Lomé (Togo).</w:t>
      </w:r>
    </w:p>
    <w:p>
      <w:pPr>
        <w:pStyle w:val="BodyText"/>
      </w:pPr>
      <w:r>
        <w:t xml:space="preserve">Date de rédaction : 13 août 2026.</w:t>
      </w:r>
    </w:p>
    <w:p>
      <w:r>
        <w:br w:type="page"/>
      </w:r>
    </w:p>
    <w:p>
      <w:pPr>
        <w:pStyle w:val="Heading1"/>
      </w:pPr>
      <w:r>
        <w:t xml:space="preserve">1. Vue d'ensemble du projet</w:t>
      </w:r>
    </w:p>
    <w:p>
      <w:pPr>
        <w:pStyle w:val="BodyText"/>
      </w:pPr>
      <w:r>
        <w:t xml:space="preserve">LoméShop est une Progressive Web App (PWA) de type marketplace multi-vendeurs avec livraison géolocalisée en temps réel, pensée spécifiquement pour le contexte togolais : adressage informel, paiement par Mobile Money, connectivité mobile parfois instable, et besoin de confiance entre acheteurs, vendeurs et livreurs.</w:t>
      </w:r>
    </w:p>
    <w:p>
      <w:pPr>
        <w:pStyle w:val="BodyText"/>
      </w:pPr>
      <w:r>
        <w:t xml:space="preserve">Quatre profils d'utilisateurs cohabitent sur la plateforme :</w:t>
      </w:r>
    </w:p>
    <w:p>
      <w:pPr>
        <w:pStyle w:val="ListParagraph"/>
        <w:numPr>
          <w:ilvl w:val="0"/>
          <w:numId w:val="1"/>
        </w:numPr>
      </w:pPr>
      <w:r>
        <w:t xml:space="preserve">Client : parcourt les boutiques et produits, commande, paie, suit sa livraison en direct sur une carte, discute avec le vendeur.</w:t>
      </w:r>
    </w:p>
    <w:p>
      <w:pPr>
        <w:pStyle w:val="ListParagraph"/>
        <w:numPr>
          <w:ilvl w:val="0"/>
          <w:numId w:val="1"/>
        </w:numPr>
      </w:pPr>
      <w:r>
        <w:t xml:space="preserve">Vendeur (Seller) : gère sa boutique, son catalogue, son stock, ses commandes, sa messagerie, et son portefeuille (wallet) avec demandes de retrait.</w:t>
      </w:r>
    </w:p>
    <w:p>
      <w:pPr>
        <w:pStyle w:val="ListParagraph"/>
        <w:numPr>
          <w:ilvl w:val="0"/>
          <w:numId w:val="1"/>
        </w:numPr>
      </w:pPr>
      <w:r>
        <w:t xml:space="preserve">Livreur (Driver) : reçoit les courses à proximité, navigue via itinéraire calculé, met à jour sa position GPS en continu, valide la livraison par code secret.</w:t>
      </w:r>
    </w:p>
    <w:p>
      <w:pPr>
        <w:pStyle w:val="ListParagraph"/>
        <w:numPr>
          <w:ilvl w:val="0"/>
          <w:numId w:val="1"/>
        </w:numPr>
      </w:pPr>
      <w:r>
        <w:t xml:space="preserve">Administrateur : valide les KYC vendeurs et livreurs, supervise la flotte en temps réel, gère les retraits et la modération globale.</w:t>
      </w:r>
    </w:p>
    <w:p>
      <w:pPr>
        <w:pStyle w:val="Heading2"/>
      </w:pPr>
      <w:r>
        <w:t xml:space="preserve">1.1 Contexte et problématique</w:t>
      </w:r>
    </w:p>
    <w:p>
      <w:pPr>
        <w:pStyle w:val="BodyText"/>
      </w:pPr>
      <w:r>
        <w:t xml:space="preserve">Le e-commerce togolais souffre de plusieurs frictions structurelles que le projet adresse directement :</w:t>
      </w:r>
    </w:p>
    <w:p>
      <w:pPr>
        <w:pStyle w:val="ListParagraph"/>
        <w:numPr>
          <w:ilvl w:val="0"/>
          <w:numId w:val="1"/>
        </w:numPr>
      </w:pPr>
      <w:r>
        <w:t xml:space="preserve">Absence de codes postaux et d'adressage postal fiable à Lomé — remplacé par la géolocalisation GPS combinée à des points de repère (boutiques physiques géolocalisées).</w:t>
      </w:r>
    </w:p>
    <w:p>
      <w:pPr>
        <w:pStyle w:val="ListParagraph"/>
        <w:numPr>
          <w:ilvl w:val="0"/>
          <w:numId w:val="1"/>
        </w:numPr>
      </w:pPr>
      <w:r>
        <w:t xml:space="preserve">Défiance vis-à-vis du paiement en ligne par carte bancaire — résolue par l'intégration du Mobile Money (TMoney, Flooz) via une passerelle de paiement locale.</w:t>
      </w:r>
    </w:p>
    <w:p>
      <w:pPr>
        <w:pStyle w:val="ListParagraph"/>
        <w:numPr>
          <w:ilvl w:val="0"/>
          <w:numId w:val="1"/>
        </w:numPr>
      </w:pPr>
      <w:r>
        <w:t xml:space="preserve">Logistique de livraison informelle et peu traçable — résolue par un système de suivi GPS en direct et un code de livraison secret à 4 chiffres qui sécurise la remise du colis.</w:t>
      </w:r>
    </w:p>
    <w:p>
      <w:pPr>
        <w:pStyle w:val="ListParagraph"/>
        <w:numPr>
          <w:ilvl w:val="0"/>
          <w:numId w:val="1"/>
        </w:numPr>
      </w:pPr>
      <w:r>
        <w:t xml:space="preserve">Manque de plateformes locales capables de gérer nativement le contexte ouest-africain (connectivité, langues, devises, moyens de paiement).</w:t>
      </w:r>
    </w:p>
    <w:p>
      <w:pPr>
        <w:pStyle w:val="Heading2"/>
      </w:pPr>
      <w:r>
        <w:t xml:space="preserve">1.2 Objectifs</w:t>
      </w:r>
    </w:p>
    <w:p>
      <w:pPr>
        <w:pStyle w:val="ListParagraph"/>
        <w:numPr>
          <w:ilvl w:val="0"/>
          <w:numId w:val="1"/>
        </w:numPr>
      </w:pPr>
      <w:r>
        <w:t xml:space="preserve">Construire un marché numérique accessible même en conditions de réseau dégradé (approche PWA avec mode hors-ligne).</w:t>
      </w:r>
    </w:p>
    <w:p>
      <w:pPr>
        <w:pStyle w:val="ListParagraph"/>
        <w:numPr>
          <w:ilvl w:val="0"/>
          <w:numId w:val="1"/>
        </w:numPr>
      </w:pPr>
      <w:r>
        <w:t xml:space="preserve">Garantir la sécurité des transactions et des données (chiffrement, validation serveur systématique, conformité KYC).</w:t>
      </w:r>
    </w:p>
    <w:p>
      <w:pPr>
        <w:pStyle w:val="ListParagraph"/>
        <w:numPr>
          <w:ilvl w:val="0"/>
          <w:numId w:val="1"/>
        </w:numPr>
      </w:pPr>
      <w:r>
        <w:t xml:space="preserve">Concevoir une architecture scalable capable d'absorber la croissance du nombre de vendeurs et de commandes sans réécriture majeure.</w:t>
      </w:r>
    </w:p>
    <w:p>
      <w:pPr>
        <w:pStyle w:val="ListParagraph"/>
        <w:numPr>
          <w:ilvl w:val="0"/>
          <w:numId w:val="1"/>
        </w:numPr>
      </w:pPr>
      <w:r>
        <w:t xml:space="preserve">Offrir une expérience utilisateur fluide, proche du natif, sur mobile comme sur desktop.</w:t>
      </w:r>
    </w:p>
    <w:p>
      <w:r>
        <w:br w:type="page"/>
      </w:r>
    </w:p>
    <w:p>
      <w:pPr>
        <w:pStyle w:val="Heading1"/>
      </w:pPr>
      <w:r>
        <w:t xml:space="preserve">2. Stack technologique — vue synthétique</w:t>
      </w:r>
    </w:p>
    <w:p>
      <w:pPr>
        <w:pStyle w:val="BodyText"/>
      </w:pPr>
      <w:r>
        <w:t xml:space="preserve">Le tableau ci-dessous résume l'ensemble des technologies, frameworks et services utilisés. Chaque brique est détaillée dans les sections suivantes.</w:t>
      </w:r>
    </w:p>
    <w:tbl>
      <w:tblPr>
        <w:tblStyle w:val="TableGrid"/>
        <w:tblW w:w="9026"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c>
          <w:tcPr>
            <w:tcW w:w="3008" w:type="dxa"/>
            <w:shd w:val="clear" w:color="auto" w:fill="2F5496"/>
            <w:vAlign w:val="center"/>
          </w:tcPr>
          <w:p>
            <w:pPr>
              <w:pStyle w:val="TableHeaderText"/>
            </w:pPr>
            <w:r>
              <w:rPr>
                <w:b/>
                <w:color w:val="FFFFFF"/>
              </w:rPr>
              <w:t xml:space="preserve">Catégorie</w:t>
            </w:r>
          </w:p>
        </w:tc>
        <w:tc>
          <w:tcPr>
            <w:tcW w:w="3008" w:type="dxa"/>
            <w:shd w:val="clear" w:color="auto" w:fill="2F5496"/>
            <w:vAlign w:val="center"/>
          </w:tcPr>
          <w:p>
            <w:pPr>
              <w:pStyle w:val="TableHeaderText"/>
            </w:pPr>
            <w:r>
              <w:rPr>
                <w:b/>
                <w:color w:val="FFFFFF"/>
              </w:rPr>
              <w:t xml:space="preserve">Technologie</w:t>
            </w:r>
          </w:p>
        </w:tc>
        <w:tc>
          <w:tcPr>
            <w:tcW w:w="3008" w:type="dxa"/>
            <w:shd w:val="clear" w:color="auto" w:fill="2F5496"/>
            <w:vAlign w:val="center"/>
          </w:tcPr>
          <w:p>
            <w:pPr>
              <w:pStyle w:val="TableHeaderText"/>
            </w:pPr>
            <w:r>
              <w:rPr>
                <w:b/>
                <w:color w:val="FFFFFF"/>
              </w:rPr>
              <w:t xml:space="preserve">Rôle dans le projet</w:t>
            </w:r>
          </w:p>
        </w:tc>
      </w:tr>
      <w:tr>
        <w:tc>
          <w:tcPr>
            <w:tcW w:w="3008" w:type="dxa"/>
            <w:shd w:val="clear" w:color="auto" w:fill="F2F5FA"/>
          </w:tcPr>
          <w:p>
            <w:pPr>
              <w:pStyle w:val="TableCellText"/>
            </w:pPr>
            <w:r>
              <w:t xml:space="preserve">Backend / Framework</w:t>
            </w:r>
          </w:p>
        </w:tc>
        <w:tc>
          <w:tcPr>
            <w:tcW w:w="3008" w:type="dxa"/>
            <w:shd w:val="clear" w:color="auto" w:fill="F2F5FA"/>
          </w:tcPr>
          <w:p>
            <w:pPr>
              <w:pStyle w:val="TableCellText"/>
            </w:pPr>
            <w:r>
              <w:t xml:space="preserve">Laravel 12 (PHP 8.2)</w:t>
            </w:r>
          </w:p>
        </w:tc>
        <w:tc>
          <w:tcPr>
            <w:tcW w:w="3008" w:type="dxa"/>
            <w:shd w:val="clear" w:color="auto" w:fill="F2F5FA"/>
          </w:tcPr>
          <w:p>
            <w:pPr>
              <w:pStyle w:val="TableCellText"/>
            </w:pPr>
            <w:r>
              <w:t xml:space="preserve">Framework MVC principal, routing, ORM Eloquent, validation, sécurité</w:t>
            </w:r>
          </w:p>
        </w:tc>
      </w:tr>
      <w:tr>
        <w:tc>
          <w:tcPr>
            <w:tcW w:w="3008" w:type="dxa"/>
            <w:shd w:val="clear" w:color="auto" w:fill="FFFFFF"/>
          </w:tcPr>
          <w:p>
            <w:pPr>
              <w:pStyle w:val="TableCellText"/>
            </w:pPr>
            <w:r>
              <w:t xml:space="preserve">Frontend / UI</w:t>
            </w:r>
          </w:p>
        </w:tc>
        <w:tc>
          <w:tcPr>
            <w:tcW w:w="3008" w:type="dxa"/>
            <w:shd w:val="clear" w:color="auto" w:fill="FFFFFF"/>
          </w:tcPr>
          <w:p>
            <w:pPr>
              <w:pStyle w:val="TableCellText"/>
            </w:pPr>
            <w:r>
              <w:t xml:space="preserve">React 18</w:t>
            </w:r>
          </w:p>
        </w:tc>
        <w:tc>
          <w:tcPr>
            <w:tcW w:w="3008" w:type="dxa"/>
            <w:shd w:val="clear" w:color="auto" w:fill="FFFFFF"/>
          </w:tcPr>
          <w:p>
            <w:pPr>
              <w:pStyle w:val="TableCellText"/>
            </w:pPr>
            <w:r>
              <w:t xml:space="preserve">Bibliothèque de composants pour l'interface utilisateur</w:t>
            </w:r>
          </w:p>
        </w:tc>
      </w:tr>
      <w:tr>
        <w:tc>
          <w:tcPr>
            <w:tcW w:w="3008" w:type="dxa"/>
            <w:shd w:val="clear" w:color="auto" w:fill="F2F5FA"/>
          </w:tcPr>
          <w:p>
            <w:pPr>
              <w:pStyle w:val="TableCellText"/>
            </w:pPr>
            <w:r>
              <w:t xml:space="preserve">Liaison Front-Back</w:t>
            </w:r>
          </w:p>
        </w:tc>
        <w:tc>
          <w:tcPr>
            <w:tcW w:w="3008" w:type="dxa"/>
            <w:shd w:val="clear" w:color="auto" w:fill="F2F5FA"/>
          </w:tcPr>
          <w:p>
            <w:pPr>
              <w:pStyle w:val="TableCellText"/>
            </w:pPr>
            <w:r>
              <w:t xml:space="preserve">Inertia.js 2</w:t>
            </w:r>
          </w:p>
        </w:tc>
        <w:tc>
          <w:tcPr>
            <w:tcW w:w="3008" w:type="dxa"/>
            <w:shd w:val="clear" w:color="auto" w:fill="F2F5FA"/>
          </w:tcPr>
          <w:p>
            <w:pPr>
              <w:pStyle w:val="TableCellText"/>
            </w:pPr>
            <w:r>
              <w:t xml:space="preserve">Pont SPA sans API REST classique — "monolithe moderne"</w:t>
            </w:r>
          </w:p>
        </w:tc>
      </w:tr>
      <w:tr>
        <w:tc>
          <w:tcPr>
            <w:tcW w:w="3008" w:type="dxa"/>
            <w:shd w:val="clear" w:color="auto" w:fill="FFFFFF"/>
          </w:tcPr>
          <w:p>
            <w:pPr>
              <w:pStyle w:val="TableCellText"/>
            </w:pPr>
            <w:r>
              <w:t xml:space="preserve">Build tool</w:t>
            </w:r>
          </w:p>
        </w:tc>
        <w:tc>
          <w:tcPr>
            <w:tcW w:w="3008" w:type="dxa"/>
            <w:shd w:val="clear" w:color="auto" w:fill="FFFFFF"/>
          </w:tcPr>
          <w:p>
            <w:pPr>
              <w:pStyle w:val="TableCellText"/>
            </w:pPr>
            <w:r>
              <w:t xml:space="preserve">Vite 7</w:t>
            </w:r>
          </w:p>
        </w:tc>
        <w:tc>
          <w:tcPr>
            <w:tcW w:w="3008" w:type="dxa"/>
            <w:shd w:val="clear" w:color="auto" w:fill="FFFFFF"/>
          </w:tcPr>
          <w:p>
            <w:pPr>
              <w:pStyle w:val="TableCellText"/>
            </w:pPr>
            <w:r>
              <w:t xml:space="preserve">Bundler front-end, HMR en développement, build optimisé en production</w:t>
            </w:r>
          </w:p>
        </w:tc>
      </w:tr>
      <w:tr>
        <w:tc>
          <w:tcPr>
            <w:tcW w:w="3008" w:type="dxa"/>
            <w:shd w:val="clear" w:color="auto" w:fill="F2F5FA"/>
          </w:tcPr>
          <w:p>
            <w:pPr>
              <w:pStyle w:val="TableCellText"/>
            </w:pPr>
            <w:r>
              <w:t xml:space="preserve">Styling</w:t>
            </w:r>
          </w:p>
        </w:tc>
        <w:tc>
          <w:tcPr>
            <w:tcW w:w="3008" w:type="dxa"/>
            <w:shd w:val="clear" w:color="auto" w:fill="F2F5FA"/>
          </w:tcPr>
          <w:p>
            <w:pPr>
              <w:pStyle w:val="TableCellText"/>
            </w:pPr>
            <w:r>
              <w:t xml:space="preserve">Tailwind CSS 3</w:t>
            </w:r>
          </w:p>
        </w:tc>
        <w:tc>
          <w:tcPr>
            <w:tcW w:w="3008" w:type="dxa"/>
            <w:shd w:val="clear" w:color="auto" w:fill="F2F5FA"/>
          </w:tcPr>
          <w:p>
            <w:pPr>
              <w:pStyle w:val="TableCellText"/>
            </w:pPr>
            <w:r>
              <w:t xml:space="preserve">Framework CSS utility-first, design responsive</w:t>
            </w:r>
          </w:p>
        </w:tc>
      </w:tr>
      <w:tr>
        <w:tc>
          <w:tcPr>
            <w:tcW w:w="3008" w:type="dxa"/>
            <w:shd w:val="clear" w:color="auto" w:fill="FFFFFF"/>
          </w:tcPr>
          <w:p>
            <w:pPr>
              <w:pStyle w:val="TableCellText"/>
            </w:pPr>
            <w:r>
              <w:t xml:space="preserve">Base de données</w:t>
            </w:r>
          </w:p>
        </w:tc>
        <w:tc>
          <w:tcPr>
            <w:tcW w:w="3008" w:type="dxa"/>
            <w:shd w:val="clear" w:color="auto" w:fill="FFFFFF"/>
          </w:tcPr>
          <w:p>
            <w:pPr>
              <w:pStyle w:val="TableCellText"/>
            </w:pPr>
            <w:r>
              <w:t xml:space="preserve">PostgreSQL (Supabase, cloud)</w:t>
            </w:r>
          </w:p>
        </w:tc>
        <w:tc>
          <w:tcPr>
            <w:tcW w:w="3008" w:type="dxa"/>
            <w:shd w:val="clear" w:color="auto" w:fill="FFFFFF"/>
          </w:tcPr>
          <w:p>
            <w:pPr>
              <w:pStyle w:val="TableCellText"/>
            </w:pPr>
            <w:r>
              <w:t xml:space="preserve">Stockage relationnel principal, hébergé et managé</w:t>
            </w:r>
          </w:p>
        </w:tc>
      </w:tr>
      <w:tr>
        <w:tc>
          <w:tcPr>
            <w:tcW w:w="3008" w:type="dxa"/>
            <w:shd w:val="clear" w:color="auto" w:fill="F2F5FA"/>
          </w:tcPr>
          <w:p>
            <w:pPr>
              <w:pStyle w:val="TableCellText"/>
            </w:pPr>
            <w:r>
              <w:t xml:space="preserve">Cache / Sessions / Queues</w:t>
            </w:r>
          </w:p>
        </w:tc>
        <w:tc>
          <w:tcPr>
            <w:tcW w:w="3008" w:type="dxa"/>
            <w:shd w:val="clear" w:color="auto" w:fill="F2F5FA"/>
          </w:tcPr>
          <w:p>
            <w:pPr>
              <w:pStyle w:val="TableCellText"/>
            </w:pPr>
            <w:r>
              <w:t xml:space="preserve">Redis (Upstash, cloud)</w:t>
            </w:r>
          </w:p>
        </w:tc>
        <w:tc>
          <w:tcPr>
            <w:tcW w:w="3008" w:type="dxa"/>
            <w:shd w:val="clear" w:color="auto" w:fill="F2F5FA"/>
          </w:tcPr>
          <w:p>
            <w:pPr>
              <w:pStyle w:val="TableCellText"/>
            </w:pPr>
            <w:r>
              <w:t xml:space="preserve">Cache applicatif, files d'attente, verrous, sessions</w:t>
            </w:r>
          </w:p>
        </w:tc>
      </w:tr>
      <w:tr>
        <w:tc>
          <w:tcPr>
            <w:tcW w:w="3008" w:type="dxa"/>
            <w:shd w:val="clear" w:color="auto" w:fill="FFFFFF"/>
          </w:tcPr>
          <w:p>
            <w:pPr>
              <w:pStyle w:val="TableCellText"/>
            </w:pPr>
            <w:r>
              <w:t xml:space="preserve">Temps réel</w:t>
            </w:r>
          </w:p>
        </w:tc>
        <w:tc>
          <w:tcPr>
            <w:tcW w:w="3008" w:type="dxa"/>
            <w:shd w:val="clear" w:color="auto" w:fill="FFFFFF"/>
          </w:tcPr>
          <w:p>
            <w:pPr>
              <w:pStyle w:val="TableCellText"/>
            </w:pPr>
            <w:r>
              <w:t xml:space="preserve">Laravel Reverb (WebSocket)</w:t>
            </w:r>
          </w:p>
        </w:tc>
        <w:tc>
          <w:tcPr>
            <w:tcW w:w="3008" w:type="dxa"/>
            <w:shd w:val="clear" w:color="auto" w:fill="FFFFFF"/>
          </w:tcPr>
          <w:p>
            <w:pPr>
              <w:pStyle w:val="TableCellText"/>
            </w:pPr>
            <w:r>
              <w:t xml:space="preserve">Serveur WebSocket natif pour notifications, tracking GPS live, chat</w:t>
            </w:r>
          </w:p>
        </w:tc>
      </w:tr>
      <w:tr>
        <w:tc>
          <w:tcPr>
            <w:tcW w:w="3008" w:type="dxa"/>
            <w:shd w:val="clear" w:color="auto" w:fill="F2F5FA"/>
          </w:tcPr>
          <w:p>
            <w:pPr>
              <w:pStyle w:val="TableCellText"/>
            </w:pPr>
            <w:r>
              <w:t xml:space="preserve">Client WebSocket</w:t>
            </w:r>
          </w:p>
        </w:tc>
        <w:tc>
          <w:tcPr>
            <w:tcW w:w="3008" w:type="dxa"/>
            <w:shd w:val="clear" w:color="auto" w:fill="F2F5FA"/>
          </w:tcPr>
          <w:p>
            <w:pPr>
              <w:pStyle w:val="TableCellText"/>
            </w:pPr>
            <w:r>
              <w:t xml:space="preserve">Laravel Echo + Pusher-js (protocole)</w:t>
            </w:r>
          </w:p>
        </w:tc>
        <w:tc>
          <w:tcPr>
            <w:tcW w:w="3008" w:type="dxa"/>
            <w:shd w:val="clear" w:color="auto" w:fill="F2F5FA"/>
          </w:tcPr>
          <w:p>
            <w:pPr>
              <w:pStyle w:val="TableCellText"/>
            </w:pPr>
            <w:r>
              <w:t xml:space="preserve">Abonnement aux canaux temps réel côté React</w:t>
            </w:r>
          </w:p>
        </w:tc>
      </w:tr>
      <w:tr>
        <w:tc>
          <w:tcPr>
            <w:tcW w:w="3008" w:type="dxa"/>
            <w:shd w:val="clear" w:color="auto" w:fill="FFFFFF"/>
          </w:tcPr>
          <w:p>
            <w:pPr>
              <w:pStyle w:val="TableCellText"/>
            </w:pPr>
            <w:r>
              <w:t xml:space="preserve">Paiement</w:t>
            </w:r>
          </w:p>
        </w:tc>
        <w:tc>
          <w:tcPr>
            <w:tcW w:w="3008" w:type="dxa"/>
            <w:shd w:val="clear" w:color="auto" w:fill="FFFFFF"/>
          </w:tcPr>
          <w:p>
            <w:pPr>
              <w:pStyle w:val="TableCellText"/>
            </w:pPr>
            <w:r>
              <w:t xml:space="preserve">KKiaPay</w:t>
            </w:r>
          </w:p>
        </w:tc>
        <w:tc>
          <w:tcPr>
            <w:tcW w:w="3008" w:type="dxa"/>
            <w:shd w:val="clear" w:color="auto" w:fill="FFFFFF"/>
          </w:tcPr>
          <w:p>
            <w:pPr>
              <w:pStyle w:val="TableCellText"/>
            </w:pPr>
            <w:r>
              <w:t xml:space="preserve">Passerelle de paiement Mobile Money (TMoney, Flooz) et carte</w:t>
            </w:r>
          </w:p>
        </w:tc>
      </w:tr>
      <w:tr>
        <w:tc>
          <w:tcPr>
            <w:tcW w:w="3008" w:type="dxa"/>
            <w:shd w:val="clear" w:color="auto" w:fill="F2F5FA"/>
          </w:tcPr>
          <w:p>
            <w:pPr>
              <w:pStyle w:val="TableCellText"/>
            </w:pPr>
            <w:r>
              <w:t xml:space="preserve">Cartographie</w:t>
            </w:r>
          </w:p>
        </w:tc>
        <w:tc>
          <w:tcPr>
            <w:tcW w:w="3008" w:type="dxa"/>
            <w:shd w:val="clear" w:color="auto" w:fill="F2F5FA"/>
          </w:tcPr>
          <w:p>
            <w:pPr>
              <w:pStyle w:val="TableCellText"/>
            </w:pPr>
            <w:r>
              <w:t xml:space="preserve">Google Maps API (@vis.gl/react-google-maps)</w:t>
            </w:r>
          </w:p>
        </w:tc>
        <w:tc>
          <w:tcPr>
            <w:tcW w:w="3008" w:type="dxa"/>
            <w:shd w:val="clear" w:color="auto" w:fill="F2F5FA"/>
          </w:tcPr>
          <w:p>
            <w:pPr>
              <w:pStyle w:val="TableCellText"/>
            </w:pPr>
            <w:r>
              <w:t xml:space="preserve">Suivi de livraison en temps réel, calcul d'itinéraires</w:t>
            </w:r>
          </w:p>
        </w:tc>
      </w:tr>
      <w:tr>
        <w:tc>
          <w:tcPr>
            <w:tcW w:w="3008" w:type="dxa"/>
            <w:shd w:val="clear" w:color="auto" w:fill="FFFFFF"/>
          </w:tcPr>
          <w:p>
            <w:pPr>
              <w:pStyle w:val="TableCellText"/>
            </w:pPr>
            <w:r>
              <w:t xml:space="preserve">Cartographie (complément)</w:t>
            </w:r>
          </w:p>
        </w:tc>
        <w:tc>
          <w:tcPr>
            <w:tcW w:w="3008" w:type="dxa"/>
            <w:shd w:val="clear" w:color="auto" w:fill="FFFFFF"/>
          </w:tcPr>
          <w:p>
            <w:pPr>
              <w:pStyle w:val="TableCellText"/>
            </w:pPr>
            <w:r>
              <w:t xml:space="preserve">Leaflet + Leaflet Routing Machine</w:t>
            </w:r>
          </w:p>
        </w:tc>
        <w:tc>
          <w:tcPr>
            <w:tcW w:w="3008" w:type="dxa"/>
            <w:shd w:val="clear" w:color="auto" w:fill="FFFFFF"/>
          </w:tcPr>
          <w:p>
            <w:pPr>
              <w:pStyle w:val="TableCellText"/>
            </w:pPr>
            <w:r>
              <w:t xml:space="preserve">Cartes interactives et géocodage pour certaines vues</w:t>
            </w:r>
          </w:p>
        </w:tc>
      </w:tr>
      <w:tr>
        <w:tc>
          <w:tcPr>
            <w:tcW w:w="3008" w:type="dxa"/>
            <w:shd w:val="clear" w:color="auto" w:fill="F2F5FA"/>
          </w:tcPr>
          <w:p>
            <w:pPr>
              <w:pStyle w:val="TableCellText"/>
            </w:pPr>
            <w:r>
              <w:t xml:space="preserve">Stockage fichiers</w:t>
            </w:r>
          </w:p>
        </w:tc>
        <w:tc>
          <w:tcPr>
            <w:tcW w:w="3008" w:type="dxa"/>
            <w:shd w:val="clear" w:color="auto" w:fill="F2F5FA"/>
          </w:tcPr>
          <w:p>
            <w:pPr>
              <w:pStyle w:val="TableCellText"/>
            </w:pPr>
            <w:r>
              <w:t xml:space="preserve">AWS S3 (compatible)</w:t>
            </w:r>
          </w:p>
        </w:tc>
        <w:tc>
          <w:tcPr>
            <w:tcW w:w="3008" w:type="dxa"/>
            <w:shd w:val="clear" w:color="auto" w:fill="F2F5FA"/>
          </w:tcPr>
          <w:p>
            <w:pPr>
              <w:pStyle w:val="TableCellText"/>
            </w:pPr>
            <w:r>
              <w:t xml:space="preserve">Stockage des images produits, documents KYC, avatars</w:t>
            </w:r>
          </w:p>
        </w:tc>
      </w:tr>
      <w:tr>
        <w:tc>
          <w:tcPr>
            <w:tcW w:w="3008" w:type="dxa"/>
            <w:shd w:val="clear" w:color="auto" w:fill="FFFFFF"/>
          </w:tcPr>
          <w:p>
            <w:pPr>
              <w:pStyle w:val="TableCellText"/>
            </w:pPr>
            <w:r>
              <w:t xml:space="preserve">Monitoring / Erreurs</w:t>
            </w:r>
          </w:p>
        </w:tc>
        <w:tc>
          <w:tcPr>
            <w:tcW w:w="3008" w:type="dxa"/>
            <w:shd w:val="clear" w:color="auto" w:fill="FFFFFF"/>
          </w:tcPr>
          <w:p>
            <w:pPr>
              <w:pStyle w:val="TableCellText"/>
            </w:pPr>
            <w:r>
              <w:t xml:space="preserve">Sentry.io</w:t>
            </w:r>
          </w:p>
        </w:tc>
        <w:tc>
          <w:tcPr>
            <w:tcW w:w="3008" w:type="dxa"/>
            <w:shd w:val="clear" w:color="auto" w:fill="FFFFFF"/>
          </w:tcPr>
          <w:p>
            <w:pPr>
              <w:pStyle w:val="TableCellText"/>
            </w:pPr>
            <w:r>
              <w:t xml:space="preserve">Suivi des erreurs applicatives et performance (APM)</w:t>
            </w:r>
          </w:p>
        </w:tc>
      </w:tr>
      <w:tr>
        <w:tc>
          <w:tcPr>
            <w:tcW w:w="3008" w:type="dxa"/>
            <w:shd w:val="clear" w:color="auto" w:fill="F2F5FA"/>
          </w:tcPr>
          <w:p>
            <w:pPr>
              <w:pStyle w:val="TableCellText"/>
            </w:pPr>
            <w:r>
              <w:t xml:space="preserve">PWA</w:t>
            </w:r>
          </w:p>
        </w:tc>
        <w:tc>
          <w:tcPr>
            <w:tcW w:w="3008" w:type="dxa"/>
            <w:shd w:val="clear" w:color="auto" w:fill="F2F5FA"/>
          </w:tcPr>
          <w:p>
            <w:pPr>
              <w:pStyle w:val="TableCellText"/>
            </w:pPr>
            <w:r>
              <w:t xml:space="preserve">Web App Manifest + Service Worker</w:t>
            </w:r>
          </w:p>
        </w:tc>
        <w:tc>
          <w:tcPr>
            <w:tcW w:w="3008" w:type="dxa"/>
            <w:shd w:val="clear" w:color="auto" w:fill="F2F5FA"/>
          </w:tcPr>
          <w:p>
            <w:pPr>
              <w:pStyle w:val="TableCellText"/>
            </w:pPr>
            <w:r>
              <w:t xml:space="preserve">Installation sur écran d'accueil, cache offline, résilience réseau</w:t>
            </w:r>
          </w:p>
        </w:tc>
      </w:tr>
      <w:tr>
        <w:tc>
          <w:tcPr>
            <w:tcW w:w="3008" w:type="dxa"/>
            <w:shd w:val="clear" w:color="auto" w:fill="FFFFFF"/>
          </w:tcPr>
          <w:p>
            <w:pPr>
              <w:pStyle w:val="TableCellText"/>
            </w:pPr>
            <w:r>
              <w:t xml:space="preserve">Génération PDF</w:t>
            </w:r>
          </w:p>
        </w:tc>
        <w:tc>
          <w:tcPr>
            <w:tcW w:w="3008" w:type="dxa"/>
            <w:shd w:val="clear" w:color="auto" w:fill="FFFFFF"/>
          </w:tcPr>
          <w:p>
            <w:pPr>
              <w:pStyle w:val="TableCellText"/>
            </w:pPr>
            <w:r>
              <w:t xml:space="preserve">barryvdh/laravel-dompdf</w:t>
            </w:r>
          </w:p>
        </w:tc>
        <w:tc>
          <w:tcPr>
            <w:tcW w:w="3008" w:type="dxa"/>
            <w:shd w:val="clear" w:color="auto" w:fill="FFFFFF"/>
          </w:tcPr>
          <w:p>
            <w:pPr>
              <w:pStyle w:val="TableCellText"/>
            </w:pPr>
            <w:r>
              <w:t xml:space="preserve">Génération de factures / documents PDF</w:t>
            </w:r>
          </w:p>
        </w:tc>
      </w:tr>
      <w:tr>
        <w:tc>
          <w:tcPr>
            <w:tcW w:w="3008" w:type="dxa"/>
            <w:shd w:val="clear" w:color="auto" w:fill="F2F5FA"/>
          </w:tcPr>
          <w:p>
            <w:pPr>
              <w:pStyle w:val="TableCellText"/>
            </w:pPr>
            <w:r>
              <w:t xml:space="preserve">Authentification</w:t>
            </w:r>
          </w:p>
        </w:tc>
        <w:tc>
          <w:tcPr>
            <w:tcW w:w="3008" w:type="dxa"/>
            <w:shd w:val="clear" w:color="auto" w:fill="F2F5FA"/>
          </w:tcPr>
          <w:p>
            <w:pPr>
              <w:pStyle w:val="TableCellText"/>
            </w:pPr>
            <w:r>
              <w:t xml:space="preserve">Laravel Breeze + Sanctum</w:t>
            </w:r>
          </w:p>
        </w:tc>
        <w:tc>
          <w:tcPr>
            <w:tcW w:w="3008" w:type="dxa"/>
            <w:shd w:val="clear" w:color="auto" w:fill="F2F5FA"/>
          </w:tcPr>
          <w:p>
            <w:pPr>
              <w:pStyle w:val="TableCellText"/>
            </w:pPr>
            <w:r>
              <w:t xml:space="preserve">Inscription, connexion, vérification email, sessions/API tokens</w:t>
            </w:r>
          </w:p>
        </w:tc>
      </w:tr>
      <w:tr>
        <w:tc>
          <w:tcPr>
            <w:tcW w:w="3008" w:type="dxa"/>
            <w:shd w:val="clear" w:color="auto" w:fill="FFFFFF"/>
          </w:tcPr>
          <w:p>
            <w:pPr>
              <w:pStyle w:val="TableCellText"/>
            </w:pPr>
            <w:r>
              <w:t xml:space="preserve">Animations UI</w:t>
            </w:r>
          </w:p>
        </w:tc>
        <w:tc>
          <w:tcPr>
            <w:tcW w:w="3008" w:type="dxa"/>
            <w:shd w:val="clear" w:color="auto" w:fill="FFFFFF"/>
          </w:tcPr>
          <w:p>
            <w:pPr>
              <w:pStyle w:val="TableCellText"/>
            </w:pPr>
            <w:r>
              <w:t xml:space="preserve">Framer Motion</w:t>
            </w:r>
          </w:p>
        </w:tc>
        <w:tc>
          <w:tcPr>
            <w:tcW w:w="3008" w:type="dxa"/>
            <w:shd w:val="clear" w:color="auto" w:fill="FFFFFF"/>
          </w:tcPr>
          <w:p>
            <w:pPr>
              <w:pStyle w:val="TableCellText"/>
            </w:pPr>
            <w:r>
              <w:t xml:space="preserve">Transitions et animations d'interface</w:t>
            </w:r>
          </w:p>
        </w:tc>
      </w:tr>
      <w:tr>
        <w:tc>
          <w:tcPr>
            <w:tcW w:w="3008" w:type="dxa"/>
            <w:shd w:val="clear" w:color="auto" w:fill="F2F5FA"/>
          </w:tcPr>
          <w:p>
            <w:pPr>
              <w:pStyle w:val="TableCellText"/>
            </w:pPr>
            <w:r>
              <w:t xml:space="preserve">Data visualisation</w:t>
            </w:r>
          </w:p>
        </w:tc>
        <w:tc>
          <w:tcPr>
            <w:tcW w:w="3008" w:type="dxa"/>
            <w:shd w:val="clear" w:color="auto" w:fill="F2F5FA"/>
          </w:tcPr>
          <w:p>
            <w:pPr>
              <w:pStyle w:val="TableCellText"/>
            </w:pPr>
            <w:r>
              <w:t xml:space="preserve">Recharts</w:t>
            </w:r>
          </w:p>
        </w:tc>
        <w:tc>
          <w:tcPr>
            <w:tcW w:w="3008" w:type="dxa"/>
            <w:shd w:val="clear" w:color="auto" w:fill="F2F5FA"/>
          </w:tcPr>
          <w:p>
            <w:pPr>
              <w:pStyle w:val="TableCellText"/>
            </w:pPr>
            <w:r>
              <w:t xml:space="preserve">Graphiques du tableau de bord (ventes, statistiques)</w:t>
            </w:r>
          </w:p>
        </w:tc>
      </w:tr>
      <w:tr>
        <w:tc>
          <w:tcPr>
            <w:tcW w:w="3008" w:type="dxa"/>
            <w:shd w:val="clear" w:color="auto" w:fill="FFFFFF"/>
          </w:tcPr>
          <w:p>
            <w:pPr>
              <w:pStyle w:val="TableCellText"/>
            </w:pPr>
            <w:r>
              <w:t xml:space="preserve">Icônes</w:t>
            </w:r>
          </w:p>
        </w:tc>
        <w:tc>
          <w:tcPr>
            <w:tcW w:w="3008" w:type="dxa"/>
            <w:shd w:val="clear" w:color="auto" w:fill="FFFFFF"/>
          </w:tcPr>
          <w:p>
            <w:pPr>
              <w:pStyle w:val="TableCellText"/>
            </w:pPr>
            <w:r>
              <w:t xml:space="preserve">Lucide React</w:t>
            </w:r>
          </w:p>
        </w:tc>
        <w:tc>
          <w:tcPr>
            <w:tcW w:w="3008" w:type="dxa"/>
            <w:shd w:val="clear" w:color="auto" w:fill="FFFFFF"/>
          </w:tcPr>
          <w:p>
            <w:pPr>
              <w:pStyle w:val="TableCellText"/>
            </w:pPr>
            <w:r>
              <w:t xml:space="preserve">Bibliothèque d'icônes SVG</w:t>
            </w:r>
          </w:p>
        </w:tc>
      </w:tr>
      <w:tr>
        <w:tc>
          <w:tcPr>
            <w:tcW w:w="3008" w:type="dxa"/>
            <w:shd w:val="clear" w:color="auto" w:fill="F2F5FA"/>
          </w:tcPr>
          <w:p>
            <w:pPr>
              <w:pStyle w:val="TableCellText"/>
            </w:pPr>
            <w:r>
              <w:t xml:space="preserve">Qualité de code</w:t>
            </w:r>
          </w:p>
        </w:tc>
        <w:tc>
          <w:tcPr>
            <w:tcW w:w="3008" w:type="dxa"/>
            <w:shd w:val="clear" w:color="auto" w:fill="F2F5FA"/>
          </w:tcPr>
          <w:p>
            <w:pPr>
              <w:pStyle w:val="TableCellText"/>
            </w:pPr>
            <w:r>
              <w:t xml:space="preserve">Laravel Pint, PHPUnit</w:t>
            </w:r>
          </w:p>
        </w:tc>
        <w:tc>
          <w:tcPr>
            <w:tcW w:w="3008" w:type="dxa"/>
            <w:shd w:val="clear" w:color="auto" w:fill="F2F5FA"/>
          </w:tcPr>
          <w:p>
            <w:pPr>
              <w:pStyle w:val="TableCellText"/>
            </w:pPr>
            <w:r>
              <w:t xml:space="preserve">Formatage automatique PHP, tests unitaires/fonctionnels</w:t>
            </w:r>
          </w:p>
        </w:tc>
      </w:tr>
    </w:tbl>
    <w:p>
      <w:pPr>
        <w:pStyle w:val="BodyText"/>
      </w:pPr>
    </w:p>
    <w:p>
      <w:r>
        <w:br w:type="page"/>
      </w:r>
    </w:p>
    <w:p>
      <w:pPr>
        <w:pStyle w:val="Heading1"/>
      </w:pPr>
      <w:r>
        <w:t xml:space="preserve">3. Architecture globale</w:t>
      </w:r>
    </w:p>
    <w:p>
      <w:pPr>
        <w:pStyle w:val="Heading2"/>
      </w:pPr>
      <w:r>
        <w:t xml:space="preserve">3.1 Le monolithe moderne : Laravel + Inertia.js + React</w:t>
      </w:r>
    </w:p>
    <w:p>
      <w:pPr>
        <w:pStyle w:val="BodyText"/>
      </w:pPr>
      <w:r>
        <w:t xml:space="preserve">Plutôt qu'une architecture découplée classique (API REST séparée + SPA React autonome), qui impose une double maintenance des contrats de données, des soucis de CORS et deux déploiements distincts, LoméShop adopte le modèle du « monolithe moderne » porté par Inertia.js.</w:t>
      </w:r>
    </w:p>
    <w:p>
      <w:pPr>
        <w:pStyle w:val="BodyText"/>
      </w:pPr>
      <w:r>
        <w:t xml:space="preserve">Le principe : les contrôleurs Laravel renvoient directement des « pages » React avec leurs props (données), sans passer par la sérialisation JSON d'une API REST classique ni par la gestion manuelle du routing côté client. Inertia.js orchestre l'échange de façon transparente.</w:t>
      </w:r>
    </w:p>
    <w:p>
      <w:pPr>
        <w:pStyle w:val="ListParagraph"/>
        <w:numPr>
          <w:ilvl w:val="0"/>
          <w:numId w:val="1"/>
        </w:numPr>
      </w:pPr>
      <w:r>
        <w:t xml:space="preserve">Élimination de la couche API intermédiaire : pas d'endpoints REST à maintenir en parallèle des pages, pas de double validation.</w:t>
      </w:r>
    </w:p>
    <w:p>
      <w:pPr>
        <w:pStyle w:val="ListParagraph"/>
        <w:numPr>
          <w:ilvl w:val="0"/>
          <w:numId w:val="1"/>
        </w:numPr>
      </w:pPr>
      <w:r>
        <w:t xml:space="preserve">Navigation SPA fluide : changements de page sans rechargement complet, tout en gardant le routing et les sessions gérés côté serveur par Laravel.</w:t>
      </w:r>
    </w:p>
    <w:p>
      <w:pPr>
        <w:pStyle w:val="ListParagraph"/>
        <w:numPr>
          <w:ilvl w:val="0"/>
          <w:numId w:val="1"/>
        </w:numPr>
      </w:pPr>
      <w:r>
        <w:t xml:space="preserve">Sécurité renforcée par défaut : CSRF, sessions HTTP-only, et middlewares Laravel s'appliquent nativement à chaque page, sans réimplémentation côté client.</w:t>
      </w:r>
    </w:p>
    <w:p>
      <w:pPr>
        <w:pStyle w:val="Heading2"/>
      </w:pPr>
      <w:r>
        <w:t xml:space="preserve">3.2 Schéma d'architecture</w:t>
      </w:r>
    </w:p>
    <w:p>
      <w:pPr>
        <w:pStyle w:val="BodyText"/>
      </w:pPr>
      <w:r>
        <w:t xml:space="preserve">Client (navigateur / PWA installée) : React 18 comme couche de rendu, Inertia.js comme client de liaison, Echo/Reverb comme client WebSocket pour le temps réel, Service Worker pour le cache offline.</w:t>
      </w:r>
    </w:p>
    <w:p>
      <w:pPr>
        <w:pStyle w:val="BodyText"/>
      </w:pPr>
      <w:r>
        <w:t xml:space="preserve">Serveur (Laravel 12) : routing, contrôleurs, Eloquent ORM, Reverb comme serveur WebSocket, files d'attente Redis pour les tâches asynchrones (notifications, emails).</w:t>
      </w:r>
    </w:p>
    <w:p>
      <w:pPr>
        <w:pStyle w:val="BodyText"/>
      </w:pPr>
      <w:r>
        <w:t xml:space="preserve">Services externes : PostgreSQL managé (Supabase), Redis managé (Upstash), stockage objet S3-compatible, passerelle de paiement KKiaPay, API Google Maps, Sentry pour le monitoring.</w:t>
      </w:r>
    </w:p>
    <w:p>
      <w:pPr>
        <w:pStyle w:val="Heading2"/>
      </w:pPr>
      <w:r>
        <w:t xml:space="preserve">3.3 Principes de conception</w:t>
      </w:r>
    </w:p>
    <w:p>
      <w:pPr>
        <w:pStyle w:val="ListParagraph"/>
        <w:numPr>
          <w:ilvl w:val="0"/>
          <w:numId w:val="1"/>
        </w:numPr>
      </w:pPr>
      <w:r>
        <w:t xml:space="preserve">MVC : Modèles Eloquent (app/Models), Contrôleurs (app/Http/Controllers), Vues = composants React servis via Inertia (resources/js/Pages).</w:t>
      </w:r>
    </w:p>
    <w:p>
      <w:pPr>
        <w:pStyle w:val="ListParagraph"/>
        <w:numPr>
          <w:ilvl w:val="0"/>
          <w:numId w:val="1"/>
        </w:numPr>
      </w:pPr>
      <w:r>
        <w:t xml:space="preserve">Séparation par rôle : contrôleurs et pages dédiés par profil (Seller/, Driver/, Admin/) avec middlewares de vérification de rôle.</w:t>
      </w:r>
    </w:p>
    <w:p>
      <w:pPr>
        <w:pStyle w:val="ListParagraph"/>
        <w:numPr>
          <w:ilvl w:val="0"/>
          <w:numId w:val="1"/>
        </w:numPr>
      </w:pPr>
      <w:r>
        <w:t xml:space="preserve">Événements &amp; Listeners : les actions métier critiques (nouvelle commande, position GPS mise à jour, message envoyé) sont diffusées via des Events Laravel broadcastés en WebSocket (DriverLocationUpdated, OrderUpdated, OrderAssignedToDriver, MessageSent).</w:t>
      </w:r>
    </w:p>
    <w:p>
      <w:pPr>
        <w:pStyle w:val="ListParagraph"/>
        <w:numPr>
          <w:ilvl w:val="0"/>
          <w:numId w:val="1"/>
        </w:numPr>
      </w:pPr>
      <w:r>
        <w:t xml:space="preserve">Validation systématique côté serveur, y compris pour les données sensibles comme la confirmation de paiement (jamais de confiance aveugle envers le client).</w:t>
      </w:r>
    </w:p>
    <w:p>
      <w:r>
        <w:br w:type="page"/>
      </w:r>
    </w:p>
    <w:p>
      <w:pPr>
        <w:pStyle w:val="Heading1"/>
      </w:pPr>
      <w:r>
        <w:t xml:space="preserve">4. Modélisation des données</w:t>
      </w:r>
    </w:p>
    <w:p>
      <w:pPr>
        <w:pStyle w:val="BodyText"/>
      </w:pPr>
      <w:r>
        <w:t xml:space="preserve">Le schéma relationnel s'articule autour d'entités centrales : utilisateurs multi-rôles, boutiques, produits, commandes, transactions, conversations/messages, avis, quartiers (neighborhoods) pour la géolocalisation locale, et journaux de livreurs.</w:t>
      </w:r>
    </w:p>
    <w:p>
      <w:pPr>
        <w:pStyle w:val="Heading2"/>
      </w:pPr>
      <w:r>
        <w:t xml:space="preserve">4.1 Entités principales</w:t>
      </w:r>
    </w:p>
    <w:tbl>
      <w:tblPr>
        <w:tblStyle w:val="TableGrid"/>
        <w:tblW w:w="9026"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513"/>
        <w:gridCol w:w="4513"/>
      </w:tblGrid>
      <w:tr>
        <w:tc>
          <w:tcPr>
            <w:tcW w:w="4513" w:type="dxa"/>
            <w:shd w:val="clear" w:color="auto" w:fill="2F5496"/>
            <w:vAlign w:val="center"/>
          </w:tcPr>
          <w:p>
            <w:pPr>
              <w:pStyle w:val="TableHeaderText"/>
            </w:pPr>
            <w:r>
              <w:rPr>
                <w:b/>
                <w:color w:val="FFFFFF"/>
              </w:rPr>
              <w:t xml:space="preserve">Table</w:t>
            </w:r>
          </w:p>
        </w:tc>
        <w:tc>
          <w:tcPr>
            <w:tcW w:w="4513" w:type="dxa"/>
            <w:shd w:val="clear" w:color="auto" w:fill="2F5496"/>
            <w:vAlign w:val="center"/>
          </w:tcPr>
          <w:p>
            <w:pPr>
              <w:pStyle w:val="TableHeaderText"/>
            </w:pPr>
            <w:r>
              <w:rPr>
                <w:b/>
                <w:color w:val="FFFFFF"/>
              </w:rPr>
              <w:t xml:space="preserve">Rôle</w:t>
            </w:r>
          </w:p>
        </w:tc>
      </w:tr>
      <w:tr>
        <w:tc>
          <w:tcPr>
            <w:tcW w:w="4513" w:type="dxa"/>
            <w:shd w:val="clear" w:color="auto" w:fill="F2F5FA"/>
          </w:tcPr>
          <w:p>
            <w:pPr>
              <w:pStyle w:val="TableCellText"/>
            </w:pPr>
            <w:r>
              <w:t xml:space="preserve">users</w:t>
            </w:r>
          </w:p>
        </w:tc>
        <w:tc>
          <w:tcPr>
            <w:tcW w:w="4513" w:type="dxa"/>
            <w:shd w:val="clear" w:color="auto" w:fill="F2F5FA"/>
          </w:tcPr>
          <w:p>
            <w:pPr>
              <w:pStyle w:val="TableCellText"/>
            </w:pPr>
            <w:r>
              <w:t xml:space="preserve">Identité multi-rôles (client, seller, driver, admin), position GPS, infos véhicule/permis pour les livreurs</w:t>
            </w:r>
          </w:p>
        </w:tc>
      </w:tr>
      <w:tr>
        <w:tc>
          <w:tcPr>
            <w:tcW w:w="4513" w:type="dxa"/>
            <w:shd w:val="clear" w:color="auto" w:fill="FFFFFF"/>
          </w:tcPr>
          <w:p>
            <w:pPr>
              <w:pStyle w:val="TableCellText"/>
            </w:pPr>
            <w:r>
              <w:t xml:space="preserve">shops</w:t>
            </w:r>
          </w:p>
        </w:tc>
        <w:tc>
          <w:tcPr>
            <w:tcW w:w="4513" w:type="dxa"/>
            <w:shd w:val="clear" w:color="auto" w:fill="FFFFFF"/>
          </w:tcPr>
          <w:p>
            <w:pPr>
              <w:pStyle w:val="TableCellText"/>
            </w:pPr>
            <w:r>
              <w:t xml:space="preserve">Boutiques géolocalisées, statut KYC, solde (wallet)</w:t>
            </w:r>
          </w:p>
        </w:tc>
      </w:tr>
      <w:tr>
        <w:tc>
          <w:tcPr>
            <w:tcW w:w="4513" w:type="dxa"/>
            <w:shd w:val="clear" w:color="auto" w:fill="F2F5FA"/>
          </w:tcPr>
          <w:p>
            <w:pPr>
              <w:pStyle w:val="TableCellText"/>
            </w:pPr>
            <w:r>
              <w:t xml:space="preserve">products</w:t>
            </w:r>
          </w:p>
        </w:tc>
        <w:tc>
          <w:tcPr>
            <w:tcW w:w="4513" w:type="dxa"/>
            <w:shd w:val="clear" w:color="auto" w:fill="F2F5FA"/>
          </w:tcPr>
          <w:p>
            <w:pPr>
              <w:pStyle w:val="TableCellText"/>
            </w:pPr>
            <w:r>
              <w:t xml:space="preserve">Catalogue produits, stock, prix, statut</w:t>
            </w:r>
          </w:p>
        </w:tc>
      </w:tr>
      <w:tr>
        <w:tc>
          <w:tcPr>
            <w:tcW w:w="4513" w:type="dxa"/>
            <w:shd w:val="clear" w:color="auto" w:fill="FFFFFF"/>
          </w:tcPr>
          <w:p>
            <w:pPr>
              <w:pStyle w:val="TableCellText"/>
            </w:pPr>
            <w:r>
              <w:t xml:space="preserve">categories</w:t>
            </w:r>
          </w:p>
        </w:tc>
        <w:tc>
          <w:tcPr>
            <w:tcW w:w="4513" w:type="dxa"/>
            <w:shd w:val="clear" w:color="auto" w:fill="FFFFFF"/>
          </w:tcPr>
          <w:p>
            <w:pPr>
              <w:pStyle w:val="TableCellText"/>
            </w:pPr>
            <w:r>
              <w:t xml:space="preserve">Arborescence des catégories produits</w:t>
            </w:r>
          </w:p>
        </w:tc>
      </w:tr>
      <w:tr>
        <w:tc>
          <w:tcPr>
            <w:tcW w:w="4513" w:type="dxa"/>
            <w:shd w:val="clear" w:color="auto" w:fill="F2F5FA"/>
          </w:tcPr>
          <w:p>
            <w:pPr>
              <w:pStyle w:val="TableCellText"/>
            </w:pPr>
            <w:r>
              <w:t xml:space="preserve">orders</w:t>
            </w:r>
          </w:p>
        </w:tc>
        <w:tc>
          <w:tcPr>
            <w:tcW w:w="4513" w:type="dxa"/>
            <w:shd w:val="clear" w:color="auto" w:fill="F2F5FA"/>
          </w:tcPr>
          <w:p>
            <w:pPr>
              <w:pStyle w:val="TableCellText"/>
            </w:pPr>
            <w:r>
              <w:t xml:space="preserve">Commandes : statut du workflow logistique, montants, code de livraison secret, référence de paiement</w:t>
            </w:r>
          </w:p>
        </w:tc>
      </w:tr>
      <w:tr>
        <w:tc>
          <w:tcPr>
            <w:tcW w:w="4513" w:type="dxa"/>
            <w:shd w:val="clear" w:color="auto" w:fill="FFFFFF"/>
          </w:tcPr>
          <w:p>
            <w:pPr>
              <w:pStyle w:val="TableCellText"/>
            </w:pPr>
            <w:r>
              <w:t xml:space="preserve">order_items</w:t>
            </w:r>
          </w:p>
        </w:tc>
        <w:tc>
          <w:tcPr>
            <w:tcW w:w="4513" w:type="dxa"/>
            <w:shd w:val="clear" w:color="auto" w:fill="FFFFFF"/>
          </w:tcPr>
          <w:p>
            <w:pPr>
              <w:pStyle w:val="TableCellText"/>
            </w:pPr>
            <w:r>
              <w:t xml:space="preserve">Lignes de commande</w:t>
            </w:r>
          </w:p>
        </w:tc>
      </w:tr>
      <w:tr>
        <w:tc>
          <w:tcPr>
            <w:tcW w:w="4513" w:type="dxa"/>
            <w:shd w:val="clear" w:color="auto" w:fill="F2F5FA"/>
          </w:tcPr>
          <w:p>
            <w:pPr>
              <w:pStyle w:val="TableCellText"/>
            </w:pPr>
            <w:r>
              <w:t xml:space="preserve">transactions</w:t>
            </w:r>
          </w:p>
        </w:tc>
        <w:tc>
          <w:tcPr>
            <w:tcW w:w="4513" w:type="dxa"/>
            <w:shd w:val="clear" w:color="auto" w:fill="F2F5FA"/>
          </w:tcPr>
          <w:p>
            <w:pPr>
              <w:pStyle w:val="TableCellText"/>
            </w:pPr>
            <w:r>
              <w:t xml:space="preserve">Historique des mouvements financiers</w:t>
            </w:r>
          </w:p>
        </w:tc>
      </w:tr>
      <w:tr>
        <w:tc>
          <w:tcPr>
            <w:tcW w:w="4513" w:type="dxa"/>
            <w:shd w:val="clear" w:color="auto" w:fill="FFFFFF"/>
          </w:tcPr>
          <w:p>
            <w:pPr>
              <w:pStyle w:val="TableCellText"/>
            </w:pPr>
            <w:r>
              <w:t xml:space="preserve">withdrawals</w:t>
            </w:r>
          </w:p>
        </w:tc>
        <w:tc>
          <w:tcPr>
            <w:tcW w:w="4513" w:type="dxa"/>
            <w:shd w:val="clear" w:color="auto" w:fill="FFFFFF"/>
          </w:tcPr>
          <w:p>
            <w:pPr>
              <w:pStyle w:val="TableCellText"/>
            </w:pPr>
            <w:r>
              <w:t xml:space="preserve">Demandes de retrait vendeur vers Mobile Money</w:t>
            </w:r>
          </w:p>
        </w:tc>
      </w:tr>
      <w:tr>
        <w:tc>
          <w:tcPr>
            <w:tcW w:w="4513" w:type="dxa"/>
            <w:shd w:val="clear" w:color="auto" w:fill="F2F5FA"/>
          </w:tcPr>
          <w:p>
            <w:pPr>
              <w:pStyle w:val="TableCellText"/>
            </w:pPr>
            <w:r>
              <w:t xml:space="preserve">conversations / messages</w:t>
            </w:r>
          </w:p>
        </w:tc>
        <w:tc>
          <w:tcPr>
            <w:tcW w:w="4513" w:type="dxa"/>
            <w:shd w:val="clear" w:color="auto" w:fill="F2F5FA"/>
          </w:tcPr>
          <w:p>
            <w:pPr>
              <w:pStyle w:val="TableCellText"/>
            </w:pPr>
            <w:r>
              <w:t xml:space="preserve">Messagerie instantanée client ↔ boutique</w:t>
            </w:r>
          </w:p>
        </w:tc>
      </w:tr>
      <w:tr>
        <w:tc>
          <w:tcPr>
            <w:tcW w:w="4513" w:type="dxa"/>
            <w:shd w:val="clear" w:color="auto" w:fill="FFFFFF"/>
          </w:tcPr>
          <w:p>
            <w:pPr>
              <w:pStyle w:val="TableCellText"/>
            </w:pPr>
            <w:r>
              <w:t xml:space="preserve">reviews</w:t>
            </w:r>
          </w:p>
        </w:tc>
        <w:tc>
          <w:tcPr>
            <w:tcW w:w="4513" w:type="dxa"/>
            <w:shd w:val="clear" w:color="auto" w:fill="FFFFFF"/>
          </w:tcPr>
          <w:p>
            <w:pPr>
              <w:pStyle w:val="TableCellText"/>
            </w:pPr>
            <w:r>
              <w:t xml:space="preserve">Avis et notes sur produits/boutiques</w:t>
            </w:r>
          </w:p>
        </w:tc>
      </w:tr>
      <w:tr>
        <w:tc>
          <w:tcPr>
            <w:tcW w:w="4513" w:type="dxa"/>
            <w:shd w:val="clear" w:color="auto" w:fill="F2F5FA"/>
          </w:tcPr>
          <w:p>
            <w:pPr>
              <w:pStyle w:val="TableCellText"/>
            </w:pPr>
            <w:r>
              <w:t xml:space="preserve">neighborhoods</w:t>
            </w:r>
          </w:p>
        </w:tc>
        <w:tc>
          <w:tcPr>
            <w:tcW w:w="4513" w:type="dxa"/>
            <w:shd w:val="clear" w:color="auto" w:fill="F2F5FA"/>
          </w:tcPr>
          <w:p>
            <w:pPr>
              <w:pStyle w:val="TableCellText"/>
            </w:pPr>
            <w:r>
              <w:t xml:space="preserve">Référentiel des quartiers de Lomé pour l'adressage</w:t>
            </w:r>
          </w:p>
        </w:tc>
      </w:tr>
      <w:tr>
        <w:tc>
          <w:tcPr>
            <w:tcW w:w="4513" w:type="dxa"/>
            <w:shd w:val="clear" w:color="auto" w:fill="FFFFFF"/>
          </w:tcPr>
          <w:p>
            <w:pPr>
              <w:pStyle w:val="TableCellText"/>
            </w:pPr>
            <w:r>
              <w:t xml:space="preserve">driver_logs</w:t>
            </w:r>
          </w:p>
        </w:tc>
        <w:tc>
          <w:tcPr>
            <w:tcW w:w="4513" w:type="dxa"/>
            <w:shd w:val="clear" w:color="auto" w:fill="FFFFFF"/>
          </w:tcPr>
          <w:p>
            <w:pPr>
              <w:pStyle w:val="TableCellText"/>
            </w:pPr>
            <w:r>
              <w:t xml:space="preserve">Historique d'activité des livreurs</w:t>
            </w:r>
          </w:p>
        </w:tc>
      </w:tr>
      <w:tr>
        <w:tc>
          <w:tcPr>
            <w:tcW w:w="4513" w:type="dxa"/>
            <w:shd w:val="clear" w:color="auto" w:fill="F2F5FA"/>
          </w:tcPr>
          <w:p>
            <w:pPr>
              <w:pStyle w:val="TableCellText"/>
            </w:pPr>
            <w:r>
              <w:t xml:space="preserve">stock_movements</w:t>
            </w:r>
          </w:p>
        </w:tc>
        <w:tc>
          <w:tcPr>
            <w:tcW w:w="4513" w:type="dxa"/>
            <w:shd w:val="clear" w:color="auto" w:fill="F2F5FA"/>
          </w:tcPr>
          <w:p>
            <w:pPr>
              <w:pStyle w:val="TableCellText"/>
            </w:pPr>
            <w:r>
              <w:t xml:space="preserve">Traçabilité des mouvements de stock</w:t>
            </w:r>
          </w:p>
        </w:tc>
      </w:tr>
      <w:tr>
        <w:tc>
          <w:tcPr>
            <w:tcW w:w="4513" w:type="dxa"/>
            <w:shd w:val="clear" w:color="auto" w:fill="FFFFFF"/>
          </w:tcPr>
          <w:p>
            <w:pPr>
              <w:pStyle w:val="TableCellText"/>
            </w:pPr>
            <w:r>
              <w:t xml:space="preserve">newsletter_subscribers</w:t>
            </w:r>
          </w:p>
        </w:tc>
        <w:tc>
          <w:tcPr>
            <w:tcW w:w="4513" w:type="dxa"/>
            <w:shd w:val="clear" w:color="auto" w:fill="FFFFFF"/>
          </w:tcPr>
          <w:p>
            <w:pPr>
              <w:pStyle w:val="TableCellText"/>
            </w:pPr>
            <w:r>
              <w:t xml:space="preserve">Abonnés à la newsletter</w:t>
            </w:r>
          </w:p>
        </w:tc>
      </w:tr>
    </w:tbl>
    <w:p>
      <w:pPr>
        <w:pStyle w:val="BodyText"/>
      </w:pPr>
    </w:p>
    <w:p>
      <w:pPr>
        <w:pStyle w:val="Heading2"/>
      </w:pPr>
      <w:r>
        <w:t xml:space="preserve">4.2 Workflow d'une commande</w:t>
      </w:r>
    </w:p>
    <w:p>
      <w:pPr>
        <w:pStyle w:val="BodyText"/>
      </w:pPr>
      <w:r>
        <w:t xml:space="preserve">Statuts successifs : pending → paid → processing → preparing → ready_for_pickup → picked_up → delivered (ou cancelled à tout moment avant livraison). Chaque transition déclenche des notifications temps réel vers les parties concernées.</w:t>
      </w:r>
    </w:p>
    <w:p>
      <w:pPr>
        <w:pStyle w:val="Heading2"/>
      </w:pPr>
      <w:r>
        <w:t xml:space="preserve">4.3 Modèle économique et flux financiers</w:t>
      </w:r>
    </w:p>
    <w:p>
      <w:pPr>
        <w:pStyle w:val="BodyText"/>
      </w:pPr>
      <w:r>
        <w:t xml:space="preserve">Commission plateforme par défaut : 10% du sous-total. Formules :</w:t>
      </w:r>
    </w:p>
    <w:p>
      <w:pPr>
        <w:pStyle w:val="Quote"/>
      </w:pPr>
      <w:r>
        <w:t xml:space="preserve">Montant Client = Sous-total + Frais de livraison</w:t>
      </w:r>
    </w:p>
    <w:p>
      <w:pPr>
        <w:pStyle w:val="Quote"/>
      </w:pPr>
      <w:r>
        <w:t xml:space="preserve">Commission Plateforme = Sous-total × 10%</w:t>
      </w:r>
    </w:p>
    <w:p>
      <w:pPr>
        <w:pStyle w:val="Quote"/>
      </w:pPr>
      <w:r>
        <w:t xml:space="preserve">Net Vendeur = Sous-total − Commission</w:t>
      </w:r>
    </w:p>
    <w:p>
      <w:pPr>
        <w:pStyle w:val="BodyText"/>
      </w:pPr>
      <w:r>
        <w:t xml:space="preserve">Le montant net vendeur est crédité sur le solde (balance) de la boutique après confirmation de la livraison. Le vendeur peut ensuite initier une demande de retrait vers son compte Mobile Money, validée manuellement par un administrateur.</w:t>
      </w:r>
    </w:p>
    <w:p>
      <w:r>
        <w:br w:type="page"/>
      </w:r>
    </w:p>
    <w:p>
      <w:pPr>
        <w:pStyle w:val="Heading1"/>
      </w:pPr>
      <w:r>
        <w:t xml:space="preserve">5. Le temps réel : Laravel Reverb &amp; WebSockets</w:t>
      </w:r>
    </w:p>
    <w:p>
      <w:pPr>
        <w:pStyle w:val="BodyText"/>
      </w:pPr>
      <w:r>
        <w:t xml:space="preserve">Le suivi logistique en direct est l'un des éléments les plus différenciants du projet. Il repose sur Laravel Reverb, serveur WebSocket natif intégré à l'écosystème Laravel — un choix qui élimine la dépendance à un service tiers payant (Pusher) tout en gardant un protocole compatible (Laravel Echo + Pusher-js côté client).</w:t>
      </w:r>
    </w:p>
    <w:p>
      <w:pPr>
        <w:pStyle w:val="Heading2"/>
      </w:pPr>
      <w:r>
        <w:t xml:space="preserve">5.1 Flux de suivi d'une livraison</w:t>
      </w:r>
    </w:p>
    <w:p>
      <w:pPr>
        <w:pStyle w:val="ListParagraph"/>
        <w:numPr>
          <w:ilvl w:val="0"/>
          <w:numId w:val="2"/>
        </w:numPr>
      </w:pPr>
      <w:r>
        <w:t xml:space="preserve">Le livreur active son statut « disponible » sur son tableau de bord ; sa position GPS commence à être transmise en continu.</w:t>
      </w:r>
    </w:p>
    <w:p>
      <w:pPr>
        <w:pStyle w:val="ListParagraph"/>
        <w:numPr>
          <w:ilvl w:val="0"/>
          <w:numId w:val="2"/>
        </w:numPr>
      </w:pPr>
      <w:r>
        <w:t xml:space="preserve">Le client passe commande et paie via KKiaPay.</w:t>
      </w:r>
    </w:p>
    <w:p>
      <w:pPr>
        <w:pStyle w:val="ListParagraph"/>
        <w:numPr>
          <w:ilvl w:val="0"/>
          <w:numId w:val="2"/>
        </w:numPr>
      </w:pPr>
      <w:r>
        <w:t xml:space="preserve">Le serveur notifie les livreurs disponibles à proximité (événement OrderAssignedToDriver après acceptation).</w:t>
      </w:r>
    </w:p>
    <w:p>
      <w:pPr>
        <w:pStyle w:val="ListParagraph"/>
        <w:numPr>
          <w:ilvl w:val="0"/>
          <w:numId w:val="2"/>
        </w:numPr>
      </w:pPr>
      <w:r>
        <w:t xml:space="preserve">Le livreur accepte la course ; le client est notifié en temps réel qu'un livreur est assigné.</w:t>
      </w:r>
    </w:p>
    <w:p>
      <w:pPr>
        <w:pStyle w:val="ListParagraph"/>
        <w:numPr>
          <w:ilvl w:val="0"/>
          <w:numId w:val="2"/>
        </w:numPr>
      </w:pPr>
      <w:r>
        <w:t xml:space="preserve">Pendant toute la course, le livreur envoie sa position GPS (endpoint /api/driver/update-location) ; le serveur diffuse l'événement DriverLocationUpdated via Reverb ; le client voit l'icône du livreur bouger en direct sur la carte, sans rechargement de page.</w:t>
      </w:r>
    </w:p>
    <w:p>
      <w:pPr>
        <w:pStyle w:val="ListParagraph"/>
        <w:numPr>
          <w:ilvl w:val="0"/>
          <w:numId w:val="2"/>
        </w:numPr>
      </w:pPr>
      <w:r>
        <w:t xml:space="preserve">À la remise du colis, le client communique au livreur un code secret à 4 chiffres généré à la commande. Le livreur le saisit pour valider la livraison — ce mécanisme sécurise la remise et évite les litiges.</w:t>
      </w:r>
    </w:p>
    <w:p>
      <w:pPr>
        <w:pStyle w:val="ListParagraph"/>
        <w:numPr>
          <w:ilvl w:val="0"/>
          <w:numId w:val="2"/>
        </w:numPr>
      </w:pPr>
      <w:r>
        <w:t xml:space="preserve">La validation déclenche le transfert des fonds vers le solde du vendeur et notifie le client que sa commande est livrée.</w:t>
      </w:r>
    </w:p>
    <w:p>
      <w:pPr>
        <w:pStyle w:val="Heading2"/>
      </w:pPr>
      <w:r>
        <w:t xml:space="preserve">5.2 Autres usages du temps réel</w:t>
      </w:r>
    </w:p>
    <w:p>
      <w:pPr>
        <w:pStyle w:val="ListParagraph"/>
        <w:numPr>
          <w:ilvl w:val="0"/>
          <w:numId w:val="1"/>
        </w:numPr>
      </w:pPr>
      <w:r>
        <w:t xml:space="preserve">Messagerie instantanée entre client et boutique (événement MessageSent).</w:t>
      </w:r>
    </w:p>
    <w:p>
      <w:pPr>
        <w:pStyle w:val="ListParagraph"/>
        <w:numPr>
          <w:ilvl w:val="0"/>
          <w:numId w:val="1"/>
        </w:numPr>
      </w:pPr>
      <w:r>
        <w:t xml:space="preserve">Mises à jour de statut de commande poussées en direct au tableau de bord vendeur et à l'administration (OrderUpdated).</w:t>
      </w:r>
    </w:p>
    <w:p>
      <w:pPr>
        <w:pStyle w:val="ListParagraph"/>
        <w:numPr>
          <w:ilvl w:val="0"/>
          <w:numId w:val="1"/>
        </w:numPr>
      </w:pPr>
      <w:r>
        <w:t xml:space="preserve">Vue flotte en temps réel côté administrateur (FleetMap) pour visualiser tous les livreurs actifs simultanément.</w:t>
      </w:r>
    </w:p>
    <w:p>
      <w:r>
        <w:br w:type="page"/>
      </w:r>
    </w:p>
    <w:p>
      <w:pPr>
        <w:pStyle w:val="Heading1"/>
      </w:pPr>
      <w:r>
        <w:t xml:space="preserve">6. Géolocalisation et cartographie</w:t>
      </w:r>
    </w:p>
    <w:p>
      <w:pPr>
        <w:pStyle w:val="BodyText"/>
      </w:pPr>
      <w:r>
        <w:t xml:space="preserve">Le problème central adressé : Lomé ne dispose pas d'un système d'adressage postal fiable. La solution combine des points fixes (boutiques géolocalisées lors de leur inscription) avec des coordonnées dynamiques (position GPS live du client et du livreur, capturée via l'API de géolocalisation du navigateur).</w:t>
      </w:r>
    </w:p>
    <w:p>
      <w:pPr>
        <w:pStyle w:val="Heading2"/>
      </w:pPr>
      <w:r>
        <w:t xml:space="preserve">6.1 Google Maps</w:t>
      </w:r>
    </w:p>
    <w:p>
      <w:pPr>
        <w:pStyle w:val="BodyText"/>
      </w:pPr>
      <w:r>
        <w:t xml:space="preserve">Intégré via la bibliothèque @vis.gl/react-google-maps (wrapper React officiel Google). Utilisé pour :</w:t>
      </w:r>
    </w:p>
    <w:p>
      <w:pPr>
        <w:pStyle w:val="ListParagraph"/>
        <w:numPr>
          <w:ilvl w:val="0"/>
          <w:numId w:val="1"/>
        </w:numPr>
      </w:pPr>
      <w:r>
        <w:t xml:space="preserve">L'affichage de la carte de suivi de livraison en temps réel (Tracking.jsx côté client, Driver/Tracking.jsx et Seller/Tracking.jsx côté livreur/vendeur).</w:t>
      </w:r>
    </w:p>
    <w:p>
      <w:pPr>
        <w:pStyle w:val="ListParagraph"/>
        <w:numPr>
          <w:ilvl w:val="0"/>
          <w:numId w:val="1"/>
        </w:numPr>
      </w:pPr>
      <w:r>
        <w:t xml:space="preserve">Le calcul d'itinéraire via l'API DirectionsService, en deux segments : position du livreur → boutique, puis boutique → position du client.</w:t>
      </w:r>
    </w:p>
    <w:p>
      <w:pPr>
        <w:pStyle w:val="ListParagraph"/>
        <w:numPr>
          <w:ilvl w:val="0"/>
          <w:numId w:val="1"/>
        </w:numPr>
      </w:pPr>
      <w:r>
        <w:t xml:space="preserve">La vue flotte administrateur (FleetMap.jsx) qui affiche tous les livreurs actifs sur une carte unique.</w:t>
      </w:r>
    </w:p>
    <w:p>
      <w:pPr>
        <w:pStyle w:val="Heading2"/>
      </w:pPr>
      <w:r>
        <w:t xml:space="preserve">6.2 Leaflet</w:t>
      </w:r>
    </w:p>
    <w:p>
      <w:pPr>
        <w:pStyle w:val="BodyText"/>
      </w:pPr>
      <w:r>
        <w:t xml:space="preserve">Utilisé en complément sur certaines pages (Explore.jsx, MapView.jsx, ShopSetup.jsx) pour l'exploration de boutiques sur carte et le géocodage lors de la configuration d'une boutique (leaflet-control-geocoder, leaflet-routing-machine).</w:t>
      </w:r>
    </w:p>
    <w:p>
      <w:r>
        <w:br w:type="page"/>
      </w:r>
    </w:p>
    <w:p>
      <w:pPr>
        <w:pStyle w:val="Heading1"/>
      </w:pPr>
      <w:r>
        <w:t xml:space="preserve">7. Paiement : KKiaPay et inclusion financière</w:t>
      </w:r>
    </w:p>
    <w:p>
      <w:pPr>
        <w:pStyle w:val="BodyText"/>
      </w:pPr>
      <w:r>
        <w:t xml:space="preserve">Le choix de la passerelle de paiement est stratégique pour le marché ouest-africain : une application de livraison reposant uniquement sur la carte bancaire serait vouée à l'échec dans ce contexte. KKiaPay a été retenu pour sa prise en charge native du Mobile Money local.</w:t>
      </w:r>
    </w:p>
    <w:p>
      <w:pPr>
        <w:pStyle w:val="Heading2"/>
      </w:pPr>
      <w:r>
        <w:t xml:space="preserve">7.1 Moyens de paiement supportés</w:t>
      </w:r>
    </w:p>
    <w:p>
      <w:pPr>
        <w:pStyle w:val="ListParagraph"/>
        <w:numPr>
          <w:ilvl w:val="0"/>
          <w:numId w:val="1"/>
        </w:numPr>
      </w:pPr>
      <w:r>
        <w:t xml:space="preserve">Mobile Money : TMoney et Flooz (opérateurs togolais).</w:t>
      </w:r>
    </w:p>
    <w:p>
      <w:pPr>
        <w:pStyle w:val="ListParagraph"/>
        <w:numPr>
          <w:ilvl w:val="0"/>
          <w:numId w:val="1"/>
        </w:numPr>
      </w:pPr>
      <w:r>
        <w:t xml:space="preserve">Cartes bancaires : Visa / Mastercard, en complément.</w:t>
      </w:r>
    </w:p>
    <w:p>
      <w:pPr>
        <w:pStyle w:val="Heading2"/>
      </w:pPr>
      <w:r>
        <w:t xml:space="preserve">7.2 Sécurité de la confirmation de paiement</w:t>
      </w:r>
    </w:p>
    <w:p>
      <w:pPr>
        <w:pStyle w:val="BodyText"/>
      </w:pPr>
      <w:r>
        <w:t xml:space="preserve">Le point critique implémenté : la confirmation d'un paiement n'est jamais acceptée sur la seule foi du callback client. Le contrôleur CheckoutController effectue une vérification côté serveur auprès de l'API KKiaPay (endpoint sandbox ou production selon l'environnement configuré) avant de marquer une commande comme payée.</w:t>
      </w:r>
    </w:p>
    <w:p>
      <w:pPr>
        <w:pStyle w:val="ListParagraph"/>
        <w:numPr>
          <w:ilvl w:val="0"/>
          <w:numId w:val="1"/>
        </w:numPr>
      </w:pPr>
      <w:r>
        <w:t xml:space="preserve">Vérification systématique server-to-server du transaction_id auprès de l'API KKiaPay.</w:t>
      </w:r>
    </w:p>
    <w:p>
      <w:pPr>
        <w:pStyle w:val="ListParagraph"/>
        <w:numPr>
          <w:ilvl w:val="0"/>
          <w:numId w:val="1"/>
        </w:numPr>
      </w:pPr>
      <w:r>
        <w:t xml:space="preserve">Protection contre le rejeu : un même transaction_id KKiaPay ne peut être utilisé que pour une seule commande (contrainte d'unicité applicative).</w:t>
      </w:r>
    </w:p>
    <w:p>
      <w:pPr>
        <w:pStyle w:val="ListParagraph"/>
        <w:numPr>
          <w:ilvl w:val="0"/>
          <w:numId w:val="1"/>
        </w:numPr>
      </w:pPr>
      <w:r>
        <w:t xml:space="preserve">Bascule automatique entre environnement sandbox et production via la variable KKIAPAY_ENVIRONMENT.</w:t>
      </w:r>
    </w:p>
    <w:p>
      <w:pPr>
        <w:pStyle w:val="BodyText"/>
      </w:pPr>
      <w:r>
        <w:t xml:space="preserve">Note pour le mémoire : le projet a également conservé une intégration FedaPay dans les dépendances (composer.json, config/services.php) — passerelle envisagée initialement puis remplacée par KKiaPay comme solution active en production. Ce point peut être présenté comme une itération de choix technique justifiée par les besoins réels du marché.</w:t>
      </w:r>
    </w:p>
    <w:p>
      <w:r>
        <w:br w:type="page"/>
      </w:r>
    </w:p>
    <w:p>
      <w:pPr>
        <w:pStyle w:val="Heading1"/>
      </w:pPr>
      <w:r>
        <w:t xml:space="preserve">8. Performance : cache, base de données et résilience réseau</w:t>
      </w:r>
    </w:p>
    <w:p>
      <w:pPr>
        <w:pStyle w:val="BodyText"/>
      </w:pPr>
      <w:r>
        <w:t xml:space="preserve">Une partie importante du travail d'ingénierie a porté sur la résolution de problèmes de lenteur perçue, en particulier liés à la latence réseau vers des services cloud distants et à la mise en cache navigateur.</w:t>
      </w:r>
    </w:p>
    <w:p>
      <w:pPr>
        <w:pStyle w:val="Heading2"/>
      </w:pPr>
      <w:r>
        <w:t xml:space="preserve">8.1 Redis (Upstash) — cache, sessions, files d'attente</w:t>
      </w:r>
    </w:p>
    <w:p>
      <w:pPr>
        <w:pStyle w:val="BodyText"/>
      </w:pPr>
      <w:r>
        <w:t xml:space="preserve">Redis managé (fournisseur Upstash, offre gratuite) sert de backend pour :</w:t>
      </w:r>
    </w:p>
    <w:p>
      <w:pPr>
        <w:pStyle w:val="ListParagraph"/>
        <w:numPr>
          <w:ilvl w:val="0"/>
          <w:numId w:val="1"/>
        </w:numPr>
      </w:pPr>
      <w:r>
        <w:t xml:space="preserve">Le cache applicatif (CACHE_STORE=redis) — mise en cache des requêtes coûteuses et des données peu volatiles.</w:t>
      </w:r>
    </w:p>
    <w:p>
      <w:pPr>
        <w:pStyle w:val="ListParagraph"/>
        <w:numPr>
          <w:ilvl w:val="0"/>
          <w:numId w:val="1"/>
        </w:numPr>
      </w:pPr>
      <w:r>
        <w:t xml:space="preserve">Les files d'attente (QUEUE_CONNECTION) pour le traitement asynchrone (notifications, emails, tâches différées) sans bloquer la réponse HTTP.</w:t>
      </w:r>
    </w:p>
    <w:p>
      <w:pPr>
        <w:pStyle w:val="ListParagraph"/>
        <w:numPr>
          <w:ilvl w:val="0"/>
          <w:numId w:val="1"/>
        </w:numPr>
      </w:pPr>
      <w:r>
        <w:t xml:space="preserve">Les verrous applicatifs (lock_connection) pour éviter les conditions de course sur les opérations sensibles.</w:t>
      </w:r>
    </w:p>
    <w:p>
      <w:pPr>
        <w:pStyle w:val="BodyText"/>
      </w:pPr>
      <w:r>
        <w:t xml:space="preserve">Détail d'implémentation notable : l'offre gratuite Upstash ne supporte que la base Redis 0 (pas de commande SELECT vers d'autres index) — la configuration a donc dû faire cohabiter le cache et la connexion Redis par défaut sur une seule base logique, contrairement au découpage db 0 / db 1 habituel de Laravel.</w:t>
      </w:r>
    </w:p>
    <w:p>
      <w:pPr>
        <w:pStyle w:val="Heading2"/>
      </w:pPr>
      <w:r>
        <w:t xml:space="preserve">8.2 PostgreSQL sur Supabase — connexions persistantes</w:t>
      </w:r>
    </w:p>
    <w:p>
      <w:pPr>
        <w:pStyle w:val="BodyText"/>
      </w:pPr>
      <w:r>
        <w:t xml:space="preserve">La base de données étant hébergée à distance (Supabase), chaque nouvelle connexion implique une poignée de main TCP + TLS + authentification coûteuse en latence. La configuration active les connexions PDO persistantes (PDO::ATTR_PERSISTENT) pour réutiliser une connexion déjà établie entre les requêtes plutôt que de repayer ce coût à chaque appel — un choix rendu sûr par le nombre limité de workers PHP-FPM, largement sous la limite de connexions du pooler Supabase.</w:t>
      </w:r>
    </w:p>
    <w:p>
      <w:pPr>
        <w:pStyle w:val="Heading2"/>
      </w:pPr>
      <w:r>
        <w:t xml:space="preserve">8.3 Index de base de données</w:t>
      </w:r>
    </w:p>
    <w:p>
      <w:pPr>
        <w:pStyle w:val="BodyText"/>
      </w:pPr>
      <w:r>
        <w:t xml:space="preserve">Des migrations dédiées ont été ajoutées spécifiquement pour la performance des requêtes fréquentes : index sur les colonnes de statut et de recherche des tables orders, products (add_performance_indexes) et un index sur le type des avis (reviews.type). Objectif : accélérer les requêtes de filtrage et de listing qui étaient auparavant en scan complet de table.</w:t>
      </w:r>
    </w:p>
    <w:p>
      <w:pPr>
        <w:pStyle w:val="Heading2"/>
      </w:pPr>
      <w:r>
        <w:t xml:space="preserve">8.4 PWA et cache navigateur</w:t>
      </w:r>
    </w:p>
    <w:p>
      <w:pPr>
        <w:pStyle w:val="BodyText"/>
      </w:pPr>
      <w:r>
        <w:t xml:space="preserve">Un Service Worker (public/sw.js) implémente une stratégie de cache versionnée (cache-first pour les assets statiques, fallback offline via offline.html) avec purge automatique des anciennes versions de cache lors de l'activation d'une nouvelle version. Un plafond du nombre d'entrées en cache (120) évite la croissance illimitée liée au hachage des noms de fichiers générés par Vite à chaque build, qui sinon ne seraient jamais évincés naturellement.</w:t>
      </w:r>
    </w:p>
    <w:p>
      <w:pPr>
        <w:pStyle w:val="BodyText"/>
      </w:pPr>
      <w:r>
        <w:t xml:space="preserve">Le manifest.json déclare l'application comme installable (mode standalone, icônes adaptatives, couleur de thème), permettant l'ajout à l'écran d'accueil sur mobile comme une application native.</w:t>
      </w:r>
    </w:p>
    <w:p>
      <w:pPr>
        <w:pStyle w:val="Heading2"/>
      </w:pPr>
      <w:r>
        <w:t xml:space="preserve">8.5 Sentry — observabilité et diagnostic de performance</w:t>
      </w:r>
    </w:p>
    <w:p>
      <w:pPr>
        <w:pStyle w:val="BodyText"/>
      </w:pPr>
      <w:r>
        <w:t xml:space="preserve">Sentry.io est intégré (sentry/sentry-laravel) pour :</w:t>
      </w:r>
    </w:p>
    <w:p>
      <w:pPr>
        <w:pStyle w:val="ListParagraph"/>
        <w:numPr>
          <w:ilvl w:val="0"/>
          <w:numId w:val="1"/>
        </w:numPr>
      </w:pPr>
      <w:r>
        <w:t xml:space="preserve">Le suivi centralisé des erreurs applicatives en production (exceptions PHP non gérées, erreurs JavaScript côté client).</w:t>
      </w:r>
    </w:p>
    <w:p>
      <w:pPr>
        <w:pStyle w:val="ListParagraph"/>
        <w:numPr>
          <w:ilvl w:val="0"/>
          <w:numId w:val="1"/>
        </w:numPr>
      </w:pPr>
      <w:r>
        <w:t xml:space="preserve">Le monitoring de performance (APM) via un taux d'échantillonnage des traces configurable (SENTRY_TRACES_SAMPLE_RATE), permettant d'identifier les endpoints lents et les requêtes coûteuses sans instrumenter manuellement chaque route.</w:t>
      </w:r>
    </w:p>
    <w:p>
      <w:pPr>
        <w:pStyle w:val="BodyText"/>
      </w:pPr>
      <w:r>
        <w:t xml:space="preserve">C'est cet outil qui a permis d'identifier concrètement les sources de lenteur (requêtes N+1, temps de réponse API, erreurs silencieuses) plutôt que de deviner empiriquement.</w:t>
      </w:r>
    </w:p>
    <w:p>
      <w:r>
        <w:br w:type="page"/>
      </w:r>
    </w:p>
    <w:p>
      <w:pPr>
        <w:pStyle w:val="Heading1"/>
      </w:pPr>
      <w:r>
        <w:t xml:space="preserve">9. Sécurité</w:t>
      </w:r>
    </w:p>
    <w:p>
      <w:pPr>
        <w:pStyle w:val="ListParagraph"/>
        <w:numPr>
          <w:ilvl w:val="0"/>
          <w:numId w:val="1"/>
        </w:numPr>
      </w:pPr>
      <w:r>
        <w:t xml:space="preserve">Authentification via Laravel Breeze (inscription, connexion, vérification d'email, réinitialisation de mot de passe) et Laravel Sanctum pour les tokens API/SPA.</w:t>
      </w:r>
    </w:p>
    <w:p>
      <w:pPr>
        <w:pStyle w:val="ListParagraph"/>
        <w:numPr>
          <w:ilvl w:val="0"/>
          <w:numId w:val="1"/>
        </w:numPr>
      </w:pPr>
      <w:r>
        <w:t xml:space="preserve">Protection CSRF native sur toutes les soumissions de formulaire Inertia.</w:t>
      </w:r>
    </w:p>
    <w:p>
      <w:pPr>
        <w:pStyle w:val="ListParagraph"/>
        <w:numPr>
          <w:ilvl w:val="0"/>
          <w:numId w:val="1"/>
        </w:numPr>
      </w:pPr>
      <w:r>
        <w:t xml:space="preserve">Contrôle d'accès par rôle (RBAC applicatif) : middlewares vérifiant le rôle (client/seller/driver/admin) avant d'autoriser l'accès aux routes et actions sensibles.</w:t>
      </w:r>
    </w:p>
    <w:p>
      <w:pPr>
        <w:pStyle w:val="ListParagraph"/>
        <w:numPr>
          <w:ilvl w:val="0"/>
          <w:numId w:val="1"/>
        </w:numPr>
      </w:pPr>
      <w:r>
        <w:t xml:space="preserve">Vérification KYC obligatoire pour les vendeurs (pièce d'identité + registre de commerce) et les livreurs (permis de conduire) avant validation par un administrateur.</w:t>
      </w:r>
    </w:p>
    <w:p>
      <w:pPr>
        <w:pStyle w:val="ListParagraph"/>
        <w:numPr>
          <w:ilvl w:val="0"/>
          <w:numId w:val="1"/>
        </w:numPr>
      </w:pPr>
      <w:r>
        <w:t xml:space="preserve">Vérification serveur systématique des paiements KKiaPay (jamais de confiance envers le seul client), avec protection contre le rejeu de transaction.</w:t>
      </w:r>
    </w:p>
    <w:p>
      <w:pPr>
        <w:pStyle w:val="ListParagraph"/>
        <w:numPr>
          <w:ilvl w:val="0"/>
          <w:numId w:val="1"/>
        </w:numPr>
      </w:pPr>
      <w:r>
        <w:t xml:space="preserve">Code de livraison secret à 4 chiffres pour sécuriser la remise physique du colis et prévenir les litiges de livraison.</w:t>
      </w:r>
    </w:p>
    <w:p>
      <w:pPr>
        <w:pStyle w:val="ListParagraph"/>
        <w:numPr>
          <w:ilvl w:val="0"/>
          <w:numId w:val="1"/>
        </w:numPr>
      </w:pPr>
      <w:r>
        <w:t xml:space="preserve">Connexions chiffrées (TLS/SSL) vers la base de données (sslmode) et vers l'ensemble des services cloud tiers.</w:t>
      </w:r>
    </w:p>
    <w:p>
      <w:r>
        <w:br w:type="page"/>
      </w:r>
    </w:p>
    <w:p>
      <w:pPr>
        <w:pStyle w:val="Heading1"/>
      </w:pPr>
      <w:r>
        <w:t xml:space="preserve">10. Défis techniques rencontrés et solutions</w:t>
      </w:r>
    </w:p>
    <w:p>
      <w:pPr>
        <w:pStyle w:val="BodyText"/>
      </w:pPr>
      <w:r>
        <w:t xml:space="preserve">Cette section est particulièrement valorisable en soutenance car elle démontre une capacité de résolution de problèmes réels, au-delà de l'implémentation de fonctionnalités.</w:t>
      </w:r>
    </w:p>
    <w:p>
      <w:pPr>
        <w:pStyle w:val="Heading2"/>
      </w:pPr>
      <w:r>
        <w:t xml:space="preserve">10.1 Lenteur perçue de l'application</w:t>
      </w:r>
    </w:p>
    <w:p>
      <w:pPr>
        <w:pStyle w:val="BodyText"/>
      </w:pPr>
      <w:r>
        <w:t xml:space="preserve">Symptôme : temps de réponse élevés, notamment sur les pages de listing (produits, commandes) et lors des interactions répétées.</w:t>
      </w:r>
    </w:p>
    <w:p>
      <w:pPr>
        <w:pStyle w:val="BodyText"/>
      </w:pPr>
      <w:r>
        <w:t xml:space="preserve">Diagnostic : mise en place de Sentry pour obtenir des données réelles sur les endpoints lents plutôt que de deviner.</w:t>
      </w:r>
    </w:p>
    <w:p>
      <w:pPr>
        <w:pStyle w:val="BodyText"/>
      </w:pPr>
      <w:r>
        <w:t xml:space="preserve">Solutions apportées : ajout d'index de base de données ciblés, connexions PostgreSQL persistantes pour éviter le coût de handshake réseau répété, mise en cache Redis des données coûteuses à recalculer, et stratégie de cache Service Worker pour les assets statiques côté client.</w:t>
      </w:r>
    </w:p>
    <w:p>
      <w:pPr>
        <w:pStyle w:val="Heading2"/>
      </w:pPr>
      <w:r>
        <w:t xml:space="preserve">10.2 Adressage imprécis à Lomé</w:t>
      </w:r>
    </w:p>
    <w:p>
      <w:pPr>
        <w:pStyle w:val="BodyText"/>
      </w:pPr>
      <w:r>
        <w:t xml:space="preserve">Absence de codes postaux fiables. Solution : combinaison d'un point fixe géolocalisé (la boutique, positionnée une fois lors de son inscription) et d'un point dynamique (la position GPS en direct du client/livreur, captée via l'API de géolocalisation HTML5 du navigateur), avec calcul d'itinéraire en deux segments via Google Maps DirectionsService.</w:t>
      </w:r>
    </w:p>
    <w:p>
      <w:pPr>
        <w:pStyle w:val="Heading2"/>
      </w:pPr>
      <w:r>
        <w:t xml:space="preserve">10.3 Confiance dans les paiements en ligne</w:t>
      </w:r>
    </w:p>
    <w:p>
      <w:pPr>
        <w:pStyle w:val="BodyText"/>
      </w:pPr>
      <w:r>
        <w:t xml:space="preserve">Solution double : choix d'une passerelle supportant le Mobile Money local (KKiaPay) plutôt que la seule carte bancaire, et vérification server-to-server systématique de chaque transaction avant de créditer une commande — le client ne peut jamais forcer la validation d'un paiement depuis le navigateur.</w:t>
      </w:r>
    </w:p>
    <w:p>
      <w:pPr>
        <w:pStyle w:val="Heading2"/>
      </w:pPr>
      <w:r>
        <w:t xml:space="preserve">10.4 Contrainte de l'offre gratuite Redis (Upstash)</w:t>
      </w:r>
    </w:p>
    <w:p>
      <w:pPr>
        <w:pStyle w:val="BodyText"/>
      </w:pPr>
      <w:r>
        <w:t xml:space="preserve">Limite technique découverte en cours de développement : impossibilité d'utiliser plusieurs bases logiques Redis (SELECT non supporté) sur le plan gratuit. Adaptation de la configuration Laravel pour faire cohabiter cache et connexion par défaut sur une seule base sans conflit de clés.</w:t>
      </w:r>
    </w:p>
    <w:p>
      <w:pPr>
        <w:pStyle w:val="Heading2"/>
      </w:pPr>
      <w:r>
        <w:t xml:space="preserve">10.5 Croissance illimitée du cache navigateur PWA</w:t>
      </w:r>
    </w:p>
    <w:p>
      <w:pPr>
        <w:pStyle w:val="BodyText"/>
      </w:pPr>
      <w:r>
        <w:t xml:space="preserve">Les noms de fichiers générés par Vite changent à chaque déploiement (hachage de contenu), donc les anciennes versions ne sont jamais redemandées et restent en cache indéfiniment. Solution : plafonnement du nombre d'entrées avec éviction des plus anciennes (stratégie FIFO) dans le Service Worker.</w:t>
      </w:r>
    </w:p>
    <w:p>
      <w:pPr>
        <w:pStyle w:val="Heading2"/>
      </w:pPr>
      <w:r>
        <w:t xml:space="preserve">10.6 Suivi GPS en temps réel à faible latence</w:t>
      </w:r>
    </w:p>
    <w:p>
      <w:pPr>
        <w:pStyle w:val="BodyText"/>
      </w:pPr>
      <w:r>
        <w:t xml:space="preserve">Défi de synchroniser la position d'un livreur mobile (réseau potentiellement instable) avec l'affichage côté client sans surcharger le serveur de requêtes de polling. Solution : architecture WebSocket (Reverb) où le livreur pousse sa position et le serveur diffuse l'événement à tous les clients abonnés au canal concerné, éliminant le besoin de polling HTTP répété.</w:t>
      </w:r>
    </w:p>
    <w:p>
      <w:r>
        <w:br w:type="page"/>
      </w:r>
    </w:p>
    <w:p>
      <w:pPr>
        <w:pStyle w:val="Heading1"/>
      </w:pPr>
      <w:r>
        <w:t xml:space="preserve">11. Résultats et bilan</w:t>
      </w:r>
    </w:p>
    <w:p>
      <w:pPr>
        <w:pStyle w:val="BodyText"/>
      </w:pPr>
      <w:r>
        <w:t xml:space="preserve">Sections à compléter avec vos données réelles avant la soutenance (nombre de boutiques inscrites, commandes traitées, utilisateurs actifs, score Lighthouse PWA, temps de réponse moyen des API mesuré via Sentry, retours utilisateurs si des tests ont été menés). Le corpus technique ci-dessus fournit la matière ; les métriques chiffrées doivent provenir de vos données de test/production réelles.</w:t>
      </w:r>
    </w:p>
    <w:p>
      <w:pPr>
        <w:pStyle w:val="Heading1"/>
      </w:pPr>
      <w:r>
        <w:t xml:space="preserve">12. Perspectives d'évolution</w:t>
      </w:r>
    </w:p>
    <w:p>
      <w:pPr>
        <w:pStyle w:val="ListParagraph"/>
        <w:numPr>
          <w:ilvl w:val="0"/>
          <w:numId w:val="1"/>
        </w:numPr>
      </w:pPr>
      <w:r>
        <w:t xml:space="preserve">Recommandations personnalisées / recherche intelligente de produits.</w:t>
      </w:r>
    </w:p>
    <w:p>
      <w:pPr>
        <w:pStyle w:val="ListParagraph"/>
        <w:numPr>
          <w:ilvl w:val="0"/>
          <w:numId w:val="1"/>
        </w:numPr>
      </w:pPr>
      <w:r>
        <w:t xml:space="preserve">Analytics avancées pour les vendeurs (tableaux de bord de performance).</w:t>
      </w:r>
    </w:p>
    <w:p>
      <w:pPr>
        <w:pStyle w:val="ListParagraph"/>
        <w:numPr>
          <w:ilvl w:val="0"/>
          <w:numId w:val="1"/>
        </w:numPr>
      </w:pPr>
      <w:r>
        <w:t xml:space="preserve">Mise en cache CDN pour les assets statiques et les images produits.</w:t>
      </w:r>
    </w:p>
    <w:p>
      <w:pPr>
        <w:pStyle w:val="ListParagraph"/>
        <w:numPr>
          <w:ilvl w:val="0"/>
          <w:numId w:val="1"/>
        </w:numPr>
      </w:pPr>
      <w:r>
        <w:t xml:space="preserve">Extension géographique à d'autres villes du Togo au-delà de Lomé.</w:t>
      </w:r>
    </w:p>
    <w:p>
      <w:pPr>
        <w:pStyle w:val="ListParagraph"/>
        <w:numPr>
          <w:ilvl w:val="0"/>
          <w:numId w:val="1"/>
        </w:numPr>
      </w:pPr>
      <w:r>
        <w:t xml:space="preserve">Optimisation du routage logistique (attribution prédictive des livreurs selon proximité et charge).</w:t>
      </w:r>
    </w:p>
    <w:p>
      <w:pPr>
        <w:pStyle w:val="Heading1"/>
      </w:pPr>
      <w:r>
        <w:t xml:space="preserve">13. Conclusion (à adapter)</w:t>
      </w:r>
    </w:p>
    <w:p>
      <w:pPr>
        <w:pStyle w:val="BodyText"/>
      </w:pPr>
      <w:r>
        <w:t xml:space="preserve">LoméShop démontre qu'une architecture pragmatique — monolithe moderne Laravel/Inertia/React, services cloud managés pour la base de données et le cache, WebSocket natif pour le temps réel, et intégration profonde des moyens de paiement locaux — permet de construire une marketplace complète, performante et adaptée aux contraintes réelles du marché togolais, sans la complexité opérationnelle d'une architecture microservices distribuée.</w:t>
      </w:r>
    </w:p>
    <w:sectPr>
      <w:pgSz w:w="11906" w:h="16838"/>
      <w:pgMar w:top="1417" w:right="1417" w:bottom="1417" w:left="1417"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5" w:hanging="284"/>
      </w:pPr>
      <w:rPr>
        <w:rFonts w:ascii="Segoe UI Symbol" w:hAnsi="Segoe UI Symbol" w:hint="default"/>
        <w:color w:val="2F5496"/>
      </w:rPr>
    </w:lvl>
    <w:lvl w:ilvl="1">
      <w:start w:val="1"/>
      <w:numFmt w:val="bullet"/>
      <w:lvlText w:val="◦"/>
      <w:lvlJc w:val="left"/>
      <w:pPr>
        <w:ind w:left="850" w:hanging="284"/>
      </w:pPr>
      <w:rPr>
        <w:rFonts w:ascii="Segoe UI Symbol" w:hAnsi="Segoe UI Symbol" w:hint="default"/>
      </w:rPr>
    </w:lvl>
  </w:abstractNum>
  <w:abstractNum w:abstractNumId="1">
    <w:lvl w:ilvl="0">
      <w:start w:val="1"/>
      <w:numFmt w:val="decimal"/>
      <w:lvlText w:val="%1."/>
      <w:lvlJc w:val="left"/>
      <w:pPr>
        <w:ind w:left="425" w:hanging="284"/>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Heading1">
    <w:name w:val="heading 1"/>
    <w:basedOn w:val="Normal"/>
    <w:next w:val="Normal"/>
    <w:pPr>
      <w:spacing w:before="360" w:after="240"/>
      <w:outlineLvl w:val="0"/>
    </w:pPr>
    <w:rPr>
      <w:rFonts w:ascii="Calibri" w:hAnsi="Calibri"/>
      <w:b/>
      <w:color w:val="1F3864"/>
      <w:sz w:val="36"/>
    </w:rPr>
  </w:style>
  <w:style w:type="paragraph" w:styleId="Heading2">
    <w:name w:val="heading 2"/>
    <w:basedOn w:val="Normal"/>
    <w:next w:val="Normal"/>
    <w:pPr>
      <w:spacing w:before="280" w:after="160"/>
      <w:outlineLvl w:val="1"/>
    </w:pPr>
    <w:rPr>
      <w:rFonts w:ascii="Calibri" w:hAnsi="Calibri"/>
      <w:b/>
      <w:color w:val="2F5496"/>
      <w:sz w:val="28"/>
    </w:rPr>
  </w:style>
  <w:style w:type="paragraph" w:styleId="Heading3">
    <w:name w:val="heading 3"/>
    <w:basedOn w:val="Normal"/>
    <w:next w:val="Normal"/>
    <w:pPr>
      <w:spacing w:before="200" w:after="120"/>
      <w:outlineLvl w:val="2"/>
    </w:pPr>
    <w:rPr>
      <w:rFonts w:ascii="Calibri" w:hAnsi="Calibri"/>
      <w:b/>
      <w:color w:val="2F5496"/>
      <w:sz w:val="24"/>
    </w:rPr>
  </w:style>
  <w:style w:type="paragraph" w:styleId="BodyText">
    <w:name w:val="Body Text"/>
    <w:basedOn w:val="Normal"/>
    <w:pPr>
      <w:spacing w:after="160" w:line="288" w:lineRule="auto"/>
      <w:jc w:val="both"/>
    </w:pPr>
    <w:rPr>
      <w:sz w:val="22"/>
    </w:rPr>
  </w:style>
  <w:style w:type="paragraph" w:styleId="Quote">
    <w:name w:val="Quote"/>
    <w:basedOn w:val="Normal"/>
    <w:pPr>
      <w:spacing w:after="120"/>
      <w:ind w:left="567"/>
      <w:jc w:val="center"/>
    </w:pPr>
    <w:rPr>
      <w:i/>
      <w:color w:val="2F5496"/>
      <w:sz w:val="24"/>
    </w:rPr>
  </w:style>
  <w:style w:type="paragraph" w:styleId="ListParagraph">
    <w:name w:val="List Paragraph"/>
    <w:basedOn w:val="Normal"/>
    <w:pPr>
      <w:spacing w:after="100" w:line="276" w:lineRule="auto"/>
      <w:contextualSpacing/>
      <w:jc w:val="both"/>
    </w:pPr>
    <w:rPr>
      <w:sz w:val="22"/>
    </w:rPr>
  </w:style>
  <w:style w:type="paragraph" w:styleId="TableHeaderText">
    <w:name w:val="Table Header Text"/>
    <w:basedOn w:val="Normal"/>
    <w:pPr>
      <w:spacing w:after="0"/>
    </w:pPr>
    <w:rPr>
      <w:sz w:val="20"/>
    </w:rPr>
  </w:style>
  <w:style w:type="paragraph" w:styleId="TableCellText">
    <w:name w:val="Table Cell Text"/>
    <w:basedOn w:val="Normal"/>
    <w:pPr>
      <w:spacing w:after="0"/>
    </w:pPr>
    <w:rPr>
      <w:sz w:val="20"/>
    </w:rPr>
  </w:style>
  <w:style w:type="table" w:styleId="TableGrid">
    <w:name w:val="Table Grid"/>
    <w:tblPr>
      <w:tblBorders>
        <w:top w:val="single" w:sz="4" w:color="D9D9D9"/>
        <w:left w:val="single" w:sz="4" w:color="D9D9D9"/>
        <w:bottom w:val="single" w:sz="4" w:color="D9D9D9"/>
        <w:right w:val="single" w:sz="4" w:color="D9D9D9"/>
        <w:insideH w:val="single" w:sz="4" w:color="D9D9D9"/>
        <w:insideV w:val="single" w:sz="4"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LoméShop — Dossier Technique Complet</dc:title>
  <dc:creator>LoméShop</dc:creator>
  <cp:lastModifiedBy>LoméShop</cp:lastModifiedBy>
  <dcterms:created xsi:type="dcterms:W3CDTF">2026-08-13T00:00:00Z</dcterms:created>
  <dcterms:modified xsi:type="dcterms:W3CDTF">2026-08-13T00:00:00Z</dcterms:modified>
</cp:coreProperties>
</file>