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Assessed Contribution - Commonwealth Secretariat - 2022 to 2023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CA-3-P005160006</w:t>
      </w:r>
    </w:p>
    <w:p>
      <w:r>
        <w:rPr>
          <w:b/>
        </w:rPr>
        <w:t xml:space="preserve">Lieu : </w:t>
      </w:r>
      <w:r>
        <w:t>Developing countries, unspecified</w:t>
      </w:r>
    </w:p>
    <w:p>
      <w:r>
        <w:rPr>
          <w:b/>
        </w:rPr>
        <w:t xml:space="preserve">Agence executive partenaire : </w:t>
      </w:r>
      <w:r>
        <w:t xml:space="preserve">Commonwealth Secretariat </w:t>
      </w:r>
    </w:p>
    <w:p>
      <w:r>
        <w:rPr>
          <w:b/>
        </w:rPr>
        <w:t xml:space="preserve">Type de financement : </w:t>
      </w:r>
      <w:r>
        <w:t>Aid grant excluding debt reorganisation</w:t>
      </w:r>
    </w:p>
    <w:p>
      <w:r>
        <w:rPr>
          <w:b/>
        </w:rPr>
        <w:t xml:space="preserve">Dates : </w:t>
      </w:r>
      <w:r>
        <w:t>2022-07-11T00:00:00 au 2023-06-30T00:00:00</w:t>
      </w:r>
    </w:p>
    <w:p>
      <w:r>
        <w:rPr>
          <w:b/>
        </w:rPr>
        <w:t xml:space="preserve">Engagement : </w:t>
      </w:r>
      <w:r>
        <w:t>5238453.33</w:t>
      </w:r>
    </w:p>
    <w:p>
      <w:r>
        <w:rPr>
          <w:b/>
        </w:rPr>
        <w:t xml:space="preserve">Total envoye en $ : </w:t>
      </w:r>
      <w:r>
        <w:t>5214772.97</w:t>
      </w:r>
    </w:p>
    <w:p>
      <w:r>
        <w:rPr>
          <w:b/>
        </w:rPr>
        <w:t xml:space="preserve">Description : </w:t>
      </w:r>
      <w:r>
        <w:t>This assessed contribution represents Canada’s long-term support to the Commonwealth Secretariat. The Commonwealth Secretariat uses these funds and other members’ funding, to achieve its mandate. The Secretariat's mandate includes: (1) supporting the Commonwealth as a corporate secretariat; (2) undertaking policy and advocacy work, notably supporting small and vulnerable states; and (3) providing technical and advisory services to member countries.  The current Strategic Plan (2021 to 2025) orients the work of the Secretariat around four goals: (1) democracy and governance; (2) sustainable development; (3) resilience and climate action; and (4) small and other vulnerable states.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2022-07-11T00:00:00</w:t>
      </w:r>
      <w:r>
        <w:rPr>
          <w:b/>
        </w:rPr>
        <w:t xml:space="preserve">Type : </w:t>
      </w:r>
      <w:r>
        <w:t>Commitment</w:t>
      </w:r>
      <w:r>
        <w:rPr>
          <w:b/>
        </w:rPr>
        <w:t xml:space="preserve"> Montant : </w:t>
      </w:r>
      <w:r>
        <w:t>5238453.33</w:t>
      </w:r>
    </w:p>
    <w:p>
      <w:r>
        <w:rPr>
          <w:b/>
        </w:rPr>
        <w:t xml:space="preserve">Date : </w:t>
      </w:r>
      <w:r>
        <w:t>2022-07-21T00:00:00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5214772.97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