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Amélioration de la gestion des sources radioactives scellées retirées du service – phase II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CA-3-P011228001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International Atomic Energy AgencyNuclear Security Fund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2022-03-11T00:00:00 au 2026-09-30T00:00:00</w:t>
      </w:r>
    </w:p>
    <w:p>
      <w:r>
        <w:rPr>
          <w:b/>
        </w:rPr>
        <w:t xml:space="preserve">Engagement : </w:t>
      </w:r>
      <w:r>
        <w:t>9776000.00</w:t>
      </w:r>
    </w:p>
    <w:p>
      <w:r>
        <w:rPr>
          <w:b/>
        </w:rPr>
        <w:t xml:space="preserve">Total envoye en $ : </w:t>
      </w:r>
      <w:r>
        <w:t>9776000.0</w:t>
      </w:r>
    </w:p>
    <w:p>
      <w:r>
        <w:rPr>
          <w:b/>
        </w:rPr>
        <w:t xml:space="preserve">Description : </w:t>
      </w:r>
      <w:r>
        <w:t>Ce projet finance l’Agence internationale de l’énergie atomique (AIEA) afin de fournir assistance technique à des pays clés en Afrique, en Asie centrale, en Amérique latine, dans les Caraïbes, au Moyen-Orient et en Asie du Sud-Est afin d’améliorer la gestion sécuritaire de leurs inventaires nationaux de sources radioactives de haute activité. Les activités de ce projet comprennent : 1) dresser les inventaires nationaux de sources radioactives ou les mettre à jour; 2) procéder au regroupement, au conditionnement ou au retrait de sources radioactives scellées retirées du service de haute activité; 3) offrir de la formation aux organismes de réglementation et aux exploitants; 4) élaborer des politiques et stratégies nationales.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2022-03-11T00:00:00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9776000.00</w:t>
      </w:r>
    </w:p>
    <w:p>
      <w:r>
        <w:rPr>
          <w:b/>
        </w:rPr>
        <w:t xml:space="preserve">Date : </w:t>
      </w:r>
      <w:r>
        <w:t>2022-03-25T00:00:00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9776000.00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