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AD6C" w14:textId="7075C6A4" w:rsidR="00DB1CC3" w:rsidRDefault="00DB1CC3" w:rsidP="007B60C3">
      <w:pPr>
        <w:spacing w:after="0" w:line="240" w:lineRule="auto"/>
        <w:ind w:right="2250"/>
        <w:outlineLvl w:val="0"/>
        <w:rPr>
          <w:rFonts w:ascii="Segoe UI" w:eastAsia="Times New Roman" w:hAnsi="Segoe UI" w:cs="Segoe UI"/>
          <w:b/>
          <w:bCs/>
          <w:color w:val="1F2328"/>
          <w:kern w:val="36"/>
          <w:sz w:val="48"/>
          <w:szCs w:val="48"/>
        </w:rPr>
      </w:pPr>
      <w:r w:rsidRPr="00DB1CC3">
        <w:rPr>
          <w:rFonts w:ascii="Segoe UI" w:eastAsia="Times New Roman" w:hAnsi="Segoe UI" w:cs="Segoe UI"/>
          <w:b/>
          <w:bCs/>
          <w:color w:val="1F2328"/>
          <w:kern w:val="36"/>
          <w:sz w:val="48"/>
          <w:szCs w:val="48"/>
        </w:rPr>
        <w:t>https://github.com/DOI-ONRR/nrrd/wiki/What-you-need-to-know-about-doing-design-and-research-in-the-federal-government</w:t>
      </w:r>
    </w:p>
    <w:p w14:paraId="3A0D74E7" w14:textId="09AFA56B" w:rsidR="007B60C3" w:rsidRPr="007B60C3" w:rsidRDefault="007B60C3" w:rsidP="007B60C3">
      <w:pPr>
        <w:spacing w:after="0" w:line="240" w:lineRule="auto"/>
        <w:ind w:right="2250"/>
        <w:outlineLvl w:val="0"/>
        <w:rPr>
          <w:rFonts w:ascii="Segoe UI" w:eastAsia="Times New Roman" w:hAnsi="Segoe UI" w:cs="Segoe UI"/>
          <w:b/>
          <w:bCs/>
          <w:color w:val="1F2328"/>
          <w:kern w:val="36"/>
          <w:sz w:val="48"/>
          <w:szCs w:val="48"/>
        </w:rPr>
      </w:pPr>
      <w:r w:rsidRPr="007B60C3">
        <w:rPr>
          <w:rFonts w:ascii="Segoe UI" w:eastAsia="Times New Roman" w:hAnsi="Segoe UI" w:cs="Segoe UI"/>
          <w:b/>
          <w:bCs/>
          <w:color w:val="1F2328"/>
          <w:kern w:val="36"/>
          <w:sz w:val="48"/>
          <w:szCs w:val="48"/>
        </w:rPr>
        <w:t>What you need to know about doing design and research in the federal government</w:t>
      </w:r>
    </w:p>
    <w:p w14:paraId="03885D44" w14:textId="77777777" w:rsidR="007B60C3" w:rsidRDefault="007B60C3" w:rsidP="007B60C3">
      <w:pPr>
        <w:shd w:val="clear" w:color="auto" w:fill="FFFFFF"/>
        <w:spacing w:after="0" w:line="240" w:lineRule="auto"/>
        <w:rPr>
          <w:rFonts w:ascii="Segoe UI" w:eastAsia="Times New Roman" w:hAnsi="Segoe UI" w:cs="Segoe UI"/>
          <w:color w:val="1F2328"/>
          <w:sz w:val="21"/>
          <w:szCs w:val="21"/>
        </w:rPr>
      </w:pPr>
    </w:p>
    <w:p w14:paraId="6E0D7C7D" w14:textId="137ED399" w:rsidR="007B60C3" w:rsidRPr="007B60C3" w:rsidRDefault="007B60C3" w:rsidP="007B60C3">
      <w:pPr>
        <w:shd w:val="clear" w:color="auto" w:fill="FFFFFF"/>
        <w:spacing w:after="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The biggest difference about being a design or research practitioner in the federal government is that best practices from the private sector are no longer optional, but often required by law. Below are the most common areas you'll need to learn about.</w:t>
      </w:r>
    </w:p>
    <w:p w14:paraId="166DCBBD" w14:textId="77777777" w:rsidR="007B60C3" w:rsidRPr="007B60C3" w:rsidRDefault="007B60C3" w:rsidP="007B60C3">
      <w:pPr>
        <w:shd w:val="clear" w:color="auto" w:fill="FFFFFF"/>
        <w:spacing w:before="360" w:after="240" w:line="240" w:lineRule="auto"/>
        <w:outlineLvl w:val="1"/>
        <w:rPr>
          <w:rFonts w:ascii="Segoe UI" w:eastAsia="Times New Roman" w:hAnsi="Segoe UI" w:cs="Segoe UI"/>
          <w:b/>
          <w:bCs/>
          <w:color w:val="1F2328"/>
          <w:sz w:val="36"/>
          <w:szCs w:val="36"/>
        </w:rPr>
      </w:pPr>
      <w:hyperlink r:id="rId5" w:anchor="accessibility" w:history="1">
        <w:r w:rsidRPr="007B60C3">
          <w:rPr>
            <w:rFonts w:ascii="Segoe UI" w:eastAsia="Times New Roman" w:hAnsi="Segoe UI" w:cs="Segoe UI"/>
            <w:b/>
            <w:bCs/>
            <w:color w:val="0000FF"/>
            <w:sz w:val="36"/>
            <w:szCs w:val="36"/>
            <w:u w:val="single"/>
          </w:rPr>
          <w:t>Accessibility</w:t>
        </w:r>
      </w:hyperlink>
    </w:p>
    <w:p w14:paraId="0D2DBCBF"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The federal government is accountable for making all of its digital products conform with </w:t>
      </w:r>
      <w:hyperlink r:id="rId6" w:history="1">
        <w:r w:rsidRPr="007B60C3">
          <w:rPr>
            <w:rFonts w:ascii="Segoe UI" w:eastAsia="Times New Roman" w:hAnsi="Segoe UI" w:cs="Segoe UI"/>
            <w:color w:val="0000FF"/>
            <w:sz w:val="24"/>
            <w:szCs w:val="24"/>
            <w:u w:val="single"/>
          </w:rPr>
          <w:t>Section 508</w:t>
        </w:r>
      </w:hyperlink>
      <w:r w:rsidRPr="007B60C3">
        <w:rPr>
          <w:rFonts w:ascii="Segoe UI" w:eastAsia="Times New Roman" w:hAnsi="Segoe UI" w:cs="Segoe UI"/>
          <w:color w:val="1F2328"/>
          <w:sz w:val="24"/>
          <w:szCs w:val="24"/>
        </w:rPr>
        <w:t> of the Rehabilitation Act, which means everything we make (or buy) needs to be accessible to all users, regardless of their abilities or disabilities. This usually means making sure our products can be used with screen readers and alternate input devices, and that they’re logically easy to follow. Here are a few of the many available resources around accessibility practices:</w:t>
      </w:r>
    </w:p>
    <w:p w14:paraId="2EAEAFDF" w14:textId="77777777" w:rsidR="007B60C3" w:rsidRPr="007B60C3" w:rsidRDefault="007B60C3" w:rsidP="007B60C3">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7" w:history="1">
        <w:r w:rsidRPr="007B60C3">
          <w:rPr>
            <w:rFonts w:ascii="Segoe UI" w:eastAsia="Times New Roman" w:hAnsi="Segoe UI" w:cs="Segoe UI"/>
            <w:color w:val="0000FF"/>
            <w:sz w:val="24"/>
            <w:szCs w:val="24"/>
            <w:u w:val="single"/>
          </w:rPr>
          <w:t>18F’s Accessibility Guide</w:t>
        </w:r>
      </w:hyperlink>
    </w:p>
    <w:p w14:paraId="7E9DD899" w14:textId="77777777" w:rsidR="007B60C3" w:rsidRPr="007B60C3" w:rsidRDefault="007B60C3" w:rsidP="007B60C3">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8" w:history="1">
        <w:r w:rsidRPr="007B60C3">
          <w:rPr>
            <w:rFonts w:ascii="Segoe UI" w:eastAsia="Times New Roman" w:hAnsi="Segoe UI" w:cs="Segoe UI"/>
            <w:color w:val="0000FF"/>
            <w:sz w:val="24"/>
            <w:szCs w:val="24"/>
            <w:u w:val="single"/>
          </w:rPr>
          <w:t>Udacity Web Accessibility Training</w:t>
        </w:r>
      </w:hyperlink>
      <w:r w:rsidRPr="007B60C3">
        <w:rPr>
          <w:rFonts w:ascii="Segoe UI" w:eastAsia="Times New Roman" w:hAnsi="Segoe UI" w:cs="Segoe UI"/>
          <w:color w:val="1F2328"/>
          <w:sz w:val="24"/>
          <w:szCs w:val="24"/>
        </w:rPr>
        <w:t> (free!)</w:t>
      </w:r>
    </w:p>
    <w:p w14:paraId="088B5694" w14:textId="77777777" w:rsidR="007B60C3" w:rsidRPr="007B60C3" w:rsidRDefault="007B60C3" w:rsidP="007B60C3">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hyperlink r:id="rId9" w:history="1">
        <w:r w:rsidRPr="007B60C3">
          <w:rPr>
            <w:rFonts w:ascii="Segoe UI" w:eastAsia="Times New Roman" w:hAnsi="Segoe UI" w:cs="Segoe UI"/>
            <w:color w:val="0000FF"/>
            <w:sz w:val="24"/>
            <w:szCs w:val="24"/>
            <w:u w:val="single"/>
          </w:rPr>
          <w:t>A11yWeekly newsletter</w:t>
        </w:r>
      </w:hyperlink>
    </w:p>
    <w:p w14:paraId="64851BF1" w14:textId="77777777" w:rsidR="007B60C3" w:rsidRPr="007B60C3" w:rsidRDefault="007B60C3" w:rsidP="007B60C3">
      <w:pPr>
        <w:shd w:val="clear" w:color="auto" w:fill="FFFFFF"/>
        <w:spacing w:before="360" w:after="240" w:line="240" w:lineRule="auto"/>
        <w:outlineLvl w:val="1"/>
        <w:rPr>
          <w:rFonts w:ascii="Segoe UI" w:eastAsia="Times New Roman" w:hAnsi="Segoe UI" w:cs="Segoe UI"/>
          <w:b/>
          <w:bCs/>
          <w:color w:val="1F2328"/>
          <w:sz w:val="36"/>
          <w:szCs w:val="36"/>
        </w:rPr>
      </w:pPr>
      <w:hyperlink r:id="rId10" w:anchor="regulations-for-research-with-members-of-the-public" w:history="1">
        <w:r w:rsidRPr="007B60C3">
          <w:rPr>
            <w:rFonts w:ascii="Segoe UI" w:eastAsia="Times New Roman" w:hAnsi="Segoe UI" w:cs="Segoe UI"/>
            <w:b/>
            <w:bCs/>
            <w:color w:val="0000FF"/>
            <w:sz w:val="36"/>
            <w:szCs w:val="36"/>
            <w:u w:val="single"/>
          </w:rPr>
          <w:t>Regulations for research with members of the public</w:t>
        </w:r>
      </w:hyperlink>
    </w:p>
    <w:p w14:paraId="618DE4E2"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 xml:space="preserve">The federal government goes to great lengths to ensure that government agencies and services aren’t creating barriers for people to access information, and that information is protected whenever it is solicited. The law that most impacts government designers’ </w:t>
      </w:r>
      <w:r w:rsidRPr="007B60C3">
        <w:rPr>
          <w:rFonts w:ascii="Segoe UI" w:eastAsia="Times New Roman" w:hAnsi="Segoe UI" w:cs="Segoe UI"/>
          <w:color w:val="1F2328"/>
          <w:sz w:val="24"/>
          <w:szCs w:val="24"/>
        </w:rPr>
        <w:lastRenderedPageBreak/>
        <w:t>day-to-day work is the </w:t>
      </w:r>
      <w:hyperlink r:id="rId11" w:history="1">
        <w:r w:rsidRPr="007B60C3">
          <w:rPr>
            <w:rFonts w:ascii="Segoe UI" w:eastAsia="Times New Roman" w:hAnsi="Segoe UI" w:cs="Segoe UI"/>
            <w:color w:val="0000FF"/>
            <w:sz w:val="24"/>
            <w:szCs w:val="24"/>
            <w:u w:val="single"/>
          </w:rPr>
          <w:t>Paperwork Reduction Act of 1995</w:t>
        </w:r>
      </w:hyperlink>
      <w:r w:rsidRPr="007B60C3">
        <w:rPr>
          <w:rFonts w:ascii="Segoe UI" w:eastAsia="Times New Roman" w:hAnsi="Segoe UI" w:cs="Segoe UI"/>
          <w:color w:val="1F2328"/>
          <w:sz w:val="24"/>
          <w:szCs w:val="24"/>
        </w:rPr>
        <w:t> (PRA). It's worth investing the time to get to know this law and its nuances enough to be able to confidently clear up any misconceptions you may encounter related to its implications on user research in government. In short:</w:t>
      </w:r>
    </w:p>
    <w:p w14:paraId="1B92A75E"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The PRA is a law designed to “maximize the practical utility of and public benefit from information collected by or for the Federal Government,” specifically to:</w:t>
      </w:r>
    </w:p>
    <w:p w14:paraId="642B7EE3" w14:textId="77777777" w:rsidR="007B60C3" w:rsidRPr="007B60C3" w:rsidRDefault="007B60C3" w:rsidP="007B60C3">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 xml:space="preserve">Reduce burden on the public and prevent the Federal government from collecting redundant information or information that they don’t </w:t>
      </w:r>
      <w:proofErr w:type="gramStart"/>
      <w:r w:rsidRPr="007B60C3">
        <w:rPr>
          <w:rFonts w:ascii="Segoe UI" w:eastAsia="Times New Roman" w:hAnsi="Segoe UI" w:cs="Segoe UI"/>
          <w:color w:val="1F2328"/>
          <w:sz w:val="24"/>
          <w:szCs w:val="24"/>
        </w:rPr>
        <w:t>actually need</w:t>
      </w:r>
      <w:proofErr w:type="gramEnd"/>
      <w:r w:rsidRPr="007B60C3">
        <w:rPr>
          <w:rFonts w:ascii="Segoe UI" w:eastAsia="Times New Roman" w:hAnsi="Segoe UI" w:cs="Segoe UI"/>
          <w:color w:val="1F2328"/>
          <w:sz w:val="24"/>
          <w:szCs w:val="24"/>
        </w:rPr>
        <w:t xml:space="preserve"> to provide a service,</w:t>
      </w:r>
    </w:p>
    <w:p w14:paraId="73AFBE14" w14:textId="77777777" w:rsidR="007B60C3" w:rsidRPr="007B60C3" w:rsidRDefault="007B60C3" w:rsidP="007B60C3">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Make sure that the way the Federal government is collecting information to make policy is designed so that the resulting information can be used to produce meaningful, accurate statistics (think census), and,</w:t>
      </w:r>
    </w:p>
    <w:p w14:paraId="381BE985" w14:textId="77777777" w:rsidR="007B60C3" w:rsidRPr="007B60C3" w:rsidRDefault="007B60C3" w:rsidP="007B60C3">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Give the public a chance to weigh in on how the government is collecting information.</w:t>
      </w:r>
    </w:p>
    <w:p w14:paraId="21DA6EA8"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proofErr w:type="gramStart"/>
      <w:r w:rsidRPr="007B60C3">
        <w:rPr>
          <w:rFonts w:ascii="Segoe UI" w:eastAsia="Times New Roman" w:hAnsi="Segoe UI" w:cs="Segoe UI"/>
          <w:color w:val="1F2328"/>
          <w:sz w:val="24"/>
          <w:szCs w:val="24"/>
        </w:rPr>
        <w:t>TL;</w:t>
      </w:r>
      <w:proofErr w:type="gramEnd"/>
      <w:r w:rsidRPr="007B60C3">
        <w:rPr>
          <w:rFonts w:ascii="Segoe UI" w:eastAsia="Times New Roman" w:hAnsi="Segoe UI" w:cs="Segoe UI"/>
          <w:color w:val="1F2328"/>
          <w:sz w:val="24"/>
          <w:szCs w:val="24"/>
        </w:rPr>
        <w:t xml:space="preserve">DR PRA = The federal government can’t make you fill out bad forms all willy </w:t>
      </w:r>
      <w:proofErr w:type="spellStart"/>
      <w:r w:rsidRPr="007B60C3">
        <w:rPr>
          <w:rFonts w:ascii="Segoe UI" w:eastAsia="Times New Roman" w:hAnsi="Segoe UI" w:cs="Segoe UI"/>
          <w:color w:val="1F2328"/>
          <w:sz w:val="24"/>
          <w:szCs w:val="24"/>
        </w:rPr>
        <w:t>nilly</w:t>
      </w:r>
      <w:proofErr w:type="spellEnd"/>
      <w:r w:rsidRPr="007B60C3">
        <w:rPr>
          <w:rFonts w:ascii="Segoe UI" w:eastAsia="Times New Roman" w:hAnsi="Segoe UI" w:cs="Segoe UI"/>
          <w:color w:val="1F2328"/>
          <w:sz w:val="24"/>
          <w:szCs w:val="24"/>
        </w:rPr>
        <w:t>, and you get to weigh in.</w:t>
      </w:r>
    </w:p>
    <w:p w14:paraId="53D3E69E" w14:textId="77777777" w:rsidR="007B60C3" w:rsidRPr="007B60C3" w:rsidRDefault="007B60C3" w:rsidP="007B60C3">
      <w:pPr>
        <w:shd w:val="clear" w:color="auto" w:fill="FFFFFF"/>
        <w:spacing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 xml:space="preserve">In other words, the PRA is </w:t>
      </w:r>
      <w:proofErr w:type="gramStart"/>
      <w:r w:rsidRPr="007B60C3">
        <w:rPr>
          <w:rFonts w:ascii="Segoe UI" w:eastAsia="Times New Roman" w:hAnsi="Segoe UI" w:cs="Segoe UI"/>
          <w:color w:val="1F2328"/>
          <w:sz w:val="24"/>
          <w:szCs w:val="24"/>
        </w:rPr>
        <w:t>actually </w:t>
      </w:r>
      <w:r w:rsidRPr="007B60C3">
        <w:rPr>
          <w:rFonts w:ascii="Segoe UI" w:eastAsia="Times New Roman" w:hAnsi="Segoe UI" w:cs="Segoe UI"/>
          <w:b/>
          <w:bCs/>
          <w:color w:val="1F2328"/>
          <w:sz w:val="24"/>
          <w:szCs w:val="24"/>
        </w:rPr>
        <w:t>awesome</w:t>
      </w:r>
      <w:proofErr w:type="gramEnd"/>
      <w:r w:rsidRPr="007B60C3">
        <w:rPr>
          <w:rFonts w:ascii="Segoe UI" w:eastAsia="Times New Roman" w:hAnsi="Segoe UI" w:cs="Segoe UI"/>
          <w:color w:val="1F2328"/>
          <w:sz w:val="24"/>
          <w:szCs w:val="24"/>
        </w:rPr>
        <w:t>.</w:t>
      </w:r>
    </w:p>
    <w:p w14:paraId="03430F19"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 </w:t>
      </w:r>
      <w:hyperlink r:id="rId12" w:history="1">
        <w:r w:rsidRPr="007B60C3">
          <w:rPr>
            <w:rFonts w:ascii="Segoe UI" w:eastAsia="Times New Roman" w:hAnsi="Segoe UI" w:cs="Segoe UI"/>
            <w:color w:val="0000FF"/>
            <w:sz w:val="24"/>
            <w:szCs w:val="24"/>
            <w:u w:val="single"/>
          </w:rPr>
          <w:t>User Research Is Not Illegal, Uncle Sam</w:t>
        </w:r>
      </w:hyperlink>
      <w:r w:rsidRPr="007B60C3">
        <w:rPr>
          <w:rFonts w:ascii="Segoe UI" w:eastAsia="Times New Roman" w:hAnsi="Segoe UI" w:cs="Segoe UI"/>
          <w:color w:val="1F2328"/>
          <w:sz w:val="24"/>
          <w:szCs w:val="24"/>
        </w:rPr>
        <w:t>, by Erie Meyer</w:t>
      </w:r>
    </w:p>
    <w:p w14:paraId="3EA6E170"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i/>
          <w:iCs/>
          <w:color w:val="1F2328"/>
          <w:sz w:val="24"/>
          <w:szCs w:val="24"/>
        </w:rPr>
        <w:t>Read this blog post in its entirely for a plain-language explainer on some of the most common misconceptions around the PRA and conducting research in government. It's written by one of the founding members of the U.S. Digital Service</w:t>
      </w:r>
    </w:p>
    <w:p w14:paraId="232357BD"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The following are a few authoritative resources that provide evidence for and further explanation of the PRA exceptions and flexibilities that are relevant to the type of user research we do.</w:t>
      </w:r>
    </w:p>
    <w:p w14:paraId="1DE9B42C" w14:textId="77777777" w:rsidR="007B60C3" w:rsidRPr="007B60C3" w:rsidRDefault="007B60C3" w:rsidP="007B60C3">
      <w:pPr>
        <w:shd w:val="clear" w:color="auto" w:fill="FFFFFF"/>
        <w:spacing w:before="360" w:after="240" w:line="240" w:lineRule="auto"/>
        <w:outlineLvl w:val="2"/>
        <w:rPr>
          <w:rFonts w:ascii="Segoe UI" w:eastAsia="Times New Roman" w:hAnsi="Segoe UI" w:cs="Segoe UI"/>
          <w:b/>
          <w:bCs/>
          <w:color w:val="1F2328"/>
          <w:sz w:val="30"/>
          <w:szCs w:val="30"/>
        </w:rPr>
      </w:pPr>
      <w:hyperlink r:id="rId13" w:anchor="a-18f-method-cards-show-regulations-specific-to-each-method" w:history="1">
        <w:r w:rsidRPr="007B60C3">
          <w:rPr>
            <w:rFonts w:ascii="Segoe UI" w:eastAsia="Times New Roman" w:hAnsi="Segoe UI" w:cs="Segoe UI"/>
            <w:b/>
            <w:bCs/>
            <w:color w:val="0000FF"/>
            <w:sz w:val="30"/>
            <w:szCs w:val="30"/>
            <w:u w:val="single"/>
          </w:rPr>
          <w:t>A. </w:t>
        </w:r>
      </w:hyperlink>
      <w:hyperlink r:id="rId14" w:history="1">
        <w:r w:rsidRPr="007B60C3">
          <w:rPr>
            <w:rFonts w:ascii="Segoe UI" w:eastAsia="Times New Roman" w:hAnsi="Segoe UI" w:cs="Segoe UI"/>
            <w:b/>
            <w:bCs/>
            <w:color w:val="0000FF"/>
            <w:sz w:val="30"/>
            <w:szCs w:val="30"/>
            <w:u w:val="single"/>
          </w:rPr>
          <w:t>18F Method Cards Show Regulations Specific to Each Method</w:t>
        </w:r>
      </w:hyperlink>
      <w:r w:rsidRPr="007B60C3">
        <w:rPr>
          <w:rFonts w:ascii="Segoe UI" w:eastAsia="Times New Roman" w:hAnsi="Segoe UI" w:cs="Segoe UI"/>
          <w:b/>
          <w:bCs/>
          <w:color w:val="1F2328"/>
          <w:sz w:val="30"/>
          <w:szCs w:val="30"/>
        </w:rPr>
        <w:t> </w:t>
      </w:r>
    </w:p>
    <w:p w14:paraId="29B1AC8A"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 xml:space="preserve">These cards describe many of the methods and tools our teams use to put human-centered design into practice. They were created to benefit our organization, our federal colleagues, and the public. These cards ensure our values are well documented throughout our organization, and they serve to help instruct future hires on how we work. Also, they are open to </w:t>
      </w:r>
      <w:proofErr w:type="gramStart"/>
      <w:r w:rsidRPr="007B60C3">
        <w:rPr>
          <w:rFonts w:ascii="Segoe UI" w:eastAsia="Times New Roman" w:hAnsi="Segoe UI" w:cs="Segoe UI"/>
          <w:color w:val="1F2328"/>
          <w:sz w:val="24"/>
          <w:szCs w:val="24"/>
        </w:rPr>
        <w:t>any and all</w:t>
      </w:r>
      <w:proofErr w:type="gramEnd"/>
      <w:r w:rsidRPr="007B60C3">
        <w:rPr>
          <w:rFonts w:ascii="Segoe UI" w:eastAsia="Times New Roman" w:hAnsi="Segoe UI" w:cs="Segoe UI"/>
          <w:color w:val="1F2328"/>
          <w:sz w:val="24"/>
          <w:szCs w:val="24"/>
        </w:rPr>
        <w:t xml:space="preserve"> organizations - and our federal partners - to help employ human-centered design on their own projects.</w:t>
      </w:r>
    </w:p>
    <w:p w14:paraId="2034F896"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b/>
          <w:bCs/>
          <w:color w:val="1F2328"/>
          <w:sz w:val="24"/>
          <w:szCs w:val="24"/>
        </w:rPr>
        <w:lastRenderedPageBreak/>
        <w:t>We can definitively say that GSA and OMB attorneys reviewed these cards before we published them publicly.</w:t>
      </w:r>
    </w:p>
    <w:p w14:paraId="2B314CCA"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 xml:space="preserve">One method card </w:t>
      </w:r>
      <w:proofErr w:type="gramStart"/>
      <w:r w:rsidRPr="007B60C3">
        <w:rPr>
          <w:rFonts w:ascii="Segoe UI" w:eastAsia="Times New Roman" w:hAnsi="Segoe UI" w:cs="Segoe UI"/>
          <w:color w:val="1F2328"/>
          <w:sz w:val="24"/>
          <w:szCs w:val="24"/>
        </w:rPr>
        <w:t>in particular is</w:t>
      </w:r>
      <w:proofErr w:type="gramEnd"/>
      <w:r w:rsidRPr="007B60C3">
        <w:rPr>
          <w:rFonts w:ascii="Segoe UI" w:eastAsia="Times New Roman" w:hAnsi="Segoe UI" w:cs="Segoe UI"/>
          <w:color w:val="1F2328"/>
          <w:sz w:val="24"/>
          <w:szCs w:val="24"/>
        </w:rPr>
        <w:t xml:space="preserve"> the most directly applicable (but please review them all; they're great!) - </w:t>
      </w:r>
      <w:hyperlink r:id="rId15" w:anchor="stakeholder-and-user-interviews" w:history="1">
        <w:r w:rsidRPr="007B60C3">
          <w:rPr>
            <w:rFonts w:ascii="Segoe UI" w:eastAsia="Times New Roman" w:hAnsi="Segoe UI" w:cs="Segoe UI"/>
            <w:color w:val="0000FF"/>
            <w:sz w:val="24"/>
            <w:szCs w:val="24"/>
            <w:u w:val="single"/>
          </w:rPr>
          <w:t>Stakeholder and user interviews</w:t>
        </w:r>
      </w:hyperlink>
      <w:r w:rsidRPr="007B60C3">
        <w:rPr>
          <w:rFonts w:ascii="Segoe UI" w:eastAsia="Times New Roman" w:hAnsi="Segoe UI" w:cs="Segoe UI"/>
          <w:color w:val="1F2328"/>
          <w:sz w:val="24"/>
          <w:szCs w:val="24"/>
        </w:rPr>
        <w:t xml:space="preserve">. The government research guidance in the lower </w:t>
      </w:r>
      <w:proofErr w:type="gramStart"/>
      <w:r w:rsidRPr="007B60C3">
        <w:rPr>
          <w:rFonts w:ascii="Segoe UI" w:eastAsia="Times New Roman" w:hAnsi="Segoe UI" w:cs="Segoe UI"/>
          <w:color w:val="1F2328"/>
          <w:sz w:val="24"/>
          <w:szCs w:val="24"/>
        </w:rPr>
        <w:t>right hand</w:t>
      </w:r>
      <w:proofErr w:type="gramEnd"/>
      <w:r w:rsidRPr="007B60C3">
        <w:rPr>
          <w:rFonts w:ascii="Segoe UI" w:eastAsia="Times New Roman" w:hAnsi="Segoe UI" w:cs="Segoe UI"/>
          <w:color w:val="1F2328"/>
          <w:sz w:val="24"/>
          <w:szCs w:val="24"/>
        </w:rPr>
        <w:t xml:space="preserve"> corner of the card is one of the parts that received the most attention and vetting from legal counsels.</w:t>
      </w:r>
    </w:p>
    <w:p w14:paraId="1D5BA100" w14:textId="77777777" w:rsidR="007B60C3" w:rsidRPr="007B60C3" w:rsidRDefault="007B60C3" w:rsidP="007B60C3">
      <w:pPr>
        <w:shd w:val="clear" w:color="auto" w:fill="FFFFFF"/>
        <w:spacing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No PRA implications. The PRA explicitly exempts direct observation and non-standardized conversation, 5 CFR 1320.3(h)3.</w:t>
      </w:r>
    </w:p>
    <w:p w14:paraId="5F3C38A4" w14:textId="77777777" w:rsidR="007B60C3" w:rsidRPr="007B60C3" w:rsidRDefault="007B60C3" w:rsidP="007B60C3">
      <w:pPr>
        <w:shd w:val="clear" w:color="auto" w:fill="FFFFFF"/>
        <w:spacing w:before="360" w:after="240" w:line="240" w:lineRule="auto"/>
        <w:outlineLvl w:val="2"/>
        <w:rPr>
          <w:rFonts w:ascii="Segoe UI" w:eastAsia="Times New Roman" w:hAnsi="Segoe UI" w:cs="Segoe UI"/>
          <w:b/>
          <w:bCs/>
          <w:color w:val="1F2328"/>
          <w:sz w:val="30"/>
          <w:szCs w:val="30"/>
        </w:rPr>
      </w:pPr>
      <w:hyperlink r:id="rId16" w:anchor="b-paperwork-reduction-act-definition-of-information-5-cfr-13203h3" w:history="1">
        <w:r w:rsidRPr="007B60C3">
          <w:rPr>
            <w:rFonts w:ascii="Segoe UI" w:eastAsia="Times New Roman" w:hAnsi="Segoe UI" w:cs="Segoe UI"/>
            <w:b/>
            <w:bCs/>
            <w:color w:val="0000FF"/>
            <w:sz w:val="30"/>
            <w:szCs w:val="30"/>
            <w:u w:val="single"/>
          </w:rPr>
          <w:t>B. Paperwork Reduction Act Definition of Information </w:t>
        </w:r>
      </w:hyperlink>
      <w:hyperlink r:id="rId17" w:history="1">
        <w:r w:rsidRPr="007B60C3">
          <w:rPr>
            <w:rFonts w:ascii="Segoe UI" w:eastAsia="Times New Roman" w:hAnsi="Segoe UI" w:cs="Segoe UI"/>
            <w:b/>
            <w:bCs/>
            <w:color w:val="0000FF"/>
            <w:sz w:val="30"/>
            <w:szCs w:val="30"/>
            <w:u w:val="single"/>
          </w:rPr>
          <w:t>5 CFR 1320.3(h)3</w:t>
        </w:r>
      </w:hyperlink>
      <w:r w:rsidRPr="007B60C3">
        <w:rPr>
          <w:rFonts w:ascii="Segoe UI" w:eastAsia="Times New Roman" w:hAnsi="Segoe UI" w:cs="Segoe UI"/>
          <w:b/>
          <w:bCs/>
          <w:color w:val="1F2328"/>
          <w:sz w:val="30"/>
          <w:szCs w:val="30"/>
        </w:rPr>
        <w:t> </w:t>
      </w:r>
    </w:p>
    <w:p w14:paraId="2455DBE6"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This is the CFR citation from the Stakeholder and user interviews method card. The language in this section in and of itself, and out of context, is a little wonky, but it's basically a specific sub-definition of "information" as it's applied to PRA. Emphasis ours.</w:t>
      </w:r>
    </w:p>
    <w:p w14:paraId="0CE1C4C0" w14:textId="77777777" w:rsidR="007B60C3" w:rsidRPr="007B60C3" w:rsidRDefault="007B60C3" w:rsidP="007B60C3">
      <w:pPr>
        <w:shd w:val="clear" w:color="auto" w:fill="FFFFFF"/>
        <w:spacing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(h) Information means any statement or estimate of fact or opinion, regardless of form or format, whether in numerical, graphic, or narrative form, and whether oral or maintained on paper, electronic or other media. </w:t>
      </w:r>
      <w:r w:rsidRPr="007B60C3">
        <w:rPr>
          <w:rFonts w:ascii="Segoe UI" w:eastAsia="Times New Roman" w:hAnsi="Segoe UI" w:cs="Segoe UI"/>
          <w:b/>
          <w:bCs/>
          <w:color w:val="1F2328"/>
          <w:sz w:val="24"/>
          <w:szCs w:val="24"/>
        </w:rPr>
        <w:t>“Information” does not generally include items in the following categories;</w:t>
      </w:r>
      <w:r w:rsidRPr="007B60C3">
        <w:rPr>
          <w:rFonts w:ascii="Segoe UI" w:eastAsia="Times New Roman" w:hAnsi="Segoe UI" w:cs="Segoe UI"/>
          <w:color w:val="1F2328"/>
          <w:sz w:val="24"/>
          <w:szCs w:val="24"/>
        </w:rPr>
        <w:t> however, OMB may determine that any specific item constitutes “information”:</w:t>
      </w:r>
    </w:p>
    <w:p w14:paraId="4C45A416" w14:textId="77777777" w:rsidR="007B60C3" w:rsidRPr="007B60C3" w:rsidRDefault="007B60C3" w:rsidP="007B60C3">
      <w:pPr>
        <w:shd w:val="clear" w:color="auto" w:fill="FFFFFF"/>
        <w:spacing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(3) </w:t>
      </w:r>
      <w:r w:rsidRPr="007B60C3">
        <w:rPr>
          <w:rFonts w:ascii="Segoe UI" w:eastAsia="Times New Roman" w:hAnsi="Segoe UI" w:cs="Segoe UI"/>
          <w:b/>
          <w:bCs/>
          <w:color w:val="1F2328"/>
          <w:sz w:val="24"/>
          <w:szCs w:val="24"/>
        </w:rPr>
        <w:t>Facts or opinions</w:t>
      </w:r>
      <w:r w:rsidRPr="007B60C3">
        <w:rPr>
          <w:rFonts w:ascii="Segoe UI" w:eastAsia="Times New Roman" w:hAnsi="Segoe UI" w:cs="Segoe UI"/>
          <w:color w:val="1F2328"/>
          <w:sz w:val="24"/>
          <w:szCs w:val="24"/>
        </w:rPr>
        <w:t> obtained through direct observation by an employee or agent of the sponsoring agency or </w:t>
      </w:r>
      <w:r w:rsidRPr="007B60C3">
        <w:rPr>
          <w:rFonts w:ascii="Segoe UI" w:eastAsia="Times New Roman" w:hAnsi="Segoe UI" w:cs="Segoe UI"/>
          <w:b/>
          <w:bCs/>
          <w:color w:val="1F2328"/>
          <w:sz w:val="24"/>
          <w:szCs w:val="24"/>
        </w:rPr>
        <w:t xml:space="preserve">through </w:t>
      </w:r>
      <w:proofErr w:type="spellStart"/>
      <w:r w:rsidRPr="007B60C3">
        <w:rPr>
          <w:rFonts w:ascii="Segoe UI" w:eastAsia="Times New Roman" w:hAnsi="Segoe UI" w:cs="Segoe UI"/>
          <w:b/>
          <w:bCs/>
          <w:color w:val="1F2328"/>
          <w:sz w:val="24"/>
          <w:szCs w:val="24"/>
        </w:rPr>
        <w:t>nonstandardized</w:t>
      </w:r>
      <w:proofErr w:type="spellEnd"/>
      <w:r w:rsidRPr="007B60C3">
        <w:rPr>
          <w:rFonts w:ascii="Segoe UI" w:eastAsia="Times New Roman" w:hAnsi="Segoe UI" w:cs="Segoe UI"/>
          <w:b/>
          <w:bCs/>
          <w:color w:val="1F2328"/>
          <w:sz w:val="24"/>
          <w:szCs w:val="24"/>
        </w:rPr>
        <w:t xml:space="preserve"> oral communication</w:t>
      </w:r>
      <w:r w:rsidRPr="007B60C3">
        <w:rPr>
          <w:rFonts w:ascii="Segoe UI" w:eastAsia="Times New Roman" w:hAnsi="Segoe UI" w:cs="Segoe UI"/>
          <w:color w:val="1F2328"/>
          <w:sz w:val="24"/>
          <w:szCs w:val="24"/>
        </w:rPr>
        <w:t xml:space="preserve"> in connection with such direct </w:t>
      </w:r>
      <w:proofErr w:type="gramStart"/>
      <w:r w:rsidRPr="007B60C3">
        <w:rPr>
          <w:rFonts w:ascii="Segoe UI" w:eastAsia="Times New Roman" w:hAnsi="Segoe UI" w:cs="Segoe UI"/>
          <w:color w:val="1F2328"/>
          <w:sz w:val="24"/>
          <w:szCs w:val="24"/>
        </w:rPr>
        <w:t>observations;</w:t>
      </w:r>
      <w:proofErr w:type="gramEnd"/>
    </w:p>
    <w:p w14:paraId="26B4AB86"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This essentially says that non-standardized conversations (</w:t>
      </w:r>
      <w:proofErr w:type="gramStart"/>
      <w:r w:rsidRPr="007B60C3">
        <w:rPr>
          <w:rFonts w:ascii="Segoe UI" w:eastAsia="Times New Roman" w:hAnsi="Segoe UI" w:cs="Segoe UI"/>
          <w:color w:val="1F2328"/>
          <w:sz w:val="24"/>
          <w:szCs w:val="24"/>
        </w:rPr>
        <w:t>e.g.</w:t>
      </w:r>
      <w:proofErr w:type="gramEnd"/>
      <w:r w:rsidRPr="007B60C3">
        <w:rPr>
          <w:rFonts w:ascii="Segoe UI" w:eastAsia="Times New Roman" w:hAnsi="Segoe UI" w:cs="Segoe UI"/>
          <w:color w:val="1F2328"/>
          <w:sz w:val="24"/>
          <w:szCs w:val="24"/>
        </w:rPr>
        <w:t xml:space="preserve"> any sort of 1:1 interview, contextual inquiry or usability test based on a loose conversation guide) are exempt from the rules of PRA.</w:t>
      </w:r>
    </w:p>
    <w:p w14:paraId="7C24EAC0" w14:textId="77777777" w:rsidR="007B60C3" w:rsidRPr="007B60C3" w:rsidRDefault="007B60C3" w:rsidP="007B60C3">
      <w:pPr>
        <w:shd w:val="clear" w:color="auto" w:fill="FFFFFF"/>
        <w:spacing w:before="360" w:after="240" w:line="240" w:lineRule="auto"/>
        <w:outlineLvl w:val="2"/>
        <w:rPr>
          <w:rFonts w:ascii="Segoe UI" w:eastAsia="Times New Roman" w:hAnsi="Segoe UI" w:cs="Segoe UI"/>
          <w:b/>
          <w:bCs/>
          <w:color w:val="1F2328"/>
          <w:sz w:val="30"/>
          <w:szCs w:val="30"/>
        </w:rPr>
      </w:pPr>
      <w:hyperlink r:id="rId18" w:anchor="c-office-of-information-and-regulatory-affairs-oira-memo" w:history="1">
        <w:r w:rsidRPr="007B60C3">
          <w:rPr>
            <w:rFonts w:ascii="Segoe UI" w:eastAsia="Times New Roman" w:hAnsi="Segoe UI" w:cs="Segoe UI"/>
            <w:b/>
            <w:bCs/>
            <w:color w:val="0000FF"/>
            <w:sz w:val="30"/>
            <w:szCs w:val="30"/>
            <w:u w:val="single"/>
          </w:rPr>
          <w:t>C. Office of Information and Regulatory Affairs (OIRA) Memo</w:t>
        </w:r>
      </w:hyperlink>
    </w:p>
    <w:p w14:paraId="2F4EB4FF"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The language in </w:t>
      </w:r>
      <w:hyperlink r:id="rId19" w:history="1">
        <w:r w:rsidRPr="007B60C3">
          <w:rPr>
            <w:rFonts w:ascii="Segoe UI" w:eastAsia="Times New Roman" w:hAnsi="Segoe UI" w:cs="Segoe UI"/>
            <w:color w:val="0000FF"/>
            <w:sz w:val="24"/>
            <w:szCs w:val="24"/>
            <w:u w:val="single"/>
          </w:rPr>
          <w:t>this OIRA memo</w:t>
        </w:r>
      </w:hyperlink>
      <w:r w:rsidRPr="007B60C3">
        <w:rPr>
          <w:rFonts w:ascii="Segoe UI" w:eastAsia="Times New Roman" w:hAnsi="Segoe UI" w:cs="Segoe UI"/>
          <w:color w:val="1F2328"/>
          <w:sz w:val="24"/>
          <w:szCs w:val="24"/>
        </w:rPr>
        <w:t> is another example of a favorable interpretation of 5 CFR 1320.3(h)3. Please see the following in the last page of the memo:</w:t>
      </w:r>
    </w:p>
    <w:p w14:paraId="79826E2E" w14:textId="77777777" w:rsidR="007B60C3" w:rsidRPr="007B60C3" w:rsidRDefault="007B60C3" w:rsidP="007B60C3">
      <w:pPr>
        <w:shd w:val="clear" w:color="auto" w:fill="FFFFFF"/>
        <w:spacing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 xml:space="preserve">Thus, when the sponsoring agency merely observes a user interacting with a digital services tool or product and at most engages in </w:t>
      </w:r>
      <w:proofErr w:type="spellStart"/>
      <w:r w:rsidRPr="007B60C3">
        <w:rPr>
          <w:rFonts w:ascii="Segoe UI" w:eastAsia="Times New Roman" w:hAnsi="Segoe UI" w:cs="Segoe UI"/>
          <w:color w:val="1F2328"/>
          <w:sz w:val="24"/>
          <w:szCs w:val="24"/>
        </w:rPr>
        <w:t>nonstandardized</w:t>
      </w:r>
      <w:proofErr w:type="spellEnd"/>
      <w:r w:rsidRPr="007B60C3">
        <w:rPr>
          <w:rFonts w:ascii="Segoe UI" w:eastAsia="Times New Roman" w:hAnsi="Segoe UI" w:cs="Segoe UI"/>
          <w:color w:val="1F2328"/>
          <w:sz w:val="24"/>
          <w:szCs w:val="24"/>
        </w:rPr>
        <w:t xml:space="preserve"> oral communications with the user, the </w:t>
      </w:r>
      <w:proofErr w:type="gramStart"/>
      <w:r w:rsidRPr="007B60C3">
        <w:rPr>
          <w:rFonts w:ascii="Segoe UI" w:eastAsia="Times New Roman" w:hAnsi="Segoe UI" w:cs="Segoe UI"/>
          <w:color w:val="1F2328"/>
          <w:sz w:val="24"/>
          <w:szCs w:val="24"/>
        </w:rPr>
        <w:t>facts</w:t>
      </w:r>
      <w:proofErr w:type="gramEnd"/>
      <w:r w:rsidRPr="007B60C3">
        <w:rPr>
          <w:rFonts w:ascii="Segoe UI" w:eastAsia="Times New Roman" w:hAnsi="Segoe UI" w:cs="Segoe UI"/>
          <w:color w:val="1F2328"/>
          <w:sz w:val="24"/>
          <w:szCs w:val="24"/>
        </w:rPr>
        <w:t xml:space="preserve"> or opinions the sponsoring agency obtains are not subject to the PRA.</w:t>
      </w:r>
    </w:p>
    <w:p w14:paraId="1BC9C8DC" w14:textId="77777777" w:rsidR="007B60C3" w:rsidRPr="007B60C3" w:rsidRDefault="007B60C3" w:rsidP="007B60C3">
      <w:pPr>
        <w:shd w:val="clear" w:color="auto" w:fill="FFFFFF"/>
        <w:spacing w:before="360" w:after="240" w:line="240" w:lineRule="auto"/>
        <w:outlineLvl w:val="2"/>
        <w:rPr>
          <w:rFonts w:ascii="Segoe UI" w:eastAsia="Times New Roman" w:hAnsi="Segoe UI" w:cs="Segoe UI"/>
          <w:b/>
          <w:bCs/>
          <w:color w:val="1F2328"/>
          <w:sz w:val="30"/>
          <w:szCs w:val="30"/>
        </w:rPr>
      </w:pPr>
      <w:hyperlink r:id="rId20" w:anchor="d-m-17-06-policies-for-federal-agency-public-websites-and-digital-services" w:history="1">
        <w:r w:rsidRPr="007B60C3">
          <w:rPr>
            <w:rFonts w:ascii="Segoe UI" w:eastAsia="Times New Roman" w:hAnsi="Segoe UI" w:cs="Segoe UI"/>
            <w:b/>
            <w:bCs/>
            <w:color w:val="0000FF"/>
            <w:sz w:val="30"/>
            <w:szCs w:val="30"/>
            <w:u w:val="single"/>
          </w:rPr>
          <w:t>D. </w:t>
        </w:r>
      </w:hyperlink>
      <w:hyperlink r:id="rId21" w:history="1">
        <w:r w:rsidRPr="007B60C3">
          <w:rPr>
            <w:rFonts w:ascii="Segoe UI" w:eastAsia="Times New Roman" w:hAnsi="Segoe UI" w:cs="Segoe UI"/>
            <w:b/>
            <w:bCs/>
            <w:color w:val="0000FF"/>
            <w:sz w:val="30"/>
            <w:szCs w:val="30"/>
            <w:u w:val="single"/>
          </w:rPr>
          <w:t>M-17-06</w:t>
        </w:r>
      </w:hyperlink>
      <w:r w:rsidRPr="007B60C3">
        <w:rPr>
          <w:rFonts w:ascii="Segoe UI" w:eastAsia="Times New Roman" w:hAnsi="Segoe UI" w:cs="Segoe UI"/>
          <w:b/>
          <w:bCs/>
          <w:color w:val="1F2328"/>
          <w:sz w:val="30"/>
          <w:szCs w:val="30"/>
        </w:rPr>
        <w:t>: “Policies for Federal Agency Public Websites and Digital Services”</w:t>
      </w:r>
    </w:p>
    <w:p w14:paraId="272B5400"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This was an update to the policies surrounding public websites and digital services for federal agencies that was issued in Nov 2016, which is worth a read in general.</w:t>
      </w:r>
    </w:p>
    <w:p w14:paraId="444240B1" w14:textId="77777777" w:rsidR="007B60C3" w:rsidRPr="007B60C3" w:rsidRDefault="007B60C3" w:rsidP="007B60C3">
      <w:pPr>
        <w:shd w:val="clear" w:color="auto" w:fill="FFFFFF"/>
        <w:spacing w:before="360" w:after="240" w:line="240" w:lineRule="auto"/>
        <w:outlineLvl w:val="2"/>
        <w:rPr>
          <w:rFonts w:ascii="Segoe UI" w:eastAsia="Times New Roman" w:hAnsi="Segoe UI" w:cs="Segoe UI"/>
          <w:b/>
          <w:bCs/>
          <w:color w:val="1F2328"/>
          <w:sz w:val="30"/>
          <w:szCs w:val="30"/>
        </w:rPr>
      </w:pPr>
      <w:hyperlink r:id="rId22" w:anchor="e-social-media-web-based-interactive-technologies-and-the-paperwork-reduction-act" w:history="1">
        <w:r w:rsidRPr="007B60C3">
          <w:rPr>
            <w:rFonts w:ascii="Segoe UI" w:eastAsia="Times New Roman" w:hAnsi="Segoe UI" w:cs="Segoe UI"/>
            <w:b/>
            <w:bCs/>
            <w:color w:val="0000FF"/>
            <w:sz w:val="30"/>
            <w:szCs w:val="30"/>
            <w:u w:val="single"/>
          </w:rPr>
          <w:t xml:space="preserve">E. </w:t>
        </w:r>
        <w:proofErr w:type="gramStart"/>
        <w:r w:rsidRPr="007B60C3">
          <w:rPr>
            <w:rFonts w:ascii="Segoe UI" w:eastAsia="Times New Roman" w:hAnsi="Segoe UI" w:cs="Segoe UI"/>
            <w:b/>
            <w:bCs/>
            <w:color w:val="0000FF"/>
            <w:sz w:val="30"/>
            <w:szCs w:val="30"/>
            <w:u w:val="single"/>
          </w:rPr>
          <w:t>Social Media</w:t>
        </w:r>
        <w:proofErr w:type="gramEnd"/>
        <w:r w:rsidRPr="007B60C3">
          <w:rPr>
            <w:rFonts w:ascii="Segoe UI" w:eastAsia="Times New Roman" w:hAnsi="Segoe UI" w:cs="Segoe UI"/>
            <w:b/>
            <w:bCs/>
            <w:color w:val="0000FF"/>
            <w:sz w:val="30"/>
            <w:szCs w:val="30"/>
            <w:u w:val="single"/>
          </w:rPr>
          <w:t>, Web-Based Interactive Technologies, and the Paperwork Reduction Act</w:t>
        </w:r>
      </w:hyperlink>
    </w:p>
    <w:p w14:paraId="3CB8A516"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This was a </w:t>
      </w:r>
      <w:hyperlink r:id="rId23" w:history="1">
        <w:r w:rsidRPr="007B60C3">
          <w:rPr>
            <w:rFonts w:ascii="Segoe UI" w:eastAsia="Times New Roman" w:hAnsi="Segoe UI" w:cs="Segoe UI"/>
            <w:color w:val="0000FF"/>
            <w:sz w:val="24"/>
            <w:szCs w:val="24"/>
            <w:u w:val="single"/>
          </w:rPr>
          <w:t>2010 memo</w:t>
        </w:r>
      </w:hyperlink>
      <w:r w:rsidRPr="007B60C3">
        <w:rPr>
          <w:rFonts w:ascii="Segoe UI" w:eastAsia="Times New Roman" w:hAnsi="Segoe UI" w:cs="Segoe UI"/>
          <w:color w:val="1F2328"/>
          <w:sz w:val="24"/>
          <w:szCs w:val="24"/>
        </w:rPr>
        <w:t> that provides guidance on how PRA relates to social media. Much of the content of this memo has implications on our approach to recruiting user research participants.</w:t>
      </w:r>
    </w:p>
    <w:p w14:paraId="12A20E38"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In short, you are free to use a recruiting screener to recruit participants directly from your site, or from social media, but certain rules and restrictions apply. </w:t>
      </w:r>
      <w:r w:rsidRPr="007B60C3">
        <w:rPr>
          <w:rFonts w:ascii="Segoe UI" w:eastAsia="Times New Roman" w:hAnsi="Segoe UI" w:cs="Segoe UI"/>
          <w:b/>
          <w:bCs/>
          <w:color w:val="1F2328"/>
          <w:sz w:val="24"/>
          <w:szCs w:val="24"/>
        </w:rPr>
        <w:t>PRA interpretations vary by agency, so be sure to make friends with DOI’s PRA officer</w:t>
      </w:r>
      <w:r w:rsidRPr="007B60C3">
        <w:rPr>
          <w:rFonts w:ascii="Segoe UI" w:eastAsia="Times New Roman" w:hAnsi="Segoe UI" w:cs="Segoe UI"/>
          <w:color w:val="1F2328"/>
          <w:sz w:val="24"/>
          <w:szCs w:val="24"/>
        </w:rPr>
        <w:t>.</w:t>
      </w:r>
    </w:p>
    <w:p w14:paraId="6E0829EC" w14:textId="77777777" w:rsidR="007B60C3" w:rsidRPr="007B60C3" w:rsidRDefault="007B60C3" w:rsidP="007B60C3">
      <w:pPr>
        <w:shd w:val="clear" w:color="auto" w:fill="FFFFFF"/>
        <w:spacing w:before="360" w:after="240" w:line="240" w:lineRule="auto"/>
        <w:outlineLvl w:val="1"/>
        <w:rPr>
          <w:rFonts w:ascii="Segoe UI" w:eastAsia="Times New Roman" w:hAnsi="Segoe UI" w:cs="Segoe UI"/>
          <w:b/>
          <w:bCs/>
          <w:color w:val="1F2328"/>
          <w:sz w:val="36"/>
          <w:szCs w:val="36"/>
        </w:rPr>
      </w:pPr>
      <w:hyperlink r:id="rId24" w:anchor="getting-informed-consent" w:history="1">
        <w:r w:rsidRPr="007B60C3">
          <w:rPr>
            <w:rFonts w:ascii="Segoe UI" w:eastAsia="Times New Roman" w:hAnsi="Segoe UI" w:cs="Segoe UI"/>
            <w:b/>
            <w:bCs/>
            <w:color w:val="0000FF"/>
            <w:sz w:val="36"/>
            <w:szCs w:val="36"/>
            <w:u w:val="single"/>
          </w:rPr>
          <w:t>Getting informed consent</w:t>
        </w:r>
      </w:hyperlink>
    </w:p>
    <w:p w14:paraId="4A3D29B0"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Designers are responsible for honoring people’s opinions and choices, only blocking actions that are obviously going to harm others. We make sure that anyone participating in our research is doing so of their own free will, and that they have enough information to make that decision responsibly. Here are some guides and templates to help you do the same:</w:t>
      </w:r>
    </w:p>
    <w:p w14:paraId="27750E98" w14:textId="77777777" w:rsidR="007B60C3" w:rsidRPr="007B60C3" w:rsidRDefault="007B60C3" w:rsidP="007B60C3">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25" w:anchor="getting-informed-consent" w:history="1">
        <w:r w:rsidRPr="007B60C3">
          <w:rPr>
            <w:rFonts w:ascii="Segoe UI" w:eastAsia="Times New Roman" w:hAnsi="Segoe UI" w:cs="Segoe UI"/>
            <w:color w:val="0000FF"/>
            <w:sz w:val="24"/>
            <w:szCs w:val="24"/>
            <w:u w:val="single"/>
          </w:rPr>
          <w:t>18F Handbook: Getting informed consent</w:t>
        </w:r>
      </w:hyperlink>
    </w:p>
    <w:p w14:paraId="50BDA5E6" w14:textId="77777777" w:rsidR="007B60C3" w:rsidRPr="007B60C3" w:rsidRDefault="007B60C3" w:rsidP="007B60C3">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hyperlink r:id="rId26" w:history="1">
        <w:r w:rsidRPr="007B60C3">
          <w:rPr>
            <w:rFonts w:ascii="Segoe UI" w:eastAsia="Times New Roman" w:hAnsi="Segoe UI" w:cs="Segoe UI"/>
            <w:color w:val="0000FF"/>
            <w:sz w:val="24"/>
            <w:szCs w:val="24"/>
            <w:u w:val="single"/>
          </w:rPr>
          <w:t>Sample participant agreement</w:t>
        </w:r>
      </w:hyperlink>
      <w:r w:rsidRPr="007B60C3">
        <w:rPr>
          <w:rFonts w:ascii="Segoe UI" w:eastAsia="Times New Roman" w:hAnsi="Segoe UI" w:cs="Segoe UI"/>
          <w:color w:val="1F2328"/>
          <w:sz w:val="24"/>
          <w:szCs w:val="24"/>
        </w:rPr>
        <w:t> from the 18F Method Cards</w:t>
      </w:r>
    </w:p>
    <w:p w14:paraId="169249BD" w14:textId="77777777" w:rsidR="007B60C3" w:rsidRPr="007B60C3" w:rsidRDefault="007B60C3" w:rsidP="007B60C3">
      <w:pPr>
        <w:shd w:val="clear" w:color="auto" w:fill="FFFFFF"/>
        <w:spacing w:before="360" w:after="240" w:line="240" w:lineRule="auto"/>
        <w:outlineLvl w:val="1"/>
        <w:rPr>
          <w:rFonts w:ascii="Segoe UI" w:eastAsia="Times New Roman" w:hAnsi="Segoe UI" w:cs="Segoe UI"/>
          <w:b/>
          <w:bCs/>
          <w:color w:val="1F2328"/>
          <w:sz w:val="36"/>
          <w:szCs w:val="36"/>
        </w:rPr>
      </w:pPr>
      <w:hyperlink r:id="rId27" w:anchor="handling-personally-identifiable-information-pii" w:history="1">
        <w:r w:rsidRPr="007B60C3">
          <w:rPr>
            <w:rFonts w:ascii="Segoe UI" w:eastAsia="Times New Roman" w:hAnsi="Segoe UI" w:cs="Segoe UI"/>
            <w:b/>
            <w:bCs/>
            <w:color w:val="0000FF"/>
            <w:sz w:val="36"/>
            <w:szCs w:val="36"/>
            <w:u w:val="single"/>
          </w:rPr>
          <w:t>Handling Personally Identifiable Information (PII)</w:t>
        </w:r>
      </w:hyperlink>
    </w:p>
    <w:p w14:paraId="0523A1B1" w14:textId="77777777" w:rsidR="007B60C3" w:rsidRPr="007B60C3" w:rsidRDefault="007B60C3" w:rsidP="007B60C3">
      <w:pPr>
        <w:shd w:val="clear" w:color="auto" w:fill="FFFFFF"/>
        <w:spacing w:after="240" w:line="240" w:lineRule="auto"/>
        <w:rPr>
          <w:rFonts w:ascii="Segoe UI" w:eastAsia="Times New Roman" w:hAnsi="Segoe UI" w:cs="Segoe UI"/>
          <w:color w:val="1F2328"/>
          <w:sz w:val="24"/>
          <w:szCs w:val="24"/>
        </w:rPr>
      </w:pPr>
      <w:r w:rsidRPr="007B60C3">
        <w:rPr>
          <w:rFonts w:ascii="Segoe UI" w:eastAsia="Times New Roman" w:hAnsi="Segoe UI" w:cs="Segoe UI"/>
          <w:color w:val="1F2328"/>
          <w:sz w:val="24"/>
          <w:szCs w:val="24"/>
        </w:rPr>
        <w:t>Designers have an obligation to respect and protect privacy. People will not honestly participate in design processes, nor make use of products and services, they do not trust. Here are some guides and tools to help you manage PII responsibly in your design work:</w:t>
      </w:r>
    </w:p>
    <w:p w14:paraId="42FEC876" w14:textId="77777777" w:rsidR="007B60C3" w:rsidRPr="007B60C3" w:rsidRDefault="007B60C3" w:rsidP="007B60C3">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28" w:anchor="managing-personally-identifiable-information-pii" w:history="1">
        <w:r w:rsidRPr="007B60C3">
          <w:rPr>
            <w:rFonts w:ascii="Segoe UI" w:eastAsia="Times New Roman" w:hAnsi="Segoe UI" w:cs="Segoe UI"/>
            <w:color w:val="0000FF"/>
            <w:sz w:val="24"/>
            <w:szCs w:val="24"/>
            <w:u w:val="single"/>
          </w:rPr>
          <w:t>18F Handbook: Managing Personally Identifiable Information (PII)</w:t>
        </w:r>
      </w:hyperlink>
    </w:p>
    <w:p w14:paraId="435D2372" w14:textId="77777777" w:rsidR="007B60C3" w:rsidRPr="007B60C3" w:rsidRDefault="007B60C3" w:rsidP="007B60C3">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hyperlink r:id="rId29" w:history="1">
        <w:r w:rsidRPr="007B60C3">
          <w:rPr>
            <w:rFonts w:ascii="Segoe UI" w:eastAsia="Times New Roman" w:hAnsi="Segoe UI" w:cs="Segoe UI"/>
            <w:color w:val="0000FF"/>
            <w:sz w:val="24"/>
            <w:szCs w:val="24"/>
            <w:u w:val="single"/>
          </w:rPr>
          <w:t>What people think about before deciding to share personal information with the government</w:t>
        </w:r>
      </w:hyperlink>
      <w:r w:rsidRPr="007B60C3">
        <w:rPr>
          <w:rFonts w:ascii="Segoe UI" w:eastAsia="Times New Roman" w:hAnsi="Segoe UI" w:cs="Segoe UI"/>
          <w:color w:val="1F2328"/>
          <w:sz w:val="24"/>
          <w:szCs w:val="24"/>
        </w:rPr>
        <w:t xml:space="preserve">, an 18F research </w:t>
      </w:r>
      <w:proofErr w:type="gramStart"/>
      <w:r w:rsidRPr="007B60C3">
        <w:rPr>
          <w:rFonts w:ascii="Segoe UI" w:eastAsia="Times New Roman" w:hAnsi="Segoe UI" w:cs="Segoe UI"/>
          <w:color w:val="1F2328"/>
          <w:sz w:val="24"/>
          <w:szCs w:val="24"/>
        </w:rPr>
        <w:t>initiative</w:t>
      </w:r>
      <w:proofErr w:type="gramEnd"/>
    </w:p>
    <w:p w14:paraId="67259850" w14:textId="77777777" w:rsidR="007B60C3" w:rsidRPr="007B60C3" w:rsidRDefault="007B60C3" w:rsidP="007B60C3">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hyperlink r:id="rId30" w:history="1">
        <w:r w:rsidRPr="007B60C3">
          <w:rPr>
            <w:rFonts w:ascii="Segoe UI" w:eastAsia="Times New Roman" w:hAnsi="Segoe UI" w:cs="Segoe UI"/>
            <w:color w:val="0000FF"/>
            <w:sz w:val="24"/>
            <w:szCs w:val="24"/>
            <w:u w:val="single"/>
          </w:rPr>
          <w:t>18F Method Cards: Privacy</w:t>
        </w:r>
      </w:hyperlink>
    </w:p>
    <w:p w14:paraId="2C1A3B63" w14:textId="77777777" w:rsidR="006A528C" w:rsidRDefault="006A528C"/>
    <w:sectPr w:rsidR="006A5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B7C"/>
    <w:multiLevelType w:val="multilevel"/>
    <w:tmpl w:val="8AB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04F8"/>
    <w:multiLevelType w:val="multilevel"/>
    <w:tmpl w:val="B63E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1FEA"/>
    <w:multiLevelType w:val="multilevel"/>
    <w:tmpl w:val="F4E4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D0B8B"/>
    <w:multiLevelType w:val="multilevel"/>
    <w:tmpl w:val="E974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3778D"/>
    <w:multiLevelType w:val="multilevel"/>
    <w:tmpl w:val="430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740DF"/>
    <w:multiLevelType w:val="multilevel"/>
    <w:tmpl w:val="CDB8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E547A"/>
    <w:multiLevelType w:val="multilevel"/>
    <w:tmpl w:val="1620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808E1"/>
    <w:multiLevelType w:val="multilevel"/>
    <w:tmpl w:val="7C9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86BF0"/>
    <w:multiLevelType w:val="multilevel"/>
    <w:tmpl w:val="4CE8D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041E2"/>
    <w:multiLevelType w:val="multilevel"/>
    <w:tmpl w:val="7550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A6BE9"/>
    <w:multiLevelType w:val="multilevel"/>
    <w:tmpl w:val="4F42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F6FC2"/>
    <w:multiLevelType w:val="multilevel"/>
    <w:tmpl w:val="88B0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96DAF"/>
    <w:multiLevelType w:val="multilevel"/>
    <w:tmpl w:val="5222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176BA"/>
    <w:multiLevelType w:val="multilevel"/>
    <w:tmpl w:val="272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1674E"/>
    <w:multiLevelType w:val="multilevel"/>
    <w:tmpl w:val="B29A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51D1D"/>
    <w:multiLevelType w:val="multilevel"/>
    <w:tmpl w:val="311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636197">
    <w:abstractNumId w:val="4"/>
  </w:num>
  <w:num w:numId="2" w16cid:durableId="115409960">
    <w:abstractNumId w:val="0"/>
  </w:num>
  <w:num w:numId="3" w16cid:durableId="814104738">
    <w:abstractNumId w:val="11"/>
  </w:num>
  <w:num w:numId="4" w16cid:durableId="1118573400">
    <w:abstractNumId w:val="14"/>
  </w:num>
  <w:num w:numId="5" w16cid:durableId="985399718">
    <w:abstractNumId w:val="6"/>
  </w:num>
  <w:num w:numId="6" w16cid:durableId="1710186822">
    <w:abstractNumId w:val="9"/>
  </w:num>
  <w:num w:numId="7" w16cid:durableId="2062051284">
    <w:abstractNumId w:val="1"/>
  </w:num>
  <w:num w:numId="8" w16cid:durableId="1918900033">
    <w:abstractNumId w:val="15"/>
  </w:num>
  <w:num w:numId="9" w16cid:durableId="1537698658">
    <w:abstractNumId w:val="3"/>
  </w:num>
  <w:num w:numId="10" w16cid:durableId="1316186523">
    <w:abstractNumId w:val="13"/>
  </w:num>
  <w:num w:numId="11" w16cid:durableId="1033309751">
    <w:abstractNumId w:val="10"/>
  </w:num>
  <w:num w:numId="12" w16cid:durableId="52506588">
    <w:abstractNumId w:val="8"/>
  </w:num>
  <w:num w:numId="13" w16cid:durableId="933168366">
    <w:abstractNumId w:val="5"/>
  </w:num>
  <w:num w:numId="14" w16cid:durableId="1486630006">
    <w:abstractNumId w:val="2"/>
  </w:num>
  <w:num w:numId="15" w16cid:durableId="1598635795">
    <w:abstractNumId w:val="7"/>
  </w:num>
  <w:num w:numId="16" w16cid:durableId="19845764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C3"/>
    <w:rsid w:val="006A528C"/>
    <w:rsid w:val="007B60C3"/>
    <w:rsid w:val="00936B4C"/>
    <w:rsid w:val="00C12D27"/>
    <w:rsid w:val="00CC5F41"/>
    <w:rsid w:val="00DB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E10F"/>
  <w15:chartTrackingRefBased/>
  <w15:docId w15:val="{2E71DCF9-FAC3-4AF6-A7A8-4BEE7289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0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60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B60C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0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0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0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60C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B60C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B60C3"/>
    <w:rPr>
      <w:color w:val="0000FF"/>
      <w:u w:val="single"/>
    </w:rPr>
  </w:style>
  <w:style w:type="character" w:customStyle="1" w:styleId="button-label">
    <w:name w:val="button-label"/>
    <w:basedOn w:val="DefaultParagraphFont"/>
    <w:rsid w:val="007B60C3"/>
  </w:style>
  <w:style w:type="character" w:customStyle="1" w:styleId="counter">
    <w:name w:val="counter"/>
    <w:basedOn w:val="DefaultParagraphFont"/>
    <w:rsid w:val="007B60C3"/>
  </w:style>
  <w:style w:type="character" w:styleId="Emphasis">
    <w:name w:val="Emphasis"/>
    <w:basedOn w:val="DefaultParagraphFont"/>
    <w:uiPriority w:val="20"/>
    <w:qFormat/>
    <w:rsid w:val="007B60C3"/>
    <w:rPr>
      <w:i/>
      <w:iCs/>
    </w:rPr>
  </w:style>
  <w:style w:type="paragraph" w:styleId="NormalWeb">
    <w:name w:val="Normal (Web)"/>
    <w:basedOn w:val="Normal"/>
    <w:uiPriority w:val="99"/>
    <w:semiHidden/>
    <w:unhideWhenUsed/>
    <w:rsid w:val="007B6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9344">
      <w:bodyDiv w:val="1"/>
      <w:marLeft w:val="0"/>
      <w:marRight w:val="0"/>
      <w:marTop w:val="0"/>
      <w:marBottom w:val="0"/>
      <w:divBdr>
        <w:top w:val="none" w:sz="0" w:space="0" w:color="auto"/>
        <w:left w:val="none" w:sz="0" w:space="0" w:color="auto"/>
        <w:bottom w:val="none" w:sz="0" w:space="0" w:color="auto"/>
        <w:right w:val="none" w:sz="0" w:space="0" w:color="auto"/>
      </w:divBdr>
      <w:divsChild>
        <w:div w:id="1518808073">
          <w:marLeft w:val="0"/>
          <w:marRight w:val="0"/>
          <w:marTop w:val="0"/>
          <w:marBottom w:val="0"/>
          <w:divBdr>
            <w:top w:val="none" w:sz="0" w:space="0" w:color="auto"/>
            <w:left w:val="none" w:sz="0" w:space="0" w:color="auto"/>
            <w:bottom w:val="none" w:sz="0" w:space="0" w:color="auto"/>
            <w:right w:val="none" w:sz="0" w:space="0" w:color="auto"/>
          </w:divBdr>
          <w:divsChild>
            <w:div w:id="1129468209">
              <w:marLeft w:val="0"/>
              <w:marRight w:val="0"/>
              <w:marTop w:val="60"/>
              <w:marBottom w:val="0"/>
              <w:divBdr>
                <w:top w:val="none" w:sz="0" w:space="0" w:color="auto"/>
                <w:left w:val="none" w:sz="0" w:space="0" w:color="auto"/>
                <w:bottom w:val="none" w:sz="0" w:space="0" w:color="auto"/>
                <w:right w:val="none" w:sz="0" w:space="0" w:color="auto"/>
              </w:divBdr>
            </w:div>
          </w:divsChild>
        </w:div>
        <w:div w:id="1901986700">
          <w:marLeft w:val="0"/>
          <w:marRight w:val="0"/>
          <w:marTop w:val="120"/>
          <w:marBottom w:val="0"/>
          <w:divBdr>
            <w:top w:val="none" w:sz="0" w:space="0" w:color="auto"/>
            <w:left w:val="none" w:sz="0" w:space="0" w:color="auto"/>
            <w:bottom w:val="none" w:sz="0" w:space="0" w:color="auto"/>
            <w:right w:val="none" w:sz="0" w:space="0" w:color="auto"/>
          </w:divBdr>
        </w:div>
        <w:div w:id="1760298112">
          <w:marLeft w:val="0"/>
          <w:marRight w:val="0"/>
          <w:marTop w:val="0"/>
          <w:marBottom w:val="0"/>
          <w:divBdr>
            <w:top w:val="none" w:sz="0" w:space="0" w:color="auto"/>
            <w:left w:val="none" w:sz="0" w:space="0" w:color="auto"/>
            <w:bottom w:val="none" w:sz="0" w:space="0" w:color="auto"/>
            <w:right w:val="none" w:sz="0" w:space="0" w:color="auto"/>
          </w:divBdr>
          <w:divsChild>
            <w:div w:id="272638631">
              <w:marLeft w:val="0"/>
              <w:marRight w:val="0"/>
              <w:marTop w:val="0"/>
              <w:marBottom w:val="0"/>
              <w:divBdr>
                <w:top w:val="none" w:sz="0" w:space="0" w:color="auto"/>
                <w:left w:val="none" w:sz="0" w:space="0" w:color="auto"/>
                <w:bottom w:val="none" w:sz="0" w:space="0" w:color="auto"/>
                <w:right w:val="none" w:sz="0" w:space="0" w:color="auto"/>
              </w:divBdr>
              <w:divsChild>
                <w:div w:id="242641221">
                  <w:marLeft w:val="0"/>
                  <w:marRight w:val="0"/>
                  <w:marTop w:val="0"/>
                  <w:marBottom w:val="0"/>
                  <w:divBdr>
                    <w:top w:val="none" w:sz="0" w:space="0" w:color="auto"/>
                    <w:left w:val="none" w:sz="0" w:space="0" w:color="auto"/>
                    <w:bottom w:val="none" w:sz="0" w:space="0" w:color="auto"/>
                    <w:right w:val="none" w:sz="0" w:space="0" w:color="auto"/>
                  </w:divBdr>
                  <w:divsChild>
                    <w:div w:id="2058819332">
                      <w:marLeft w:val="0"/>
                      <w:marRight w:val="0"/>
                      <w:marTop w:val="0"/>
                      <w:marBottom w:val="0"/>
                      <w:divBdr>
                        <w:top w:val="none" w:sz="0" w:space="0" w:color="auto"/>
                        <w:left w:val="none" w:sz="0" w:space="0" w:color="auto"/>
                        <w:bottom w:val="none" w:sz="0" w:space="0" w:color="auto"/>
                        <w:right w:val="none" w:sz="0" w:space="0" w:color="auto"/>
                      </w:divBdr>
                      <w:divsChild>
                        <w:div w:id="1496142861">
                          <w:marLeft w:val="0"/>
                          <w:marRight w:val="0"/>
                          <w:marTop w:val="0"/>
                          <w:marBottom w:val="0"/>
                          <w:divBdr>
                            <w:top w:val="none" w:sz="0" w:space="0" w:color="auto"/>
                            <w:left w:val="none" w:sz="0" w:space="0" w:color="auto"/>
                            <w:bottom w:val="none" w:sz="0" w:space="0" w:color="auto"/>
                            <w:right w:val="none" w:sz="0" w:space="0" w:color="auto"/>
                          </w:divBdr>
                          <w:divsChild>
                            <w:div w:id="1710571090">
                              <w:marLeft w:val="0"/>
                              <w:marRight w:val="0"/>
                              <w:marTop w:val="0"/>
                              <w:marBottom w:val="0"/>
                              <w:divBdr>
                                <w:top w:val="single" w:sz="24" w:space="0" w:color="auto"/>
                                <w:left w:val="single" w:sz="24" w:space="0" w:color="auto"/>
                                <w:bottom w:val="single" w:sz="24" w:space="0" w:color="auto"/>
                                <w:right w:val="single" w:sz="24" w:space="0" w:color="auto"/>
                              </w:divBdr>
                              <w:divsChild>
                                <w:div w:id="223295187">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961959132">
                          <w:marLeft w:val="0"/>
                          <w:marRight w:val="0"/>
                          <w:marTop w:val="0"/>
                          <w:marBottom w:val="0"/>
                          <w:divBdr>
                            <w:top w:val="none" w:sz="0" w:space="0" w:color="auto"/>
                            <w:left w:val="none" w:sz="0" w:space="0" w:color="auto"/>
                            <w:bottom w:val="none" w:sz="0" w:space="0" w:color="auto"/>
                            <w:right w:val="none" w:sz="0" w:space="0" w:color="auto"/>
                          </w:divBdr>
                          <w:divsChild>
                            <w:div w:id="711878454">
                              <w:marLeft w:val="0"/>
                              <w:marRight w:val="0"/>
                              <w:marTop w:val="0"/>
                              <w:marBottom w:val="0"/>
                              <w:divBdr>
                                <w:top w:val="single" w:sz="24" w:space="0" w:color="auto"/>
                                <w:left w:val="single" w:sz="24" w:space="0" w:color="auto"/>
                                <w:bottom w:val="single" w:sz="24" w:space="0" w:color="auto"/>
                                <w:right w:val="single" w:sz="24" w:space="0" w:color="auto"/>
                              </w:divBdr>
                              <w:divsChild>
                                <w:div w:id="2134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7053">
                  <w:marLeft w:val="0"/>
                  <w:marRight w:val="0"/>
                  <w:marTop w:val="0"/>
                  <w:marBottom w:val="0"/>
                  <w:divBdr>
                    <w:top w:val="none" w:sz="0" w:space="0" w:color="auto"/>
                    <w:left w:val="none" w:sz="0" w:space="0" w:color="auto"/>
                    <w:bottom w:val="none" w:sz="0" w:space="0" w:color="auto"/>
                    <w:right w:val="none" w:sz="0" w:space="0" w:color="auto"/>
                  </w:divBdr>
                  <w:divsChild>
                    <w:div w:id="813185900">
                      <w:marLeft w:val="0"/>
                      <w:marRight w:val="0"/>
                      <w:marTop w:val="0"/>
                      <w:marBottom w:val="0"/>
                      <w:divBdr>
                        <w:top w:val="none" w:sz="0" w:space="0" w:color="auto"/>
                        <w:left w:val="none" w:sz="0" w:space="0" w:color="auto"/>
                        <w:bottom w:val="none" w:sz="0" w:space="0" w:color="auto"/>
                        <w:right w:val="none" w:sz="0" w:space="0" w:color="auto"/>
                      </w:divBdr>
                      <w:divsChild>
                        <w:div w:id="127865245">
                          <w:marLeft w:val="0"/>
                          <w:marRight w:val="0"/>
                          <w:marTop w:val="0"/>
                          <w:marBottom w:val="0"/>
                          <w:divBdr>
                            <w:top w:val="none" w:sz="0" w:space="0" w:color="auto"/>
                            <w:left w:val="none" w:sz="0" w:space="0" w:color="auto"/>
                            <w:bottom w:val="none" w:sz="0" w:space="0" w:color="auto"/>
                            <w:right w:val="none" w:sz="0" w:space="0" w:color="auto"/>
                          </w:divBdr>
                          <w:divsChild>
                            <w:div w:id="1177422873">
                              <w:blockQuote w:val="1"/>
                              <w:marLeft w:val="0"/>
                              <w:marRight w:val="0"/>
                              <w:marTop w:val="0"/>
                              <w:marBottom w:val="240"/>
                              <w:divBdr>
                                <w:top w:val="none" w:sz="0" w:space="0" w:color="auto"/>
                                <w:left w:val="none" w:sz="0" w:space="0" w:color="auto"/>
                                <w:bottom w:val="none" w:sz="0" w:space="0" w:color="auto"/>
                                <w:right w:val="none" w:sz="0" w:space="0" w:color="auto"/>
                              </w:divBdr>
                            </w:div>
                            <w:div w:id="882055374">
                              <w:blockQuote w:val="1"/>
                              <w:marLeft w:val="0"/>
                              <w:marRight w:val="0"/>
                              <w:marTop w:val="0"/>
                              <w:marBottom w:val="240"/>
                              <w:divBdr>
                                <w:top w:val="none" w:sz="0" w:space="0" w:color="auto"/>
                                <w:left w:val="none" w:sz="0" w:space="0" w:color="auto"/>
                                <w:bottom w:val="none" w:sz="0" w:space="0" w:color="auto"/>
                                <w:right w:val="none" w:sz="0" w:space="0" w:color="auto"/>
                              </w:divBdr>
                            </w:div>
                            <w:div w:id="489055980">
                              <w:blockQuote w:val="1"/>
                              <w:marLeft w:val="0"/>
                              <w:marRight w:val="0"/>
                              <w:marTop w:val="0"/>
                              <w:marBottom w:val="240"/>
                              <w:divBdr>
                                <w:top w:val="none" w:sz="0" w:space="0" w:color="auto"/>
                                <w:left w:val="none" w:sz="0" w:space="0" w:color="auto"/>
                                <w:bottom w:val="none" w:sz="0" w:space="0" w:color="auto"/>
                                <w:right w:val="none" w:sz="0" w:space="0" w:color="auto"/>
                              </w:divBdr>
                            </w:div>
                            <w:div w:id="52195059">
                              <w:blockQuote w:val="1"/>
                              <w:marLeft w:val="0"/>
                              <w:marRight w:val="0"/>
                              <w:marTop w:val="0"/>
                              <w:marBottom w:val="240"/>
                              <w:divBdr>
                                <w:top w:val="none" w:sz="0" w:space="0" w:color="auto"/>
                                <w:left w:val="none" w:sz="0" w:space="0" w:color="auto"/>
                                <w:bottom w:val="none" w:sz="0" w:space="0" w:color="auto"/>
                                <w:right w:val="none" w:sz="0" w:space="0" w:color="auto"/>
                              </w:divBdr>
                            </w:div>
                            <w:div w:id="43116987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web-accessibility--ud891" TargetMode="External"/><Relationship Id="rId13" Type="http://schemas.openxmlformats.org/officeDocument/2006/relationships/hyperlink" Target="https://github.com/DOI-ONRR/nrrd/wiki/What-you-need-to-know-about-doing-design-and-research-in-the-federal-government" TargetMode="External"/><Relationship Id="rId18" Type="http://schemas.openxmlformats.org/officeDocument/2006/relationships/hyperlink" Target="https://github.com/DOI-ONRR/nrrd/wiki/What-you-need-to-know-about-doing-design-and-research-in-the-federal-government" TargetMode="External"/><Relationship Id="rId26" Type="http://schemas.openxmlformats.org/officeDocument/2006/relationships/hyperlink" Target="https://methods.18f.gov/participant-agreement/" TargetMode="External"/><Relationship Id="rId3" Type="http://schemas.openxmlformats.org/officeDocument/2006/relationships/settings" Target="settings.xml"/><Relationship Id="rId21" Type="http://schemas.openxmlformats.org/officeDocument/2006/relationships/hyperlink" Target="https://www.whitehouse.gov/sites/whitehouse.gov/files/omb/memoranda/2017/m-17-06.pdf" TargetMode="External"/><Relationship Id="rId7" Type="http://schemas.openxmlformats.org/officeDocument/2006/relationships/hyperlink" Target="https://accessibility.18f.gov/" TargetMode="External"/><Relationship Id="rId12" Type="http://schemas.openxmlformats.org/officeDocument/2006/relationships/hyperlink" Target="https://medium.com/@ErieMeyer/user-research-is-not-illegal-uncle-sam-51f2f92a280a" TargetMode="External"/><Relationship Id="rId17" Type="http://schemas.openxmlformats.org/officeDocument/2006/relationships/hyperlink" Target="https://obamawhitehouse.archives.gov/sites/default/files/omb/inforeg/memos/2014/appendix-data-search-tools-calculators.pdf" TargetMode="External"/><Relationship Id="rId25" Type="http://schemas.openxmlformats.org/officeDocument/2006/relationships/hyperlink" Target="https://handbook.18f.gov/research-guidelines/" TargetMode="External"/><Relationship Id="rId2" Type="http://schemas.openxmlformats.org/officeDocument/2006/relationships/styles" Target="styles.xml"/><Relationship Id="rId16" Type="http://schemas.openxmlformats.org/officeDocument/2006/relationships/hyperlink" Target="https://github.com/DOI-ONRR/nrrd/wiki/What-you-need-to-know-about-doing-design-and-research-in-the-federal-government" TargetMode="External"/><Relationship Id="rId20" Type="http://schemas.openxmlformats.org/officeDocument/2006/relationships/hyperlink" Target="https://github.com/DOI-ONRR/nrrd/wiki/What-you-need-to-know-about-doing-design-and-research-in-the-federal-government" TargetMode="External"/><Relationship Id="rId29" Type="http://schemas.openxmlformats.org/officeDocument/2006/relationships/hyperlink" Target="https://18f.gsa.gov/2016/03/10/what-people-think-about-before-sharing-personal-information/" TargetMode="External"/><Relationship Id="rId1" Type="http://schemas.openxmlformats.org/officeDocument/2006/relationships/numbering" Target="numbering.xml"/><Relationship Id="rId6" Type="http://schemas.openxmlformats.org/officeDocument/2006/relationships/hyperlink" Target="https://section508.gov/content/learn/laws-and-policies" TargetMode="External"/><Relationship Id="rId11" Type="http://schemas.openxmlformats.org/officeDocument/2006/relationships/hyperlink" Target="https://www.gpo.gov/fdsys/pkg/PLAW-104publ13/html/PLAW-104publ13.htm" TargetMode="External"/><Relationship Id="rId24" Type="http://schemas.openxmlformats.org/officeDocument/2006/relationships/hyperlink" Target="https://github.com/DOI-ONRR/nrrd/wiki/What-you-need-to-know-about-doing-design-and-research-in-the-federal-government" TargetMode="External"/><Relationship Id="rId32" Type="http://schemas.openxmlformats.org/officeDocument/2006/relationships/theme" Target="theme/theme1.xml"/><Relationship Id="rId5" Type="http://schemas.openxmlformats.org/officeDocument/2006/relationships/hyperlink" Target="https://github.com/DOI-ONRR/nrrd/wiki/What-you-need-to-know-about-doing-design-and-research-in-the-federal-government" TargetMode="External"/><Relationship Id="rId15" Type="http://schemas.openxmlformats.org/officeDocument/2006/relationships/hyperlink" Target="https://methods.18f.gov/" TargetMode="External"/><Relationship Id="rId23" Type="http://schemas.openxmlformats.org/officeDocument/2006/relationships/hyperlink" Target="https://obamawhitehouse.archives.gov/sites/default/files/omb/assets/inforeg/SocialMediaGuidance_04072010.pdf" TargetMode="External"/><Relationship Id="rId28" Type="http://schemas.openxmlformats.org/officeDocument/2006/relationships/hyperlink" Target="https://handbook.18f.gov/research-guidelines/" TargetMode="External"/><Relationship Id="rId10" Type="http://schemas.openxmlformats.org/officeDocument/2006/relationships/hyperlink" Target="https://github.com/DOI-ONRR/nrrd/wiki/What-you-need-to-know-about-doing-design-and-research-in-the-federal-government" TargetMode="External"/><Relationship Id="rId19" Type="http://schemas.openxmlformats.org/officeDocument/2006/relationships/hyperlink" Target="https://directives.sc.egov.usda.gov/OpenNonWebContent.aspx?content=39797.wb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11yweekly.com/" TargetMode="External"/><Relationship Id="rId14" Type="http://schemas.openxmlformats.org/officeDocument/2006/relationships/hyperlink" Target="https://methods.18f.gov/" TargetMode="External"/><Relationship Id="rId22" Type="http://schemas.openxmlformats.org/officeDocument/2006/relationships/hyperlink" Target="https://github.com/DOI-ONRR/nrrd/wiki/What-you-need-to-know-about-doing-design-and-research-in-the-federal-government" TargetMode="External"/><Relationship Id="rId27" Type="http://schemas.openxmlformats.org/officeDocument/2006/relationships/hyperlink" Target="https://github.com/DOI-ONRR/nrrd/wiki/What-you-need-to-know-about-doing-design-and-research-in-the-federal-government" TargetMode="External"/><Relationship Id="rId30" Type="http://schemas.openxmlformats.org/officeDocument/2006/relationships/hyperlink" Target="https://methods.18f.gov/fundamental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Lindsay P</dc:creator>
  <cp:keywords/>
  <dc:description/>
  <cp:lastModifiedBy>Goldstein, Lindsay P</cp:lastModifiedBy>
  <cp:revision>2</cp:revision>
  <dcterms:created xsi:type="dcterms:W3CDTF">2023-09-27T03:28:00Z</dcterms:created>
  <dcterms:modified xsi:type="dcterms:W3CDTF">2023-09-27T03:31:00Z</dcterms:modified>
</cp:coreProperties>
</file>