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manuscript</w:t>
      </w:r>
      <w:r>
        <w:t xml:space="preserve"> </w:t>
      </w:r>
      <w:r>
        <w:t xml:space="preserve">workflow</w:t>
      </w:r>
      <w:r>
        <w:t xml:space="preserve"> </w:t>
      </w:r>
      <w:r>
        <w:t xml:space="preserve">with</w:t>
      </w:r>
      <w:r>
        <w:t xml:space="preserve"> </w:t>
      </w:r>
      <w:r>
        <w:t xml:space="preserve">a</w:t>
      </w:r>
      <w:r>
        <w:t xml:space="preserve"> </w:t>
      </w:r>
      <w:r>
        <w:t xml:space="preserve">Quarto</w:t>
      </w:r>
      <w:r>
        <w:t xml:space="preserve"> </w:t>
      </w:r>
      <w:r>
        <w:t xml:space="preserve">template</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reproducible reports and manuscripts.</w:t>
      </w:r>
      <w:r>
        <w:t xml:space="preserve"> </w:t>
      </w:r>
      <w:r>
        <w:t xml:space="preserve">These workflows allow people to use standardized methods that are more reproducible, efficient, and transparent</w:t>
      </w:r>
      <w:r>
        <w:t xml:space="preserve"> </w:t>
      </w:r>
      <w:r>
        <w:t xml:space="preserve">than other standard office tools.</w:t>
      </w:r>
      <w:r>
        <w:t xml:space="preserve"> </w:t>
      </w:r>
      <w:r>
        <w:t xml:space="preserve">We present a Quarto template and demonstrate how this template may be used for a journal, the</w:t>
      </w:r>
      <w:r>
        <w:t xml:space="preserve"> </w:t>
      </w:r>
      <w:r>
        <w:rPr>
          <w:iCs/>
          <w:i/>
        </w:rPr>
        <w:t xml:space="preserve">Journal of Fish and Wildlife Management</w:t>
      </w:r>
      <w:r>
        <w:t xml:space="preserve">, in our article.</w:t>
      </w:r>
      <w:r>
        <w:t xml:space="preserve"> </w:t>
      </w:r>
      <w:r>
        <w:t xml:space="preserve">This template may also be readily adapted to other journals that use Microsoft Word-based workflows and for other product types such as annual reports.</w:t>
      </w:r>
      <w:r>
        <w:t xml:space="preserve"> </w:t>
      </w:r>
      <w:r>
        <w:t xml:space="preserve">We also provide a high-level overview of Quarto and other Markdown-based workflows as part of the document.</w:t>
      </w:r>
      <w:r>
        <w:t xml:space="preserve"> </w:t>
      </w:r>
      <w:r>
        <w:t xml:space="preserve">Lastly, we provide examples of some features of the Quarto publishing system that may be helpful for authors when customizing Quarto templates for specific journal formatting requirements and other product types.</w:t>
      </w:r>
      <w:r>
        <w:br/>
      </w:r>
      <w:r>
        <w:rPr>
          <w:bCs/>
          <w:b/>
        </w:rPr>
        <w:t xml:space="preserve">Keywords:</w:t>
      </w:r>
      <w:r>
        <w:t xml:space="preserve"> </w:t>
      </w:r>
      <w:r>
        <w:t xml:space="preserve">Findable, Accessible, Interoperable, and Reuseable (FAIR); markdown; reproducible science; journal template; Quarto</w:t>
      </w:r>
      <w:r>
        <w:t xml:space="preserve"> </w:t>
      </w:r>
      <w:r>
        <w:t xml:space="preserve"> </w:t>
      </w:r>
    </w:p>
    <w:bookmarkEnd w:id="20"/>
    <w:bookmarkStart w:id="21" w:name="introduction"/>
    <w:p>
      <w:pPr>
        <w:pStyle w:val="Heading1"/>
      </w:pPr>
      <w:r>
        <w:t xml:space="preserve">Introduction</w:t>
      </w:r>
    </w:p>
    <w:p>
      <w:pPr>
        <w:pStyle w:val="FirstParagraph"/>
      </w:pPr>
      <w:r>
        <w:t xml:space="preserve">Modern computing tools allow scientists and practitioners to be efficient, transparent, and provide reproducible results</w:t>
      </w:r>
      <w:r>
        <w:t xml:space="preserve"> </w:t>
      </w:r>
      <w:r>
        <w:t xml:space="preserve">(Erickson et al. 2021; Braga et al. 2023)</w:t>
      </w:r>
      <w:r>
        <w:t xml:space="preserve">.</w:t>
      </w:r>
      <w:r>
        <w:t xml:space="preserve"> </w:t>
      </w:r>
      <w:r>
        <w:t xml:space="preserve">For example, ecologists are moving away from point-and-click statistical methods and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 to science and management at large.</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provides direct evidence about what options were, or were not, selected for an analysis and data cleaning.</w:t>
      </w:r>
      <w:r>
        <w:t xml:space="preserve"> </w:t>
      </w:r>
      <w:r>
        <w:t xml:space="preserve">All three of these features increase transparency in the scientific process and increases the efficiency of scientific advancement or drafting of management documents to solve important problems.</w:t>
      </w:r>
    </w:p>
    <w:p>
      <w:pPr>
        <w:pStyle w:val="BodyText"/>
      </w:pPr>
      <w:r>
        <w:t xml:space="preserve">The broader scientific community increasingly has begun to understand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On a smaller scale,</w:t>
      </w:r>
      <w:r>
        <w:t xml:space="preserve"> </w:t>
      </w:r>
      <w:r>
        <w:t xml:space="preserve">Bennie and Erickson (2024)</w:t>
      </w:r>
      <w:r>
        <w:t xml:space="preserve"> </w:t>
      </w:r>
      <w:r>
        <w:t xml:space="preserve">had advanced undergraduate and graduate statistics students attempt to recreate published ecological studies for class projects and none could exactly recreate results using the methods as described in publications.</w:t>
      </w:r>
      <w:r>
        <w:t xml:space="preserve"> </w:t>
      </w:r>
      <w:r>
        <w:t xml:space="preserve">One reason for this lack of reproductivity is the different methods that exist for analyzing data as demonstrated.</w:t>
      </w:r>
      <w:r>
        <w:t xml:space="preserve"> </w:t>
      </w:r>
      <w:r>
        <w:t xml:space="preserve">As an example,</w:t>
      </w:r>
      <w:r>
        <w:t xml:space="preserve"> </w:t>
      </w:r>
      <w:r>
        <w:t xml:space="preserve">Gould et al. (2023)</w:t>
      </w:r>
      <w:r>
        <w:t xml:space="preserve"> </w:t>
      </w:r>
      <w:r>
        <w:t xml:space="preserve">asked 246 scientists to analyze the same datasets and got vastly different results from the different scientists.</w:t>
      </w:r>
      <w:r>
        <w:t xml:space="preserve"> </w:t>
      </w:r>
      <w:r>
        <w:t xml:space="preserve">The most extreme variation observed by</w:t>
      </w:r>
      <w:r>
        <w:t xml:space="preserve"> </w:t>
      </w:r>
      <w:r>
        <w:t xml:space="preserve">Gould et al. (2023)</w:t>
      </w:r>
      <w:r>
        <w:t xml:space="preserve"> </w:t>
      </w:r>
      <w:r>
        <w:t xml:space="preserve">included different signs (for example, some people estimated a positive effect whereas others found a negative effect using the same data).</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r>
        <w:t xml:space="preserve"> </w:t>
      </w: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Findable, Accessible, Interoperable, and Reusable (FAIR) principles exist to help scientists share and produce reproducible science</w:t>
      </w:r>
      <w:r>
        <w:t xml:space="preserve"> </w:t>
      </w:r>
      <w:r>
        <w:t xml:space="preserve">(for example, Reiser et al. 2018)</w:t>
      </w:r>
      <w:r>
        <w:t xml:space="preserve">.</w:t>
      </w:r>
      <w:r>
        <w:t xml:space="preserve"> </w:t>
      </w:r>
      <w:r>
        <w:t xml:space="preserve">Likewise, professional societies and government agencies have produced guidelines similar to FAIR for reproducible science (for example, refer to Table 1 in</w:t>
      </w:r>
      <w:r>
        <w:t xml:space="preserve"> </w:t>
      </w:r>
      <w:r>
        <w:t xml:space="preserve">Erickson et al. (2021)</w:t>
      </w:r>
      <w:r>
        <w:t xml:space="preserve"> </w:t>
      </w:r>
      <w:r>
        <w:t xml:space="preserve">that lists example organizations).</w:t>
      </w:r>
    </w:p>
    <w:p>
      <w:pPr>
        <w:pStyle w:val="BodyText"/>
      </w:pPr>
      <w:r>
        <w:t xml:space="preserve">Many scientists use scripting languages like Python</w:t>
      </w:r>
      <w:r>
        <w:t xml:space="preserve"> </w:t>
      </w:r>
      <w:r>
        <w:t xml:space="preserve">(Van Rossum and Drake Jr 1995)</w:t>
      </w:r>
      <w:r>
        <w:t xml:space="preserve"> </w:t>
      </w:r>
      <w:r>
        <w:t xml:space="preserve">or R</w:t>
      </w:r>
      <w:r>
        <w:t xml:space="preserve"> </w:t>
      </w:r>
      <w:r>
        <w:t xml:space="preserve">(R Core Team 2024)</w:t>
      </w:r>
      <w:r>
        <w:t xml:space="preserve"> </w:t>
      </w:r>
      <w:r>
        <w:t xml:space="preserve">for their statistical methods and analyses.</w:t>
      </w:r>
      <w:r>
        <w:t xml:space="preserve"> </w:t>
      </w:r>
      <w:r>
        <w:t xml:space="preserve">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from 2019 issue used the R computing language for analysis in their papers.</w:t>
      </w:r>
      <w:r>
        <w:t xml:space="preserve"> </w:t>
      </w:r>
      <w:r>
        <w:t xml:space="preserve">However, we have observed that fewer scientists use similar tools in a reproducible</w:t>
      </w:r>
      <w:r>
        <w:t xml:space="preserve"> </w:t>
      </w:r>
      <w:r>
        <w:t xml:space="preserve">“</w:t>
      </w:r>
      <w:r>
        <w:t xml:space="preserve">research workflow</w:t>
      </w:r>
      <w:r>
        <w:t xml:space="preserve">”</w:t>
      </w:r>
      <w:r>
        <w:t xml:space="preserve"> </w:t>
      </w:r>
      <w:r>
        <w:t xml:space="preserve">for writing manuscripts even though scripting environments are now enriched with code-based manuscript services, such as Quarto, knitr, and Bookdown, which are primarily Markdown-based programs (Baumer and Udwin 2015; Figure 1).</w:t>
      </w:r>
      <w:r>
        <w:t xml:space="preserve"> </w:t>
      </w:r>
      <w:r>
        <w:t xml:space="preserve">Advantages of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readily incorporate formatting from templates, ease of changing templates and reference formatting, automatic populating of references based upon Digital Object Identifiers (DOIs), and the ability to easily handle complex formulas (specifically embedded LaTeX syntax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 and descriptive statistics or test statistics reported in results sections.</w:t>
      </w:r>
    </w:p>
    <w:p>
      <w:pPr>
        <w:pStyle w:val="BodyText"/>
      </w:pPr>
      <w:r>
        <w:t xml:space="preserve">We have observed interest (circa 2021-2023) in Markdown-based writing documents from our colleagues and collaborators who are natural resource managers or scientists supporting these managers, in North America and globally.</w:t>
      </w:r>
      <w:r>
        <w:t xml:space="preserve"> </w:t>
      </w:r>
      <w:r>
        <w:t xml:space="preserve">For example, the U.S. Geological Survey has a Markdown Community of Practice, and the authors of this paper have presented tutorials to this group.</w:t>
      </w:r>
      <w:r>
        <w:t xml:space="preserve"> </w:t>
      </w:r>
      <w:r>
        <w:t xml:space="preserve">Additionally, this group includes members from the U.S. Fish and Wildlife Service and other agencies in the U.S. Department of the Interior.</w:t>
      </w:r>
      <w:r>
        <w:t xml:space="preserve"> </w:t>
      </w:r>
      <w:r>
        <w:t xml:space="preserve">We have also discussed using Markdown-based writing tools in online conversations with others such as the U.S. Fish and Wildlife Service’s</w:t>
      </w:r>
      <w:r>
        <w:t xml:space="preserve"> </w:t>
      </w:r>
      <w:r>
        <w:t xml:space="preserve">“</w:t>
      </w:r>
      <w:r>
        <w:t xml:space="preserve">Great Lakes R Working Group.</w:t>
      </w:r>
      <w:r>
        <w:t xml:space="preserve">”</w:t>
      </w:r>
      <w:r>
        <w:t xml:space="preserve"> </w:t>
      </w:r>
      <w:r>
        <w:t xml:space="preserve">These examples motivated our creation of this paper and corresponding template.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created LaTeX as a set of macros to make TeX easier to use</w:t>
      </w:r>
      <w:r>
        <w:t xml:space="preserve"> </w:t>
      </w:r>
      <w:r>
        <w:t xml:space="preserve">(Lamport 1985)</w:t>
      </w:r>
      <w:r>
        <w:t xml:space="preserve">.</w:t>
      </w:r>
      <w:r>
        <w:t xml:space="preserve"> </w:t>
      </w:r>
      <w:r>
        <w:t xml:space="preserve">Statisticians who used LaTeX sought to readily embed statistical code, results, and figures into their LaTeX documents-based documents and workflows.</w:t>
      </w:r>
      <w:r>
        <w:t xml:space="preserve"> </w:t>
      </w:r>
      <w:r>
        <w:t xml:space="preserve">To meet this need, the program Sweave was created to</w:t>
      </w:r>
      <w:r>
        <w:t xml:space="preserve"> </w:t>
      </w:r>
      <w:r>
        <w:t xml:space="preserve">“</w:t>
      </w:r>
      <w:r>
        <w:t xml:space="preserve">weave</w:t>
      </w:r>
      <w:r>
        <w:t xml:space="preserve">”</w:t>
      </w:r>
      <w:r>
        <w:t xml:space="preserve"> </w:t>
      </w:r>
      <w:r>
        <w:t xml:space="preserve">S into LaTeX (at the time, many statisticians used the S language, which inspired the R language; Leisch 2002).</w:t>
      </w:r>
    </w:p>
    <w:p>
      <w:pPr>
        <w:pStyle w:val="BodyText"/>
      </w:pPr>
      <w:r>
        <w:t xml:space="preserve">Although useful, we have observed that TeX, LaTeX, and Sweave can be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in the four and a half decades since Tex was created and four decades since LaTeX was created,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syntax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file into an output such as Hyptertext Markup Language (HTML) files, ending with</w:t>
      </w:r>
      <w:r>
        <w:t xml:space="preserve"> </w:t>
      </w:r>
      <w:r>
        <w:rPr>
          <w:rStyle w:val="VerbatimChar"/>
        </w:rPr>
        <w:t xml:space="preserve">.html</w:t>
      </w:r>
      <w:r>
        <w:t xml:space="preserve">; Microsoft Word Document files, ending with</w:t>
      </w:r>
      <w:r>
        <w:t xml:space="preserve"> </w:t>
      </w:r>
      <w:r>
        <w:rPr>
          <w:rStyle w:val="VerbatimChar"/>
        </w:rPr>
        <w:t xml:space="preserve">.docx</w:t>
      </w:r>
      <w:r>
        <w:t xml:space="preserve">; or Portable Document Format (PDF) files,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 which can be fully accessed at</w:t>
      </w:r>
      <w:r>
        <w:t xml:space="preserve"> </w:t>
      </w:r>
      <w:r>
        <w:t xml:space="preserve">Erickson et al. (2024)</w:t>
      </w:r>
      <w:r>
        <w:t xml:space="preserve">.</w:t>
      </w:r>
      <w:r>
        <w:t xml:space="preserve"> </w:t>
      </w:r>
      <w:r>
        <w:t xml:space="preserve">We demonstrate some useful features including how to include figures, tables, accessibility components, and the</w:t>
      </w:r>
      <w:r>
        <w:t xml:space="preserve"> </w:t>
      </w:r>
      <w:r>
        <w:rPr>
          <w:rStyle w:val="VerbatimChar"/>
        </w:rPr>
        <w:t xml:space="preserve">quarto-utils</w:t>
      </w:r>
      <w:r>
        <w:t xml:space="preserve"> </w:t>
      </w:r>
      <w:r>
        <w:t xml:space="preserve">package for automatic bibliography generation</w:t>
      </w:r>
      <w:r>
        <w:t xml:space="preserve"> </w:t>
      </w:r>
      <w:r>
        <w:t xml:space="preserve">(Fienen and Erickson 2024)</w:t>
      </w:r>
      <w:r>
        <w:t xml:space="preserve">.</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r>
        <w:t xml:space="preserve"> </w:t>
      </w:r>
      <w:r>
        <w:t xml:space="preserve">Quarto may also be used either interactively through editors such as Posit’s RStudio or Microsoft’s Visual Studio Code, or called through the terminal either directly using the Quarto command</w:t>
      </w:r>
      <w:r>
        <w:t xml:space="preserve"> </w:t>
      </w:r>
      <w:r>
        <w:rPr>
          <w:rStyle w:val="VerbatimChar"/>
        </w:rPr>
        <w:t xml:space="preserve">quarto render my_file.qmd</w:t>
      </w:r>
      <w:r>
        <w:t xml:space="preserve"> </w:t>
      </w:r>
      <w:r>
        <w:t xml:space="preserve">or through scripts such as</w:t>
      </w:r>
      <w:r>
        <w:t xml:space="preserve"> </w:t>
      </w:r>
      <w:r>
        <w:rPr>
          <w:rStyle w:val="VerbatimChar"/>
        </w:rPr>
        <w:t xml:space="preserve">python my_script_calling_quarto.py</w:t>
      </w:r>
      <w:r>
        <w:t xml:space="preserve"> </w:t>
      </w:r>
      <w:r>
        <w:t xml:space="preserve">or</w:t>
      </w:r>
      <w:r>
        <w:t xml:space="preserve"> </w:t>
      </w:r>
      <w:r>
        <w:rPr>
          <w:rStyle w:val="VerbatimChar"/>
        </w:rPr>
        <w:t xml:space="preserve">Rscript my_script_calling_quarto.R</w:t>
      </w:r>
      <w:r>
        <w:t xml:space="preserve">.</w:t>
      </w:r>
      <w:r>
        <w:t xml:space="preserve"> </w:t>
      </w:r>
      <w:r>
        <w:t xml:space="preserve">We used Quarto interactively when writing this paper, but Quarto may be used as part of scripts for automated workflows such as generating reports, summarizing model outputs, or similar tasks used to create reports.</w:t>
      </w:r>
    </w:p>
    <w:bookmarkEnd w:id="21"/>
    <w:bookmarkStart w:id="22" w:name="quarto-workflow"/>
    <w:p>
      <w:pPr>
        <w:pStyle w:val="Heading1"/>
      </w:pPr>
      <w:r>
        <w:t xml:space="preserve">Quarto workflow</w:t>
      </w:r>
    </w:p>
    <w:p>
      <w:pPr>
        <w:pStyle w:val="FirstParagraph"/>
      </w:pPr>
      <w:r>
        <w:t xml:space="preserve">This tutorial focuses on Microsoft Word document outputs because many journals, including the</w:t>
      </w:r>
      <w:r>
        <w:t xml:space="preserve"> </w:t>
      </w:r>
      <w:r>
        <w:rPr>
          <w:iCs/>
          <w:i/>
        </w:rPr>
        <w:t xml:space="preserve">Journal of Fish and Wildlife Management</w:t>
      </w:r>
      <w:r>
        <w:t xml:space="preserve">, use a Word-based workflow.</w:t>
      </w:r>
      <w:r>
        <w:t xml:space="preserve"> </w:t>
      </w:r>
      <w:r>
        <w:t xml:space="preserve">The Quarto documentation provides a generic journal format (https://quarto.org/docs/journals/, accessed January 2024), and a Quarto journals GitHub repository, hosts specific templates for other journals (https://github.com/quarto-journals/, accessed January 2024).</w:t>
      </w:r>
      <w:r>
        <w:t xml:space="preserve"> </w:t>
      </w: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creating new Quarto files from templates for journal articles, presentations, and other types of documents directly within the editor.</w:t>
      </w:r>
      <w:r>
        <w:t xml:space="preserve"> </w:t>
      </w:r>
      <w:r>
        <w:t xml:space="preserve">Additionally, Quarto contains tools for generating empty templates outside of RStudio using command line tools for editing in programs such as Visual Studio Code or similar editor programs (refer to the program documentation such as https://quarto.org/docs/journals/templates.html for details of these features, accessed December 2023).</w:t>
      </w:r>
      <w:r>
        <w:t xml:space="preserve"> </w:t>
      </w:r>
      <w:r>
        <w:t xml:space="preserve">Alternatively, readers may use an existing Quarto file and edit that file.</w:t>
      </w:r>
      <w:r>
        <w:t xml:space="preserve"> </w:t>
      </w:r>
      <w:r>
        <w:t xml:space="preserve">For example, people can edit the Quarto file used to generate this paper that is hosted at</w:t>
      </w:r>
      <w:r>
        <w:t xml:space="preserve"> </w:t>
      </w:r>
      <w:r>
        <w:t xml:space="preserve">Erickson et al. (2024)</w:t>
      </w:r>
      <w:r>
        <w:t xml:space="preserve"> </w:t>
      </w:r>
      <w:r>
        <w:t xml:space="preserve">to write their own manuscripts for journal articles or other product types such as annual reports.</w:t>
      </w:r>
    </w:p>
    <w:p>
      <w:pPr>
        <w:pStyle w:val="BodyText"/>
      </w:pPr>
      <w:r>
        <w:t xml:space="preserve">Within the Quarto file, the header contains metadata in a YAML-style format (YAML is a programming language for data serialization [data serialization means specifying settings, such as formatting options in the case of Quarto] with a recursive name</w:t>
      </w:r>
      <w:r>
        <w:t xml:space="preserve"> </w:t>
      </w:r>
      <w:r>
        <w:t xml:space="preserve">“</w:t>
      </w:r>
      <w:r>
        <w:t xml:space="preserve">YAML Ain’t Markup Language</w:t>
      </w:r>
      <w:r>
        <w:t xml:space="preserve">”</w:t>
      </w:r>
      <w:r>
        <w:t xml:space="preserve">).</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Quarto file was last rendered to create the Word file.</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w:t>
      </w:r>
      <w:r>
        <w:t xml:space="preserve"> </w:t>
      </w:r>
      <w:r>
        <w:t xml:space="preserve">“</w:t>
      </w:r>
      <w:r>
        <w:t xml:space="preserve">Council of Science Editors, author-date format indents</w:t>
      </w:r>
      <w:r>
        <w:t xml:space="preserve">”</w:t>
      </w:r>
      <w:r>
        <w:t xml:space="preserve"> </w:t>
      </w:r>
      <w:r>
        <w:t xml:space="preserve">with minor modifications by the authors of this paper for the</w:t>
      </w:r>
      <w:r>
        <w:t xml:space="preserve"> </w:t>
      </w:r>
      <w:r>
        <w:rPr>
          <w:iCs/>
          <w:i/>
        </w:rPr>
        <w:t xml:space="preserve">Journal of Fish and Wildlife Management</w:t>
      </w:r>
      <w:r>
        <w:t xml:space="preserve"> </w:t>
      </w:r>
      <w:r>
        <w:t xml:space="preserve">(</w:t>
      </w:r>
      <w:r>
        <w:rPr>
          <w:rStyle w:val="VerbatimChar"/>
        </w:rPr>
        <w:t xml:space="preserve">council-of-science-editors-author-date-jfwm.csl</w:t>
      </w:r>
      <w:r>
        <w:t xml:space="preserve">).</w:t>
      </w:r>
      <w:r>
        <w:t xml:space="preserve"> </w:t>
      </w:r>
      <w:r>
        <w:t xml:space="preserve">“</w:t>
      </w:r>
      <w:r>
        <w:t xml:space="preserve">Council of Science Editors, author-date format indents</w:t>
      </w:r>
      <w:r>
        <w:t xml:space="preserve">”</w:t>
      </w:r>
      <w:r>
        <w:t xml:space="preserve"> </w:t>
      </w:r>
      <w:r>
        <w:t xml:space="preserve">refers to the</w:t>
      </w:r>
      <w:r>
        <w:t xml:space="preserve"> </w:t>
      </w:r>
      <w:r>
        <w:t xml:space="preserve">“</w:t>
      </w:r>
      <w:r>
        <w:t xml:space="preserve">Council of Science Editors</w:t>
      </w:r>
      <w:r>
        <w:t xml:space="preserve">”</w:t>
      </w:r>
      <w:r>
        <w:t xml:space="preserve"> </w:t>
      </w:r>
      <w:r>
        <w:t xml:space="preserve">formatting style using the Council of Science Editors style with authors and dates (such as</w:t>
      </w:r>
      <w:r>
        <w:t xml:space="preserve"> </w:t>
      </w:r>
      <w:r>
        <w:t xml:space="preserve">“</w:t>
      </w:r>
      <w:r>
        <w:t xml:space="preserve">example fact</w:t>
      </w:r>
      <w:r>
        <w:t xml:space="preserve"> </w:t>
      </w:r>
      <w:r>
        <w:rPr>
          <w:iCs/>
          <w:i/>
        </w:rPr>
        <w:t xml:space="preserve">Author et al. 2023</w:t>
      </w:r>
      <w:r>
        <w:t xml:space="preserve">”</w:t>
      </w:r>
      <w:r>
        <w:t xml:space="preserve"> </w:t>
      </w:r>
      <w:r>
        <w:t xml:space="preserve">and in contrast to other formats numeric such as</w:t>
      </w:r>
      <w:r>
        <w:t xml:space="preserve"> </w:t>
      </w:r>
      <w:r>
        <w:t xml:space="preserve">“</w:t>
      </w:r>
      <w:r>
        <w:t xml:space="preserve">example fact [1]</w:t>
      </w:r>
      <w:r>
        <w:t xml:space="preserve">”</w:t>
      </w:r>
      <w:r>
        <w:t xml:space="preserve">) and indented reference section paragraphs.</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manually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 the lower case</w:t>
      </w:r>
      <w:r>
        <w:t xml:space="preserve"> </w:t>
      </w:r>
      <w:r>
        <w:rPr>
          <w:rStyle w:val="VerbatimChar"/>
        </w:rPr>
        <w:t xml:space="preserve">r</w:t>
      </w:r>
      <w:r>
        <w:t xml:space="preserve"> </w:t>
      </w:r>
      <w:r>
        <w:t xml:space="preserve">for R or</w:t>
      </w:r>
      <w:r>
        <w:t xml:space="preserve"> </w:t>
      </w:r>
      <w:r>
        <w:rPr>
          <w:rStyle w:val="VerbatimChar"/>
        </w:rPr>
        <w:t xml:space="preserve">python</w:t>
      </w:r>
      <w:r>
        <w:t xml:space="preserve"> </w:t>
      </w:r>
      <w:r>
        <w:t xml:space="preserve">for Python).</w:t>
      </w:r>
      <w:r>
        <w:t xml:space="preserve"> </w:t>
      </w:r>
      <w:r>
        <w:t xml:space="preserve">These code chunks can either be displayed or hidden in the final document, for example:</w:t>
      </w:r>
    </w:p>
    <w:p>
      <w:pPr>
        <w:pStyle w:val="SourceCode"/>
      </w:pPr>
      <w:r>
        <w:br/>
      </w:r>
      <w:r>
        <w:rPr>
          <w:rStyle w:val="NormalTok"/>
        </w:rPr>
        <w:t xml:space="preserve">This code chunk would be shown in the resulting document:</w:t>
      </w:r>
      <w:r>
        <w:br/>
      </w:r>
      <w:r>
        <w:br/>
      </w:r>
      <w:r>
        <w:rPr>
          <w:rStyle w:val="InformationTok"/>
        </w:rPr>
        <w:t xml:space="preserve">```{r}</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r>
        <w:br/>
      </w:r>
      <w:r>
        <w:br/>
      </w:r>
      <w:r>
        <w:br/>
      </w:r>
      <w:r>
        <w:rPr>
          <w:rStyle w:val="NormalTok"/>
        </w:rPr>
        <w:t xml:space="preserve">Whereas this code chunk would be hidden from the resulting document:</w:t>
      </w:r>
      <w:r>
        <w:br/>
      </w:r>
      <w:r>
        <w:br/>
      </w:r>
      <w:r>
        <w:rPr>
          <w:rStyle w:val="InformationTok"/>
        </w:rPr>
        <w:t xml:space="preserve">```{r}</w:t>
      </w:r>
      <w:r>
        <w:br/>
      </w:r>
      <w:r>
        <w:rPr>
          <w:rStyle w:val="CommentTok"/>
        </w:rPr>
        <w:t xml:space="preserve">#| echo: 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R users may also extract extract code using the</w:t>
      </w:r>
      <w:r>
        <w:t xml:space="preserve"> </w:t>
      </w:r>
      <w:r>
        <w:rPr>
          <w:rStyle w:val="VerbatimChar"/>
        </w:rPr>
        <w:t xml:space="preserve">purl()</w:t>
      </w:r>
      <w:r>
        <w:t xml:space="preserve"> </w:t>
      </w:r>
      <w:r>
        <w:t xml:space="preserve">function from the</w:t>
      </w:r>
      <w:r>
        <w:t xml:space="preserve"> </w:t>
      </w:r>
      <w:r>
        <w:rPr>
          <w:rStyle w:val="VerbatimChar"/>
        </w:rPr>
        <w:t xml:space="preserve">knitr</w:t>
      </w:r>
      <w:r>
        <w:t xml:space="preserve"> </w:t>
      </w:r>
      <w:r>
        <w:t xml:space="preserve">R package</w:t>
      </w:r>
      <w:r>
        <w:t xml:space="preserve"> </w:t>
      </w:r>
      <w:r>
        <w:t xml:space="preserve">(Xie 2014)</w:t>
      </w:r>
      <w:r>
        <w:t xml:space="preserve">.</w:t>
      </w:r>
      <w:r>
        <w:t xml:space="preserve"> </w:t>
      </w:r>
      <w:r>
        <w:t xml:space="preserve">References are added to the BibTeX file, either manually or using a script described later by pulling Document Object Identifiers (DOIs).</w:t>
      </w:r>
      <w:r>
        <w:t xml:space="preserve"> </w:t>
      </w:r>
      <w:r>
        <w:t xml:space="preserve">Figures and tables can be added as needed, whether built locally with code chunks or called in from other sources.</w:t>
      </w:r>
      <w:r>
        <w:t xml:space="preserve"> </w:t>
      </w:r>
      <w:r>
        <w:t xml:space="preserve">While writing, the author can preview the results by compiling the file to create a Word document.</w:t>
      </w:r>
      <w:r>
        <w:t xml:space="preserve"> </w:t>
      </w:r>
      <w:r>
        <w:t xml:space="preserve">This also serves as a check for code mistakes that might prevent the Quarto file from compiling.</w:t>
      </w:r>
      <w:r>
        <w:t xml:space="preserve"> </w:t>
      </w:r>
      <w:r>
        <w:t xml:space="preserve">The end result is a Word file that may be submitted to a journal with minimal manual formatting required.</w:t>
      </w:r>
    </w:p>
    <w:bookmarkEnd w:id="22"/>
    <w:bookmarkStart w:id="25" w:name="X924903133b775404d18883bd1959ae88ad4ce1d"/>
    <w:p>
      <w:pPr>
        <w:pStyle w:val="Heading1"/>
      </w:pPr>
      <w:r>
        <w:t xml:space="preserve">Background knowledge, general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2024)</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 (many online tutorials exist such as the TeX User Group’s, http://tug.ctan.org/info/short-math-guide/short-math-guide.pdf, accessed December 2023).</w:t>
      </w:r>
      <w:r>
        <w:t xml:space="preserve"> </w:t>
      </w:r>
      <w:r>
        <w:t xml:space="preserve">Additionally, free graphical user interfaces such as LyX (available for all major operating systems; lyx.org, accessed May 2024) provide visual tools to help create complicated equations from which the source LaTeX code can be copied and posted into a Quarto document.</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formatting and style options compared to Hypertext Markup Language (HTML) or Portable Document Format (PDF) files because of technical reasons beyond the scope of this paper.</w:t>
      </w:r>
      <w:r>
        <w:t xml:space="preserve"> </w:t>
      </w:r>
      <w:r>
        <w:t xml:space="preserve">Hence, readers may find some solutions using search engines that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arising from certain characters such as semicolons.</w:t>
      </w:r>
      <w:r>
        <w:t xml:space="preserve"> </w:t>
      </w:r>
      <w:r>
        <w:t xml:space="preserve">Additionally, readers familiar with Quarto may find some quirky examples in the Quarto template to help meet the journal specific 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in a chunk of code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as noted in</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 if the source data or code changed when the file is rerendered.</w:t>
      </w:r>
      <w:r>
        <w:t xml:space="preserve"> </w:t>
      </w:r>
      <w:r>
        <w:t xml:space="preserve">Hence, if the authors updated their input numbers in either the source data files or code, the numbers in text would change.</w:t>
      </w:r>
      <w:r>
        <w:t xml:space="preserve"> </w:t>
      </w:r>
      <w:r>
        <w:t xml:space="preserve">This change may occur because the authors updated their data while writing the manuscript, or because the authors update their report on a regularly basis (such as a report for an annual monitoring program).</w:t>
      </w:r>
    </w:p>
    <w:p>
      <w:pPr>
        <w:pStyle w:val="BodyText"/>
      </w:pPr>
      <w:r>
        <w:t xml:space="preserve">Another tip for using Quarto to render Word documents is to use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text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practitioners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changing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Word document.</w:t>
      </w:r>
      <w:r>
        <w:t xml:space="preserve"> </w:t>
      </w:r>
      <w:r>
        <w:t xml:space="preserve">These changes would then be shown on the output Quarto-based Word document after the template Word document is saved and the Quarto (</w:t>
      </w:r>
      <w:r>
        <w:rPr>
          <w:rStyle w:val="VerbatimChar"/>
        </w:rPr>
        <w:t xml:space="preserve">.qmd</w:t>
      </w:r>
      <w:r>
        <w:t xml:space="preserve">) file is re-rendered to create a Word document.</w:t>
      </w:r>
    </w:p>
    <w:bookmarkEnd w:id="25"/>
    <w:bookmarkStart w:id="26" w:name="collaboration-tips"/>
    <w:p>
      <w:pPr>
        <w:pStyle w:val="Heading1"/>
      </w:pPr>
      <w:r>
        <w:t xml:space="preserve">Collaboration tips</w:t>
      </w:r>
    </w:p>
    <w:p>
      <w:pPr>
        <w:pStyle w:val="FirstParagraph"/>
      </w:pPr>
      <w:r>
        <w:t xml:space="preserve">Almost all modern scientific and technical writing documents require multiple people to write, edit, or otherwise contribute to documents.</w:t>
      </w:r>
      <w:r>
        <w:t xml:space="preserve"> </w:t>
      </w:r>
      <w:r>
        <w:t xml:space="preserve">During the writing process, different approaches exist for collaborative writing and editing.</w:t>
      </w:r>
      <w:r>
        <w:t xml:space="preserve"> </w:t>
      </w:r>
      <w:r>
        <w:t xml:space="preserve">In an ideal world (at least the authors’ idealized world), all contributors would comfortable using version control software and sharing their documents that way.</w:t>
      </w:r>
      <w:r>
        <w:t xml:space="preserve"> </w:t>
      </w:r>
      <w:r>
        <w:t xml:space="preserve">Realistically, this is unlikely and unreasonable based upon our observations.</w:t>
      </w:r>
      <w:r>
        <w:t xml:space="preserve"> </w:t>
      </w:r>
      <w:r>
        <w:t xml:space="preserve">We have found the following options to helpful when working with people who are unconformable or otherwise unable to use version control software.</w:t>
      </w:r>
      <w:r>
        <w:t xml:space="preserve"> </w:t>
      </w:r>
      <w:r>
        <w:t xml:space="preserve">First, some authors may be willing to edit Quarto files in RStudio, which provides a visual editor rather than a code-based editor and files may be emailed back and forth, similar to emailing other documents.</w:t>
      </w:r>
      <w:r>
        <w:t xml:space="preserve"> </w:t>
      </w:r>
      <w:r>
        <w:t xml:space="preserve">Second, Quarto and Markdown files can be readily edited with any plain text editor, even Notepad that comes standard with the Windows operating system so people can simply edit the plain document without understanding Markdown or using a special Markdown editor.</w:t>
      </w:r>
      <w:r>
        <w:t xml:space="preserve"> </w:t>
      </w:r>
      <w:r>
        <w:t xml:space="preserve">Third, for collaborators who would like to or require the use of conventional document files, Quarto can be compiled to a</w:t>
      </w:r>
      <w:r>
        <w:t xml:space="preserve"> </w:t>
      </w:r>
      <w:r>
        <w:rPr>
          <w:rStyle w:val="VerbatimChar"/>
        </w:rPr>
        <w:t xml:space="preserve">.docx</w:t>
      </w:r>
      <w:r>
        <w:t xml:space="preserve"> </w:t>
      </w:r>
      <w:r>
        <w:t xml:space="preserve">file and then edited with programs like Microsoft Word or Libre Office.</w:t>
      </w:r>
      <w:r>
        <w:t xml:space="preserve"> </w:t>
      </w:r>
      <w:r>
        <w:t xml:space="preserve">For small edits or high-level feedback, we have found this option to be reasonable.</w:t>
      </w:r>
      <w:r>
        <w:t xml:space="preserve"> </w:t>
      </w:r>
      <w:r>
        <w:t xml:space="preserve">Fourth, software packages exist to help people collaborate with Quarto.</w:t>
      </w:r>
      <w:r>
        <w:t xml:space="preserve"> </w:t>
      </w:r>
      <w:r>
        <w:t xml:space="preserve">For example, the Trackdown package allows people to share files using Google Drive and edit files using Google Docs</w:t>
      </w:r>
      <w:r>
        <w:t xml:space="preserve"> </w:t>
      </w:r>
      <w:r>
        <w:t xml:space="preserve">(Kothe et al. 2021)</w:t>
      </w:r>
      <w:r>
        <w:t xml:space="preserve">.</w:t>
      </w:r>
      <w:r>
        <w:t xml:space="preserve"> </w:t>
      </w:r>
      <w:r>
        <w:t xml:space="preserve">The Trackdown package and other tools also exist for creating documents showing track changes from Quarto-based document.</w:t>
      </w:r>
      <w:r>
        <w:t xml:space="preserve"> </w:t>
      </w:r>
      <w:r>
        <w:t xml:space="preserve">Fifth, the paid commercial version of RStudio, Posit Workbench, also allows people to collaborative edit documents in real time.</w:t>
      </w:r>
      <w:r>
        <w:t xml:space="preserve"> </w:t>
      </w:r>
      <w:r>
        <w:t xml:space="preserve">Sixth, we will also sometimes write a document in Quarto and then switch to the journal’s workflow language for the final edits and</w:t>
      </w:r>
      <w:r>
        <w:t xml:space="preserve"> </w:t>
      </w:r>
      <w:r>
        <w:t xml:space="preserve">“</w:t>
      </w:r>
      <w:r>
        <w:t xml:space="preserve">break</w:t>
      </w:r>
      <w:r>
        <w:t xml:space="preserve">”</w:t>
      </w:r>
      <w:r>
        <w:t xml:space="preserve"> </w:t>
      </w:r>
      <w:r>
        <w:t xml:space="preserve">the connection to Quarto.</w:t>
      </w:r>
      <w:r>
        <w:t xml:space="preserve"> </w:t>
      </w:r>
      <w:r>
        <w:t xml:space="preserve">For Word-based workflows, this is a Word document (ending with</w:t>
      </w:r>
      <w:r>
        <w:t xml:space="preserve"> </w:t>
      </w:r>
      <w:r>
        <w:rPr>
          <w:rStyle w:val="VerbatimChar"/>
        </w:rPr>
        <w:t xml:space="preserve">.docx</w:t>
      </w:r>
      <w:r>
        <w:t xml:space="preserve">, or</w:t>
      </w:r>
      <w:r>
        <w:t xml:space="preserve"> </w:t>
      </w:r>
      <w:r>
        <w:rPr>
          <w:rStyle w:val="VerbatimChar"/>
        </w:rPr>
        <w:t xml:space="preserve">.doc</w:t>
      </w:r>
      <w:r>
        <w:t xml:space="preserve"> </w:t>
      </w:r>
      <w:r>
        <w:t xml:space="preserve">for some older workflows) and applies to journals such as the</w:t>
      </w:r>
      <w:r>
        <w:t xml:space="preserve"> </w:t>
      </w:r>
      <w:r>
        <w:rPr>
          <w:iCs/>
          <w:i/>
        </w:rPr>
        <w:t xml:space="preserve">Journal of Fish and Wildlife Management</w:t>
      </w:r>
      <w:r>
        <w:t xml:space="preserve">.</w:t>
      </w:r>
      <w:r>
        <w:t xml:space="preserve"> </w:t>
      </w:r>
      <w:r>
        <w:t xml:space="preserve">For LaTeX-based workflows, this is a LaTeX document (ending with</w:t>
      </w:r>
      <w:r>
        <w:t xml:space="preserve"> </w:t>
      </w:r>
      <w:r>
        <w:rPr>
          <w:rStyle w:val="VerbatimChar"/>
        </w:rPr>
        <w:t xml:space="preserve">.tex</w:t>
      </w:r>
      <w:r>
        <w:t xml:space="preserve">) and applies to journals that use LaTeX-based workflows.</w:t>
      </w:r>
      <w:r>
        <w:t xml:space="preserve"> </w:t>
      </w:r>
      <w:r>
        <w:t xml:space="preserve">For example when writing agency reports based upon our journal articles, we may stop using Quarto at the final stages because it is easier than continuing to update Quarto documents.</w:t>
      </w:r>
    </w:p>
    <w:bookmarkEnd w:id="26"/>
    <w:bookmarkStart w:id="27" w:name="tips-to-improve-accessibility"/>
    <w:p>
      <w:pPr>
        <w:pStyle w:val="Heading1"/>
      </w:pPr>
      <w:r>
        <w:t xml:space="preserve">Tips to improve accessibility</w:t>
      </w:r>
    </w:p>
    <w:p>
      <w:pPr>
        <w:pStyle w:val="FirstParagraph"/>
      </w:pPr>
      <w:r>
        <w:t xml:space="preserve">Using Quarto as a templating workflow does not necessarily guarantee that the resulting rendered document will be Section 508-compliant or accessible (https://www.section508.gov/, May 2024); however, there are some additional guidelines that will improve overall accessibility:</w:t>
      </w:r>
    </w:p>
    <w:p>
      <w:pPr>
        <w:numPr>
          <w:ilvl w:val="0"/>
          <w:numId w:val="1002"/>
        </w:numPr>
        <w:pStyle w:val="Compact"/>
      </w:pPr>
      <w:r>
        <w:t xml:space="preserve">Use the built-in header system (e.g.,</w:t>
      </w:r>
      <w:r>
        <w:t xml:space="preserve"> </w:t>
      </w:r>
      <w:r>
        <w:rPr>
          <w:rStyle w:val="VerbatimChar"/>
        </w:rPr>
        <w:t xml:space="preserve">#</w:t>
      </w:r>
      <w:r>
        <w:t xml:space="preserve"> </w:t>
      </w:r>
      <w:r>
        <w:t xml:space="preserve">for Header 1,</w:t>
      </w:r>
      <w:r>
        <w:t xml:space="preserve"> </w:t>
      </w:r>
      <w:r>
        <w:rPr>
          <w:rStyle w:val="VerbatimChar"/>
        </w:rPr>
        <w:t xml:space="preserve">##</w:t>
      </w:r>
      <w:r>
        <w:t xml:space="preserve"> </w:t>
      </w:r>
      <w:r>
        <w:t xml:space="preserve">for Header 2, etc.) to create screen-readable organization in the rendered document.</w:t>
      </w:r>
    </w:p>
    <w:p>
      <w:pPr>
        <w:numPr>
          <w:ilvl w:val="0"/>
          <w:numId w:val="1002"/>
        </w:numPr>
        <w:pStyle w:val="Compact"/>
      </w:pPr>
      <w:r>
        <w:t xml:space="preserve">Add</w:t>
      </w:r>
      <w:r>
        <w:t xml:space="preserve"> </w:t>
      </w:r>
      <w:r>
        <w:t xml:space="preserve">“</w:t>
      </w:r>
      <w:r>
        <w:t xml:space="preserve">alt-text</w:t>
      </w:r>
      <w:r>
        <w:t xml:space="preserve">”</w:t>
      </w:r>
      <w:r>
        <w:t xml:space="preserve"> </w:t>
      </w:r>
      <w:r>
        <w:t xml:space="preserve">to your figure elements. Alt-text is text added to provide a visual description of the figure or image and is read by screen-readers. If you are using a chunk of code to create the figure, you can include a chunk argument</w:t>
      </w:r>
      <w:r>
        <w:t xml:space="preserve"> </w:t>
      </w:r>
      <w:r>
        <w:rPr>
          <w:rStyle w:val="VerbatimChar"/>
        </w:rPr>
        <w:t xml:space="preserve">fig.alt="..."</w:t>
      </w:r>
      <w:r>
        <w:t xml:space="preserve"> </w:t>
      </w:r>
      <w:r>
        <w:t xml:space="preserve">that will automatically create alt-text for that output. Alternatively, if you are directly adding a figure to your document, you can include alt-text within the square brackets:</w:t>
      </w:r>
      <w:r>
        <w:t xml:space="preserve"> </w:t>
      </w:r>
      <w:r>
        <w:rPr>
          <w:rStyle w:val="VerbatimChar"/>
        </w:rPr>
        <w:t xml:space="preserve">![Alt text description](image_pathway.png).0</w:t>
      </w:r>
    </w:p>
    <w:p>
      <w:pPr>
        <w:numPr>
          <w:ilvl w:val="0"/>
          <w:numId w:val="1002"/>
        </w:numPr>
        <w:pStyle w:val="Compact"/>
      </w:pPr>
      <w:r>
        <w:t xml:space="preserve">Follow other best-practices for accessible writing and design, such as using plain language when possible, using high-contrast colors in data visualizations, and using the built-in Microsoft Word Accessibility Checker on your final rendered document.</w:t>
      </w:r>
    </w:p>
    <w:bookmarkEnd w:id="27"/>
    <w:bookmarkStart w:id="28" w:name="quarto-utils"/>
    <w:p>
      <w:pPr>
        <w:pStyle w:val="Heading1"/>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https://doi.org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[@Gelman2010]</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10.48550/arXiv.1003.6087</w:t>
      </w:r>
      <w:r>
        <w:t xml:space="preserve">) or the full uniform resource locator (URL) (such as</w:t>
      </w:r>
      <w:r>
        <w:t xml:space="preserve"> </w:t>
      </w:r>
      <w:r>
        <w:rPr>
          <w:rStyle w:val="VerbatimChar"/>
        </w:rPr>
        <w:t xml:space="preserve">https://doi.org/10.48550/arXiv.1003.6087</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feature is another method to streamline the writing process.</w:t>
      </w:r>
      <w:r>
        <w:t xml:space="preserve"> </w:t>
      </w:r>
      <w:r>
        <w:t xml:space="preserve">Many bibliographic database software programs exist, but authors may find it more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characters (such as non-American Standard Code for Information Interchange (ASCII)) characters are removed.</w:t>
      </w:r>
      <w:r>
        <w:t xml:space="preserve"> </w:t>
      </w:r>
      <w:r>
        <w:t xml:space="preserve">Also, citations listed on doi.org may be incorrect and sometimes require additional curation and formatting.</w:t>
      </w:r>
    </w:p>
    <w:bookmarkEnd w:id="28"/>
    <w:bookmarkStart w:id="29"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readily change formatting if they need to change reports (such as completion reports or partner summaries)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 such as the examples previously shown in this document where numbers are reinserted each time the source file is recompiled.</w:t>
      </w:r>
      <w:r>
        <w:t xml:space="preserve"> </w:t>
      </w:r>
      <w:r>
        <w:t xml:space="preserve">When integrated with statistical and analytical programming languages such as Python or R and publicly released, files created by these programs also more readily support Findable Accessible Interaperable Reusable (FAIR) principles because the details (and code) necessary to recreate results are embedded within the Quarto document.</w:t>
      </w:r>
      <w:r>
        <w:t xml:space="preserve"> </w:t>
      </w:r>
      <w:r>
        <w:t xml:space="preserve">The FAIR principles are increasingly being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documents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following the style guide for the</w:t>
      </w:r>
      <w:r>
        <w:t xml:space="preserve"> </w:t>
      </w:r>
      <w:r>
        <w:rPr>
          <w:iCs/>
          <w:i/>
        </w:rPr>
        <w:t xml:space="preserve">Journal of Fish and Wildlife Management</w:t>
      </w:r>
      <w:r>
        <w:t xml:space="preserve">.</w:t>
      </w:r>
      <w:r>
        <w:t xml:space="preserve"> </w:t>
      </w:r>
      <w:r>
        <w:t xml:space="preserve">Our example could readily be adapted for other journals with similar Word-based workflows such as</w:t>
      </w:r>
      <w:r>
        <w:t xml:space="preserve"> </w:t>
      </w:r>
      <w:r>
        <w:rPr>
          <w:iCs/>
          <w:i/>
        </w:rPr>
        <w:t xml:space="preserve">Environmental Toxicology and Chemistry</w:t>
      </w:r>
      <w:r>
        <w:t xml:space="preserve"> </w:t>
      </w:r>
      <w:r>
        <w:t xml:space="preserve">or the</w:t>
      </w:r>
      <w:r>
        <w:t xml:space="preserve"> </w:t>
      </w:r>
      <w:r>
        <w:rPr>
          <w:iCs/>
          <w:i/>
        </w:rPr>
        <w:t xml:space="preserve">Journal of Wildlife Management</w:t>
      </w:r>
      <w:r>
        <w:t xml:space="preserve">.</w:t>
      </w:r>
      <w:r>
        <w:t xml:space="preserve"> </w:t>
      </w:r>
      <w:r>
        <w:t xml:space="preserve">The Quarto workflow can also serve as a frontend to journals using LaTeX-based workflow.</w:t>
      </w:r>
      <w:r>
        <w:t xml:space="preserve"> </w:t>
      </w:r>
      <w:r>
        <w:t xml:space="preserve">Aside from directly helping authors who write journal articles or other products such as annual reports,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perform the statistical analysis, data formatting, plotting, or other number crunching but also in preparing the document itself.</w:t>
      </w:r>
      <w:r>
        <w:t xml:space="preserve"> </w:t>
      </w:r>
      <w:r>
        <w:t xml:space="preserve">The example described in this paper and fully provided in</w:t>
      </w:r>
      <w:r>
        <w:t xml:space="preserve"> </w:t>
      </w:r>
      <w:r>
        <w:t xml:space="preserve">Erickson et al. (2024)</w:t>
      </w:r>
      <w:r>
        <w:t xml:space="preserve"> </w:t>
      </w:r>
      <w:r>
        <w:t xml:space="preserve">could also serve as a starting place for these documents.</w:t>
      </w:r>
    </w:p>
    <w:bookmarkEnd w:id="29"/>
    <w:bookmarkStart w:id="30" w:name="acknowledgments"/>
    <w:p>
      <w:pPr>
        <w:pStyle w:val="Heading1"/>
      </w:pPr>
      <w:r>
        <w:t xml:space="preserve">Acknowledgments</w:t>
      </w:r>
    </w:p>
    <w:p>
      <w:pPr>
        <w:pStyle w:val="FirstParagraph"/>
      </w:pPr>
      <w:r>
        <w:t xml:space="preserve">We thank all reviewers and editors, both the journal’s and internal U.S. Geological Survey, for their feedback that improved this manuscript.</w:t>
      </w:r>
      <w:r>
        <w:t xml:space="preserve"> </w:t>
      </w:r>
      <w:r>
        <w:t xml:space="preserve">We thank the U.S. Geological Survey Biological Threats and Invasive Species Research Program and U.S. Geological Survey Water Resources HyTest Project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0"/>
    <w:bookmarkStart w:id="31"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(2024)</w:t>
      </w:r>
      <w:r>
        <w:t xml:space="preserve">.</w:t>
      </w:r>
      <w:r>
        <w:t xml:space="preserve"> </w:t>
      </w:r>
      <w:r>
        <w:t xml:space="preserve">The</w:t>
      </w:r>
      <w:r>
        <w:t xml:space="preserve"> </w:t>
      </w:r>
      <w:r>
        <w:rPr>
          <w:rStyle w:val="VerbatimChar"/>
        </w:rPr>
        <w:t xml:space="preserve">quarto-utils</w:t>
      </w:r>
      <w:r>
        <w:t xml:space="preserve"> </w:t>
      </w:r>
      <w:r>
        <w:t xml:space="preserve">package is available at</w:t>
      </w:r>
      <w:r>
        <w:t xml:space="preserve"> </w:t>
      </w:r>
      <w:r>
        <w:t xml:space="preserve">Fienen and Erickson (2024)</w:t>
      </w:r>
      <w:r>
        <w:t xml:space="preserve">.</w:t>
      </w:r>
    </w:p>
    <w:bookmarkEnd w:id="31"/>
    <w:bookmarkStart w:id="35" w:name="figures"/>
    <w:p>
      <w:pPr>
        <w:pStyle w:val="Heading1"/>
      </w:pPr>
      <w:r>
        <w:t xml:space="preserve">Figures</w:t>
      </w:r>
    </w:p>
    <w:p>
      <w:pPr>
        <w:pStyle w:val="FirstParagraph"/>
      </w:pPr>
      <w:r>
        <w:t xml:space="preserve">Figure 1. Example of Quarto workflow for reproducible scientific workflows.</w:t>
      </w:r>
      <w:r>
        <w:t xml:space="preserve"> </w:t>
      </w:r>
      <w:r>
        <w:t xml:space="preserve">Users write Quarto documents using Markdown syntax.</w:t>
      </w:r>
      <w:r>
        <w:t xml:space="preserve"> </w:t>
      </w:r>
      <w:r>
        <w:t xml:space="preserve">Within the Quarto document, users can add chunks of code in the R, Julia, Python or other languages.</w:t>
      </w:r>
      <w:r>
        <w:t xml:space="preserve"> </w:t>
      </w:r>
      <w:r>
        <w:t xml:space="preserve">In addition, users can directly embed LaTeX typesetting, which is often used for equations.</w:t>
      </w:r>
      <w:r>
        <w:t xml:space="preserve"> </w:t>
      </w:r>
      <w:r>
        <w:t xml:space="preserve">Quarto then renders the document to an intermediate Markdown document with Pandoc.</w:t>
      </w:r>
      <w:r>
        <w:t xml:space="preserve"> </w:t>
      </w:r>
      <w:r>
        <w:t xml:space="preserve">Pandoc then converts the Markdown document directly to one of the many output formats.</w:t>
      </w:r>
      <w:r>
        <w:t xml:space="preserve"> </w:t>
      </w:r>
      <w:r>
        <w:t xml:space="preserve">These formats include such products as Portable Document Format (PDF), Microsoft Word, Microsoft PowerPoint, or Hypertext Markup Language (html).</w:t>
      </w:r>
    </w:p>
    <w:p>
      <w:pPr>
        <w:pStyle w:val="BodyText"/>
      </w:pPr>
      <w:r>
        <w:drawing>
          <wp:inline>
            <wp:extent cx="4938983" cy="2018408"/>
            <wp:effectExtent b="0" l="0" r="0" t="0"/>
            <wp:docPr descr="" title="" id="33" name="Picture"/>
            <a:graphic>
              <a:graphicData uri="http://schemas.openxmlformats.org/drawingml/2006/picture">
                <pic:pic>
                  <pic:nvPicPr>
                    <pic:cNvPr descr="quarto.png" id="34" name="Picture"/>
                    <pic:cNvPicPr>
                      <a:picLocks noChangeArrowheads="1" noChangeAspect="1"/>
                    </pic:cNvPicPr>
                  </pic:nvPicPr>
                  <pic:blipFill>
                    <a:blip r:embed="rId32"/>
                    <a:stretch>
                      <a:fillRect/>
                    </a:stretch>
                  </pic:blipFill>
                  <pic:spPr bwMode="auto">
                    <a:xfrm>
                      <a:off x="0" y="0"/>
                      <a:ext cx="4938983" cy="2018408"/>
                    </a:xfrm>
                    <a:prstGeom prst="rect">
                      <a:avLst/>
                    </a:prstGeom>
                    <a:noFill/>
                    <a:ln w="9525">
                      <a:noFill/>
                      <a:headEnd/>
                      <a:tailEnd/>
                    </a:ln>
                  </pic:spPr>
                </pic:pic>
              </a:graphicData>
            </a:graphic>
          </wp:inline>
        </w:drawing>
      </w:r>
    </w:p>
    <w:bookmarkEnd w:id="35"/>
    <w:bookmarkStart w:id="36" w:name="tables"/>
    <w:p>
      <w:pPr>
        <w:pStyle w:val="Heading1"/>
      </w:pPr>
      <w:r>
        <w:t xml:space="preserve">Tables</w:t>
      </w:r>
    </w:p>
    <w:p>
      <w:pPr>
        <w:pStyle w:val="FirstParagraph"/>
      </w:pPr>
      <w:r>
        <w:t xml:space="preserve">Table 1. Steps to use the Quarto template associated with this manuscript for a journal such as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Obtain template</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Write text using Markdown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Run Python script to populate bibliography file</w:t>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Render document to Word</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Break Quarto-Word link and do final formatting manually</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Submit to journal</w:t>
            </w:r>
          </w:p>
        </w:tc>
      </w:tr>
    </w:tbl>
    <w:p>
      <w:pPr>
        <w:pStyle w:val="BodyText"/>
      </w:pPr>
      <w:r>
        <w:t xml:space="preserve">Table 2. Author trivia to demonstrate a table.</w:t>
      </w:r>
      <w:r>
        <w:t xml:space="preserve"> </w:t>
      </w:r>
      <w:r>
        <w:t xml:space="preserve">The table contains details about the authors’ connections to Wisconsin and Minnesota.</w:t>
      </w:r>
      <w:r>
        <w:t xml:space="preserve"> </w:t>
      </w:r>
      <w:r>
        <w:t xml:space="preserve">this includes the authors’ initials (Author column; Richard A. Erickson, RAE; Althea A. Archer, AAA; and Michael N. Fienen MNF), Internship and Undergraduate Minnesota connection, and University of Wisconsin (UW) system connection as a Wisconsin Academic Connection.</w:t>
      </w:r>
      <w:r>
        <w:t xml:space="preserve"> </w:t>
      </w:r>
      <w:r>
        <w:t xml:space="preserve">The table is intentionally awkwardly formatted to include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6"/>
        <w:gridCol w:w="2309"/>
        <w:gridCol w:w="2675"/>
        <w:gridCol w:w="3470"/>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Wisconsin Academic Connection</w:t>
            </w:r>
          </w:p>
        </w:tc>
      </w:tr>
      <w:tr>
        <w:trPr>
          <w:trHeight w:val="617"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Wisconsin (UW) System</w:t>
            </w:r>
          </w:p>
        </w:tc>
      </w:tr>
      <w:tr>
        <w:trPr>
          <w:trHeight w:val="61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 UW-Stevens Point</w:t>
            </w:r>
          </w:p>
        </w:tc>
      </w:tr>
      <w:tr>
        <w:trPr>
          <w:trHeight w:val="61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 UW-Madison</w:t>
            </w:r>
          </w:p>
        </w:tc>
      </w:tr>
      <w:tr>
        <w:trPr>
          <w:trHeight w:val="617"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faculty, UW-La Crosse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Certificate, UW-Madison</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faculty, UW-Madison</w:t>
            </w:r>
          </w:p>
        </w:tc>
      </w:tr>
    </w:tbl>
    <w:bookmarkEnd w:id="36"/>
    <w:bookmarkStart w:id="37" w:name="supplemental-material"/>
    <w:p>
      <w:pPr>
        <w:pStyle w:val="Heading1"/>
      </w:pPr>
      <w:r>
        <w:t xml:space="preserve">Supplemental Material</w:t>
      </w:r>
    </w:p>
    <w:p>
      <w:pPr>
        <w:pStyle w:val="FirstParagraph"/>
      </w:pPr>
      <w:r>
        <w:rPr>
          <w:bCs/>
          <w:b/>
        </w:rPr>
        <w:t xml:space="preserve">Supplement S1</w:t>
      </w:r>
      <w:r>
        <w:t xml:space="preserve"> </w:t>
      </w:r>
      <w:r>
        <w:t xml:space="preserve">Lightsom FL, Hutchison VB, Bishop B, Debrewer LM, Govoni DL, Latysh N, Stall S. 2022. Opportunities to improve alignment with the FAIR principles for U.S. Geological Survey data. U.S. Geological Survey Open File Report 2022-1043. U.S. Geological Survey, Reston, VA. doi:10.3133/ofr20221043.</w:t>
      </w:r>
      <w:r>
        <w:br/>
      </w:r>
      <w:r>
        <w:rPr>
          <w:bCs/>
          <w:b/>
        </w:rPr>
        <w:t xml:space="preserve">Supplement S2</w:t>
      </w:r>
      <w:r>
        <w:t xml:space="preserve"> </w:t>
      </w:r>
      <w:r>
        <w:t xml:space="preserve">U.S. Fish and Wildlife Service. 2023a. Budget justifications and performance information fiscal year 2024. U.S. Department of the Interior, Washington, D.C. USA.</w:t>
      </w:r>
      <w:r>
        <w:br/>
      </w:r>
      <w:r>
        <w:rPr>
          <w:bCs/>
          <w:b/>
        </w:rPr>
        <w:t xml:space="preserve">Supplement S3</w:t>
      </w:r>
      <w:r>
        <w:t xml:space="preserve"> </w:t>
      </w:r>
      <w:r>
        <w:t xml:space="preserve">U.S. Fish and Wildlife Service. 2023b. Waterfowl population status, 2023. U.S. Department of the Interior, Washington, D.C. USA.</w:t>
      </w:r>
    </w:p>
    <w:bookmarkEnd w:id="37"/>
    <w:bookmarkStart w:id="97" w:name="references"/>
    <w:p>
      <w:pPr>
        <w:pStyle w:val="Heading1"/>
      </w:pPr>
      <w:r>
        <w:t xml:space="preserve">References</w:t>
      </w:r>
    </w:p>
    <w:bookmarkStart w:id="96" w:name="refs"/>
    <w:bookmarkStart w:id="39" w:name="ref-Allaire2022"/>
    <w:p>
      <w:pPr>
        <w:pStyle w:val="Bibliography"/>
      </w:pPr>
      <w:r>
        <w:t xml:space="preserve">Allaire JJ, Teague C, Xie Y, Dervieux C. 2022. Quarto. doi:</w:t>
      </w:r>
      <w:hyperlink r:id="rId38">
        <w:r>
          <w:rPr>
            <w:rStyle w:val="Hyperlink"/>
          </w:rPr>
          <w:t xml:space="preserve">10.5281/ZENODO.5960048</w:t>
        </w:r>
      </w:hyperlink>
      <w:r>
        <w:t xml:space="preserve">.</w:t>
      </w:r>
    </w:p>
    <w:bookmarkEnd w:id="39"/>
    <w:bookmarkStart w:id="41"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84:1012–1017. doi:</w:t>
      </w:r>
      <w:hyperlink r:id="rId40">
        <w:r>
          <w:rPr>
            <w:rStyle w:val="Hyperlink"/>
          </w:rPr>
          <w:t xml:space="preserve">10.1002/jwmg.21855</w:t>
        </w:r>
      </w:hyperlink>
      <w:r>
        <w:t xml:space="preserve">.</w:t>
      </w:r>
    </w:p>
    <w:bookmarkEnd w:id="41"/>
    <w:bookmarkStart w:id="43" w:name="ref-Baker_2016"/>
    <w:p>
      <w:pPr>
        <w:pStyle w:val="Bibliography"/>
      </w:pPr>
      <w:r>
        <w:t xml:space="preserve">Baker M. 2016. 1,500 scientists lift the lid on reproducibility. Nature. 533:452–454. doi:</w:t>
      </w:r>
      <w:hyperlink r:id="rId42">
        <w:r>
          <w:rPr>
            <w:rStyle w:val="Hyperlink"/>
          </w:rPr>
          <w:t xml:space="preserve">10.1038/533452a</w:t>
        </w:r>
      </w:hyperlink>
      <w:r>
        <w:t xml:space="preserve">.</w:t>
      </w:r>
    </w:p>
    <w:bookmarkEnd w:id="43"/>
    <w:bookmarkStart w:id="45" w:name="ref-baumer2015r"/>
    <w:p>
      <w:pPr>
        <w:pStyle w:val="Bibliography"/>
      </w:pPr>
      <w:r>
        <w:t xml:space="preserve">Baumer B, Udwin D. 2015.</w:t>
      </w:r>
      <w:r>
        <w:t xml:space="preserve"> </w:t>
      </w:r>
      <w:r>
        <w:t xml:space="preserve">R Markdown</w:t>
      </w:r>
      <w:r>
        <w:t xml:space="preserve">. Wiley Interdisciplinary Reviews: Computational Statistics. 7:167–177. doi:</w:t>
      </w:r>
      <w:hyperlink r:id="rId44">
        <w:r>
          <w:rPr>
            <w:rStyle w:val="Hyperlink"/>
          </w:rPr>
          <w:t xml:space="preserve">10.1002/wics.1348</w:t>
        </w:r>
      </w:hyperlink>
      <w:r>
        <w:t xml:space="preserve">.</w:t>
      </w:r>
    </w:p>
    <w:bookmarkEnd w:id="45"/>
    <w:bookmarkStart w:id="46" w:name="ref-bennie2024obtaining"/>
    <w:p>
      <w:pPr>
        <w:pStyle w:val="Bibliography"/>
      </w:pPr>
      <w:r>
        <w:t xml:space="preserve">Bennie B, Erickson RA. 2024. Obtaining and applying public data for training students in technical statistical writing: Case studies with data from us geological survey and general ecological literature. Journal of Statistics and Data Science Education. 32:217–226.</w:t>
      </w:r>
    </w:p>
    <w:bookmarkEnd w:id="46"/>
    <w:bookmarkStart w:id="48" w:name="ref-borregaard2016towards"/>
    <w:p>
      <w:pPr>
        <w:pStyle w:val="Bibliography"/>
      </w:pPr>
      <w:r>
        <w:t xml:space="preserve">Borregaard M, Hart E. 2016. Towards a more reproducible ecology. Ecography. 39:349–353. doi:</w:t>
      </w:r>
      <w:hyperlink r:id="rId47">
        <w:r>
          <w:rPr>
            <w:rStyle w:val="Hyperlink"/>
          </w:rPr>
          <w:t xml:space="preserve">10.1111/ecog.02493</w:t>
        </w:r>
      </w:hyperlink>
      <w:r>
        <w:t xml:space="preserve">.</w:t>
      </w:r>
    </w:p>
    <w:bookmarkEnd w:id="48"/>
    <w:bookmarkStart w:id="50"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14:1364–1380. doi:</w:t>
      </w:r>
      <w:hyperlink r:id="rId49">
        <w:r>
          <w:rPr>
            <w:rStyle w:val="Hyperlink"/>
          </w:rPr>
          <w:t xml:space="preserve">10.1111/2041-210x.14108</w:t>
        </w:r>
      </w:hyperlink>
      <w:r>
        <w:t xml:space="preserve">.</w:t>
      </w:r>
    </w:p>
    <w:bookmarkEnd w:id="50"/>
    <w:bookmarkStart w:id="52" w:name="ref-dominici2014overview"/>
    <w:p>
      <w:pPr>
        <w:pStyle w:val="Bibliography"/>
      </w:pPr>
      <w:r>
        <w:t xml:space="preserve">Dominici M. 2014.</w:t>
      </w:r>
      <w:r>
        <w:t xml:space="preserve"> </w:t>
      </w:r>
      <w:hyperlink r:id="rId51">
        <w:r>
          <w:rPr>
            <w:rStyle w:val="Hyperlink"/>
          </w:rPr>
          <w:t xml:space="preserve">An overview of Pandoc</w:t>
        </w:r>
      </w:hyperlink>
      <w:r>
        <w:t xml:space="preserve">. TUGboat. 35:44–50.</w:t>
      </w:r>
    </w:p>
    <w:bookmarkEnd w:id="52"/>
    <w:bookmarkStart w:id="54" w:name="ref-erickson2024quarto"/>
    <w:p>
      <w:pPr>
        <w:pStyle w:val="Bibliography"/>
      </w:pPr>
      <w:r>
        <w:t xml:space="preserve">Erickson RA, Archer AA, Fienen MN. 2024.</w:t>
      </w:r>
      <w:r>
        <w:t xml:space="preserve"> </w:t>
      </w:r>
      <w:hyperlink r:id="rId53">
        <w:r>
          <w:rPr>
            <w:rStyle w:val="Hyperlink"/>
          </w:rPr>
          <w:t xml:space="preserve">Journal of Fish and Wildlife Management Quarto template, U.S. Geological Survey software release</w:t>
        </w:r>
      </w:hyperlink>
      <w:r>
        <w:t xml:space="preserve">. Reston, VA. (January 2024).</w:t>
      </w:r>
    </w:p>
    <w:bookmarkEnd w:id="54"/>
    <w:bookmarkStart w:id="56" w:name="ref-Erickson_2021"/>
    <w:p>
      <w:pPr>
        <w:pStyle w:val="Bibliography"/>
      </w:pPr>
      <w:r>
        <w:t xml:space="preserve">Erickson RA, Burnett JL, Wiltermuth MT, Bulliner EA, Hsu L. 2021. Paths to computational fluency for natural resource educators, researchers, and managers. Natural Resource Modeling. 34:e12318. doi:</w:t>
      </w:r>
      <w:hyperlink r:id="rId55">
        <w:r>
          <w:rPr>
            <w:rStyle w:val="Hyperlink"/>
          </w:rPr>
          <w:t xml:space="preserve">10.1111/nrm.12318</w:t>
        </w:r>
      </w:hyperlink>
      <w:r>
        <w:t xml:space="preserve">.</w:t>
      </w:r>
    </w:p>
    <w:bookmarkEnd w:id="56"/>
    <w:bookmarkStart w:id="58"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39:1657–1669. doi:</w:t>
      </w:r>
      <w:hyperlink r:id="rId57">
        <w:r>
          <w:rPr>
            <w:rStyle w:val="Hyperlink"/>
          </w:rPr>
          <w:t xml:space="preserve">10.1002/etc.4800</w:t>
        </w:r>
      </w:hyperlink>
      <w:r>
        <w:t xml:space="preserve">.</w:t>
      </w:r>
    </w:p>
    <w:bookmarkEnd w:id="58"/>
    <w:bookmarkStart w:id="59" w:name="ref-fanelli2018science"/>
    <w:p>
      <w:pPr>
        <w:pStyle w:val="Bibliography"/>
      </w:pPr>
      <w:r>
        <w:t xml:space="preserve">Fanelli D. 2018. Is science really facing a reproducibility crisis, and do we need it to? Proceedings of the National Academy of Sciences. 115:2628–2631.</w:t>
      </w:r>
    </w:p>
    <w:bookmarkEnd w:id="59"/>
    <w:bookmarkStart w:id="61"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20:3739–3743. doi:</w:t>
      </w:r>
      <w:hyperlink r:id="rId60">
        <w:r>
          <w:rPr>
            <w:rStyle w:val="Hyperlink"/>
          </w:rPr>
          <w:t xml:space="preserve">10.5194/hess-20-3739-2016</w:t>
        </w:r>
      </w:hyperlink>
      <w:r>
        <w:t xml:space="preserve">.</w:t>
      </w:r>
    </w:p>
    <w:bookmarkEnd w:id="61"/>
    <w:bookmarkStart w:id="62" w:name="ref-fienen2024quarto"/>
    <w:p>
      <w:pPr>
        <w:pStyle w:val="Bibliography"/>
      </w:pPr>
      <w:r>
        <w:t xml:space="preserve">Fienen MN, Erickson RA. 2024.</w:t>
      </w:r>
      <w:r>
        <w:t xml:space="preserve"> </w:t>
      </w:r>
      <w:hyperlink r:id="rId53">
        <w:r>
          <w:rPr>
            <w:rStyle w:val="Hyperlink"/>
          </w:rPr>
          <w:t xml:space="preserve">Quarto-utis, U.S. Geological Survey software release</w:t>
        </w:r>
      </w:hyperlink>
      <w:r>
        <w:t xml:space="preserve">. Reston, VA. (January 2024).</w:t>
      </w:r>
    </w:p>
    <w:bookmarkEnd w:id="62"/>
    <w:bookmarkStart w:id="64" w:name="ref-flextable2013"/>
    <w:p>
      <w:pPr>
        <w:pStyle w:val="Bibliography"/>
      </w:pPr>
      <w:r>
        <w:t xml:space="preserve">Gohel D, Skintzos P. 2023.</w:t>
      </w:r>
      <w:r>
        <w:t xml:space="preserve"> </w:t>
      </w:r>
      <w:hyperlink r:id="rId63">
        <w:r>
          <w:rPr>
            <w:rStyle w:val="Hyperlink"/>
          </w:rPr>
          <w:t xml:space="preserve">Flextable: Functions for tabular reporting</w:t>
        </w:r>
      </w:hyperlink>
      <w:r>
        <w:t xml:space="preserve">.</w:t>
      </w:r>
    </w:p>
    <w:bookmarkEnd w:id="64"/>
    <w:bookmarkStart w:id="65" w:name="ref-gould2023same"/>
    <w:p>
      <w:pPr>
        <w:pStyle w:val="Bibliography"/>
      </w:pPr>
      <w:r>
        <w:t xml:space="preserve">Gould E, Fraser HS, Parker TH, Nakagawa S, Griffith SC, Vesk PA, Fidler F, Hamilton DG, Abbey-Lee RN, Abbott JK, et al. 2023. Same data, different analysts: Variation in effect sizes due to analytical decisions in ecology and evolutionary biology. EcoEvoRxiv.</w:t>
      </w:r>
    </w:p>
    <w:bookmarkEnd w:id="65"/>
    <w:bookmarkStart w:id="67" w:name="ref-Hutton_2016"/>
    <w:p>
      <w:pPr>
        <w:pStyle w:val="Bibliography"/>
      </w:pPr>
      <w:r>
        <w:t xml:space="preserve">Hutton C, Wagener T, Freer J, Han D, Duffy C, Arheimer B. 2016. Most computational hydrology is not reproducible, so is it really science? Water Resources Research. 52:7548–7555. doi:</w:t>
      </w:r>
      <w:hyperlink r:id="rId66">
        <w:r>
          <w:rPr>
            <w:rStyle w:val="Hyperlink"/>
          </w:rPr>
          <w:t xml:space="preserve">10.1002/2016wr019285</w:t>
        </w:r>
      </w:hyperlink>
      <w:r>
        <w:t xml:space="preserve">.</w:t>
      </w:r>
    </w:p>
    <w:bookmarkEnd w:id="67"/>
    <w:bookmarkStart w:id="68" w:name="ref-knuth1984tex"/>
    <w:p>
      <w:pPr>
        <w:pStyle w:val="Bibliography"/>
      </w:pPr>
      <w:r>
        <w:t xml:space="preserve">Knuth DE. 1984.</w:t>
      </w:r>
      <w:r>
        <w:t xml:space="preserve"> </w:t>
      </w:r>
      <w:r>
        <w:t xml:space="preserve">TEX: The Program</w:t>
      </w:r>
      <w:r>
        <w:t xml:space="preserve">. Reading, MA: Addison–Wesley.</w:t>
      </w:r>
    </w:p>
    <w:bookmarkEnd w:id="68"/>
    <w:bookmarkStart w:id="70" w:name="ref-Kothe2021"/>
    <w:p>
      <w:pPr>
        <w:pStyle w:val="Bibliography"/>
      </w:pPr>
      <w:r>
        <w:t xml:space="preserve">Kothe E, Callegher CZ, Gambarota F, Linkersdörfer J, Ling M. 2021.</w:t>
      </w:r>
      <w:r>
        <w:t xml:space="preserve"> </w:t>
      </w:r>
      <w:hyperlink r:id="rId69">
        <w:r>
          <w:rPr>
            <w:rStyle w:val="Hyperlink"/>
          </w:rPr>
          <w:t xml:space="preserve">Trackdown: Collaborative writing and editing of r markdown (or quarto / sweave) documents in google drive</w:t>
        </w:r>
      </w:hyperlink>
      <w:r>
        <w:t xml:space="preserve">.</w:t>
      </w:r>
    </w:p>
    <w:bookmarkEnd w:id="70"/>
    <w:bookmarkStart w:id="71" w:name="ref-lamport1985latex"/>
    <w:p>
      <w:pPr>
        <w:pStyle w:val="Bibliography"/>
      </w:pPr>
      <w:r>
        <w:t xml:space="preserve">Lamport L. 1985.</w:t>
      </w:r>
      <w:r>
        <w:t xml:space="preserve"> </w:t>
      </w:r>
      <w:r>
        <w:t xml:space="preserve">LaTeX–A Document Preparation System</w:t>
      </w:r>
      <w:r>
        <w:t xml:space="preserve">. Reading, MA: Addison–Wesley.</w:t>
      </w:r>
    </w:p>
    <w:bookmarkEnd w:id="71"/>
    <w:bookmarkStart w:id="73" w:name="ref-Leisch_2002"/>
    <w:p>
      <w:pPr>
        <w:pStyle w:val="Bibliography"/>
      </w:pPr>
      <w:r>
        <w:t xml:space="preserve">Leisch F. 2002.</w:t>
      </w:r>
      <w:r>
        <w:t xml:space="preserve"> </w:t>
      </w:r>
      <w:hyperlink r:id="rId72">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73"/>
    <w:bookmarkStart w:id="75" w:name="ref-lightsom2022opportunities"/>
    <w:p>
      <w:pPr>
        <w:pStyle w:val="Bibliography"/>
      </w:pPr>
      <w:r>
        <w:t xml:space="preserve">Lightsom FL, Hutchison VB, Bishop B, Debrewer LM, Govoni DL, Latysh N, Stall S. 2022.</w:t>
      </w:r>
      <w:r>
        <w:t xml:space="preserve"> </w:t>
      </w:r>
      <w:hyperlink r:id="rId74">
        <w:r>
          <w:rPr>
            <w:rStyle w:val="Hyperlink"/>
          </w:rPr>
          <w:t xml:space="preserve">Opportunities to improve alignment with the FAIR Principles for US Geological Survey data</w:t>
        </w:r>
      </w:hyperlink>
      <w:r>
        <w:t xml:space="preserve">. US Geological Survey.</w:t>
      </w:r>
    </w:p>
    <w:bookmarkEnd w:id="75"/>
    <w:bookmarkStart w:id="77" w:name="ref-code2023visual"/>
    <w:p>
      <w:pPr>
        <w:pStyle w:val="Bibliography"/>
      </w:pPr>
      <w:r>
        <w:t xml:space="preserve">Microsoft. 2023.</w:t>
      </w:r>
      <w:r>
        <w:t xml:space="preserve"> </w:t>
      </w:r>
      <w:hyperlink r:id="rId76">
        <w:r>
          <w:rPr>
            <w:rStyle w:val="Hyperlink"/>
          </w:rPr>
          <w:t xml:space="preserve">Visual Studio Code</w:t>
        </w:r>
      </w:hyperlink>
      <w:r>
        <w:t xml:space="preserve">. Seattle, WA. (January 2024).</w:t>
      </w:r>
    </w:p>
    <w:bookmarkEnd w:id="77"/>
    <w:bookmarkStart w:id="79" w:name="ref-rstudio"/>
    <w:p>
      <w:pPr>
        <w:pStyle w:val="Bibliography"/>
      </w:pPr>
      <w:r>
        <w:t xml:space="preserve">Posit Team. 2023.</w:t>
      </w:r>
      <w:r>
        <w:t xml:space="preserve"> </w:t>
      </w:r>
      <w:hyperlink r:id="rId78">
        <w:r>
          <w:rPr>
            <w:rStyle w:val="Hyperlink"/>
          </w:rPr>
          <w:t xml:space="preserve">RStudio: Integrated Development Environment for R</w:t>
        </w:r>
      </w:hyperlink>
      <w:r>
        <w:t xml:space="preserve">. Boston, MA: Posit Software, PBC.</w:t>
      </w:r>
    </w:p>
    <w:bookmarkEnd w:id="79"/>
    <w:bookmarkStart w:id="80" w:name="ref-r2024"/>
    <w:p>
      <w:pPr>
        <w:pStyle w:val="Bibliography"/>
      </w:pPr>
      <w:r>
        <w:t xml:space="preserve">R Core Team. 2024. R: A language and environment for statistical computing. Vienna, Austria: R Foundation for Statistical Computing.</w:t>
      </w:r>
    </w:p>
    <w:bookmarkEnd w:id="80"/>
    <w:bookmarkStart w:id="82"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11:1105–1108. doi:</w:t>
      </w:r>
      <w:hyperlink r:id="rId81">
        <w:r>
          <w:rPr>
            <w:rStyle w:val="Hyperlink"/>
          </w:rPr>
          <w:t xml:space="preserve">10.1016/j.molp.2018.07.005</w:t>
        </w:r>
      </w:hyperlink>
      <w:r>
        <w:t xml:space="preserve">.</w:t>
      </w:r>
    </w:p>
    <w:bookmarkEnd w:id="82"/>
    <w:bookmarkStart w:id="84" w:name="ref-usfws2023budget"/>
    <w:p>
      <w:pPr>
        <w:pStyle w:val="Bibliography"/>
      </w:pPr>
      <w:r>
        <w:t xml:space="preserve">U.S. Fish and Wildlife Service. 2023b.</w:t>
      </w:r>
      <w:r>
        <w:t xml:space="preserve"> </w:t>
      </w:r>
      <w:hyperlink r:id="rId83">
        <w:r>
          <w:rPr>
            <w:rStyle w:val="Hyperlink"/>
          </w:rPr>
          <w:t xml:space="preserve">Budget justifications and performance information fiscal year 2024</w:t>
        </w:r>
      </w:hyperlink>
      <w:r>
        <w:t xml:space="preserve">.</w:t>
      </w:r>
      <w:r>
        <w:t xml:space="preserve"> </w:t>
      </w:r>
      <w:r>
        <w:t xml:space="preserve">U.S. Department of the Interior, Washington, D.C. USA</w:t>
      </w:r>
      <w:r>
        <w:t xml:space="preserve">. (January 2024).</w:t>
      </w:r>
    </w:p>
    <w:bookmarkEnd w:id="84"/>
    <w:bookmarkStart w:id="86" w:name="ref-usfws2023"/>
    <w:p>
      <w:pPr>
        <w:pStyle w:val="Bibliography"/>
      </w:pPr>
      <w:r>
        <w:t xml:space="preserve">U.S. Fish and Wildlife Service. 2023a.</w:t>
      </w:r>
      <w:r>
        <w:t xml:space="preserve"> </w:t>
      </w:r>
      <w:hyperlink r:id="rId85">
        <w:r>
          <w:rPr>
            <w:rStyle w:val="Hyperlink"/>
          </w:rPr>
          <w:t xml:space="preserve">Waterfowl population status, 2023</w:t>
        </w:r>
      </w:hyperlink>
      <w:r>
        <w:t xml:space="preserve">.</w:t>
      </w:r>
      <w:r>
        <w:t xml:space="preserve"> </w:t>
      </w:r>
      <w:r>
        <w:t xml:space="preserve">U.S. Department of the Interior, Washington, D.C. USA</w:t>
      </w:r>
      <w:r>
        <w:t xml:space="preserve">. (January 2024).</w:t>
      </w:r>
    </w:p>
    <w:bookmarkEnd w:id="86"/>
    <w:bookmarkStart w:id="87" w:name="ref-van1995python"/>
    <w:p>
      <w:pPr>
        <w:pStyle w:val="Bibliography"/>
      </w:pPr>
      <w:r>
        <w:t xml:space="preserve">Van Rossum G, Drake Jr FL. 1995. Python tutorial. Centrum voor Wiskunde en Informatica Amsterdam, The Netherlands.</w:t>
      </w:r>
    </w:p>
    <w:bookmarkEnd w:id="87"/>
    <w:bookmarkStart w:id="89" w:name="ref-roxygen2"/>
    <w:p>
      <w:pPr>
        <w:pStyle w:val="Bibliography"/>
      </w:pPr>
      <w:r>
        <w:t xml:space="preserve">Wickham H, Danenberg P, Csárdi G, Eugster M. 2022.</w:t>
      </w:r>
      <w:r>
        <w:t xml:space="preserve"> </w:t>
      </w:r>
      <w:hyperlink r:id="rId88">
        <w:r>
          <w:rPr>
            <w:rStyle w:val="Hyperlink"/>
          </w:rPr>
          <w:t xml:space="preserve">roxygen2: In-Line Documentation for R</w:t>
        </w:r>
      </w:hyperlink>
      <w:r>
        <w:t xml:space="preserve">.</w:t>
      </w:r>
    </w:p>
    <w:bookmarkEnd w:id="89"/>
    <w:bookmarkStart w:id="91" w:name="ref-knitr2014"/>
    <w:p>
      <w:pPr>
        <w:pStyle w:val="Bibliography"/>
      </w:pPr>
      <w:r>
        <w:t xml:space="preserve">Xie Y. 2014.</w:t>
      </w:r>
      <w:r>
        <w:t xml:space="preserve"> </w:t>
      </w:r>
      <w:hyperlink r:id="rId90">
        <w:r>
          <w:rPr>
            <w:rStyle w:val="Hyperlink"/>
          </w:rPr>
          <w:t xml:space="preserve">knitr: A Comprehensive Tool for Reproducible Research in</w:t>
        </w:r>
        <w:r>
          <w:rPr>
            <w:rStyle w:val="Hyperlink"/>
          </w:rPr>
          <w:t xml:space="preserve"> </w:t>
        </w:r>
        <w:r>
          <w:rPr>
            <w:rStyle w:val="Hyperlink"/>
          </w:rPr>
          <w:t xml:space="preserve">R</w:t>
        </w:r>
      </w:hyperlink>
      <w:r>
        <w:t xml:space="preserve">. In: Stodden V, Leisch F, Peng RD, editors.</w:t>
      </w:r>
      <w:r>
        <w:t xml:space="preserve"> </w:t>
      </w:r>
      <w:r>
        <w:t xml:space="preserve">Implementing Reproducible Computational Research</w:t>
      </w:r>
      <w:r>
        <w:t xml:space="preserve">. Chapman; Hall/CRC.</w:t>
      </w:r>
    </w:p>
    <w:bookmarkEnd w:id="91"/>
    <w:bookmarkStart w:id="93" w:name="ref-Xie_2018"/>
    <w:p>
      <w:pPr>
        <w:pStyle w:val="Bibliography"/>
      </w:pPr>
      <w:r>
        <w:t xml:space="preserve">Xie Y, Allaire JJ, Grolemund G. 2018.</w:t>
      </w:r>
      <w:r>
        <w:t xml:space="preserve"> </w:t>
      </w:r>
      <w:hyperlink r:id="rId92">
        <w:r>
          <w:rPr>
            <w:rStyle w:val="Hyperlink"/>
          </w:rPr>
          <w:t xml:space="preserve">R Markdown</w:t>
        </w:r>
      </w:hyperlink>
      <w:r>
        <w:t xml:space="preserve">. Chapman; Hall/</w:t>
      </w:r>
      <w:r>
        <w:t xml:space="preserve">CRC</w:t>
      </w:r>
      <w:r>
        <w:t xml:space="preserve">.</w:t>
      </w:r>
    </w:p>
    <w:bookmarkEnd w:id="93"/>
    <w:bookmarkStart w:id="95" w:name="ref-kableExtra"/>
    <w:p>
      <w:pPr>
        <w:pStyle w:val="Bibliography"/>
      </w:pPr>
      <w:r>
        <w:t xml:space="preserve">Zhu H. 2021.</w:t>
      </w:r>
      <w:r>
        <w:t xml:space="preserve"> </w:t>
      </w:r>
      <w:hyperlink r:id="rId94">
        <w:r>
          <w:rPr>
            <w:rStyle w:val="Hyperlink"/>
          </w:rPr>
          <w:t xml:space="preserve">kableExtra: Construct Complex Table with ’kable’ and Pipe Syntax</w:t>
        </w:r>
      </w:hyperlink>
      <w:r>
        <w:t xml:space="preserve">.</w:t>
      </w:r>
    </w:p>
    <w:bookmarkEnd w:id="95"/>
    <w:bookmarkEnd w:id="96"/>
    <w:bookmarkEnd w:id="97"/>
    <w:sectPr w:rsidR="006E7391" w:rsidSect="003960C1">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DD5155" w:rsidRDefault="00DD5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DD5155"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DD5155" w:rsidRDefault="00DD5155"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DD5155" w:rsidRDefault="00DD515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DD5155" w:rsidRDefault="00DD5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DD5155" w:rsidRDefault="00DD5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DD5155" w:rsidRDefault="00DD515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B32BB"/>
    <w:pPr>
      <w:spacing w:after="240" w:before="240" w:line="480" w:lineRule="auto"/>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C6639"/>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2" Target="media/rId32.png" /><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manuscript workflow with a Quarto template</dc:title>
  <dc:creator>Richard A. Erickson,* Althea A. Archer, Michael N. Fienen</dc:creator>
  <cp:keywords/>
  <dcterms:created xsi:type="dcterms:W3CDTF">2024-05-13T21:05:33Z</dcterms:created>
  <dcterms:modified xsi:type="dcterms:W3CDTF">2024-05-13T21:05:33Z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council-of-science-editors-author-date-jfwm.csl</vt:lpwstr>
  </property>
  <property fmtid="{D5CDD505-2E9C-101B-9397-08002B2CF9AE}" pid="7" name="editor_options">
    <vt:lpwstr/>
  </property>
  <property fmtid="{D5CDD505-2E9C-101B-9397-08002B2CF9AE}" pid="8" name="fig-cap-location">
    <vt:lpwstr>bottom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@baumer2015r, @Leisch_2002, @rstudio</vt:lpwstr>
  </property>
  <property fmtid="{D5CDD505-2E9C-101B-9397-08002B2CF9AE}" pid="14" name="toc-title">
    <vt:lpwstr>Table of contents</vt:lpwstr>
  </property>
</Properties>
</file>