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368</w:t>
      </w:r>
    </w:p>
    <w:p>
      <w:pPr>
        <w:spacing w:before="1000"/>
      </w:pPr>
    </w:p>
    <w:p>
      <w:pPr>
        <w:jc w:val="center"/>
      </w:pPr>
      <w:r>
        <w:rPr>
          <w:rFonts w:ascii="Arial" w:cs="Arial" w:eastAsia="Arial" w:hAnsi="Arial"/>
          <w:sz w:val="24"/>
          <w:szCs w:val="24"/>
        </w:rPr>
        <w:t xml:space="preserve">[FECHA POR VALIDAR]</w:t>
      </w:r>
    </w:p>
    <w:p>
      <w:r>
        <w:br w:type="page"/>
      </w:r>
    </w:p>
    <w:p>
      <w:pPr>
        <w:spacing w:after="240" w:line="360"/>
        <w:jc w:val="both"/>
      </w:pPr>
      <w:r>
        <w:rPr>
          <w:rFonts w:ascii="Arial" w:cs="Arial" w:eastAsia="Arial" w:hAnsi="Arial"/>
          <w:sz w:val="24"/>
          <w:szCs w:val="24"/>
        </w:rPr>
        <w:t xml:space="preserve">Acta 368   1:42:12   3:24:24</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Daniel Londoño</w:t>
      </w:r>
    </w:p>
    <w:p>
      <w:pPr>
        <w:spacing w:after="240" w:line="360"/>
        <w:jc w:val="both"/>
      </w:pPr>
      <w:r>
        <w:rPr>
          <w:rFonts w:ascii="Arial" w:cs="Arial" w:eastAsia="Arial" w:hAnsi="Arial"/>
          <w:sz w:val="24"/>
          <w:szCs w:val="24"/>
        </w:rPr>
        <w:t xml:space="preserve">Del estado, de un proyecto, iniciativa; o que le dé el dateo general de la temática específica que desea consultar, sea seguridad, educación, planeación Distrital, etc. La idea es poder tener la mayor cantidad de información posible y generar unas visualizaciones diferentes a los briefs o reportes específicos que requieren unas lecturas más largas.</w:t>
      </w:r>
    </w:p>
    <w:p>
      <w:pPr>
        <w:spacing w:after="240" w:line="360"/>
        <w:jc w:val="both"/>
      </w:pPr>
      <w:r>
        <w:rPr>
          <w:rFonts w:ascii="Arial" w:cs="Arial" w:eastAsia="Arial" w:hAnsi="Arial"/>
          <w:sz w:val="24"/>
          <w:szCs w:val="24"/>
        </w:rPr>
        <w:t xml:space="preserve">También se identificó la necesidad de garantizar la información frente a realidades específicas y eventos de ciudad que se van presentando, y que el concejal o la Corporación necesita la información para el otro día. Tenemos que garantizar a través del observatorio que esa información va a ser procesada de forma ágil, eficiente y coherente, para que si se presenta un evento particular el concejal de primera mano pueda buscar o acceder a la información a través del observatorio.</w:t>
      </w:r>
    </w:p>
    <w:p>
      <w:pPr>
        <w:spacing w:after="100"/>
      </w:pPr>
    </w:p>
    <w:p>
      <w:pPr>
        <w:spacing w:before="200" w:after="200"/>
        <w:jc w:val="center"/>
      </w:pPr>
      <w:r>
        <w:drawing>
          <wp:inline distT="0" distB="0" distL="0" distR="0">
            <wp:extent cx="4286250" cy="19175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917533"/>
                    </a:xfrm>
                    <a:prstGeom prst="rect">
                      <a:avLst/>
                    </a:prstGeom>
                  </pic:spPr>
                </pic:pic>
              </a:graphicData>
            </a:graphic>
          </wp:inline>
        </w:drawing>
      </w:r>
    </w:p>
    <w:p>
      <w:pPr>
        <w:spacing w:after="100"/>
      </w:pPr>
    </w:p>
    <w:p>
      <w:pPr>
        <w:spacing w:after="100"/>
      </w:pPr>
    </w:p>
    <w:p>
      <w:pPr>
        <w:spacing w:after="240" w:line="360"/>
        <w:jc w:val="both"/>
      </w:pPr>
      <w:r>
        <w:rPr>
          <w:rFonts w:ascii="Arial" w:cs="Arial" w:eastAsia="Arial" w:hAnsi="Arial"/>
          <w:sz w:val="24"/>
          <w:szCs w:val="24"/>
        </w:rPr>
        <w:t xml:space="preserve">Otra de las lecciones es el tema de costo-eficiencia, se plantea el apoyo de una institución de educación superior por lo que ya les he venido contando, ya tienen la infraestructura técnica y tecnológica, además cuentan con los estudiantes de maestrías y doctorados, que pueden participar en la elaboración de informes o análisis para el uso del Concejo.</w:t>
      </w:r>
    </w:p>
    <w:p>
      <w:pPr>
        <w:spacing w:after="240" w:line="360"/>
        <w:jc w:val="both"/>
      </w:pPr>
      <w:r>
        <w:rPr>
          <w:rFonts w:ascii="Arial" w:cs="Arial" w:eastAsia="Arial" w:hAnsi="Arial"/>
          <w:sz w:val="24"/>
          <w:szCs w:val="24"/>
        </w:rPr>
        <w:t xml:space="preserve">Modelo conceptual en términos generales. El observatorio plantea una misión que es garantizar la generación de información para contribuir al avance, análisis y debate en: dinámicas sociales, temas estratégicos de ciudad y políticas públicas. Esto con el propósito de generar una información que le permita tomar mejores decisiones a la Corporación.</w:t>
      </w:r>
    </w:p>
    <w:p>
      <w:pPr>
        <w:spacing w:after="240" w:line="360"/>
        <w:jc w:val="both"/>
      </w:pPr>
      <w:r>
        <w:rPr>
          <w:rFonts w:ascii="Arial" w:cs="Arial" w:eastAsia="Arial" w:hAnsi="Arial"/>
          <w:sz w:val="24"/>
          <w:szCs w:val="24"/>
        </w:rPr>
        <w:t xml:space="preserve">Tiene una visión que asociamos a 2030 y pretendemos que el observatorio Distrital del Consejo se consolide como un referente nacional en investigación aplicada y producción de conocimiento, sobre todo en los temas de asuntos urbanos, rurales, con la capacidad de gestionar y analizar la información que provean los actores estratégicos de ese ecosistema de alianzas, que se pretende implementar y consolidar.</w:t>
      </w:r>
    </w:p>
    <w:p>
      <w:pPr>
        <w:spacing w:after="240" w:line="360"/>
        <w:jc w:val="both"/>
      </w:pPr>
      <w:r>
        <w:rPr>
          <w:rFonts w:ascii="Arial" w:cs="Arial" w:eastAsia="Arial" w:hAnsi="Arial"/>
          <w:sz w:val="24"/>
          <w:szCs w:val="24"/>
        </w:rPr>
        <w:t xml:space="preserve">El objetivo general de este observatorio es generar y articular información estratégica confiable y pertinente, sobre las dinámicas urbanas y rurales de Medellín en el marco de un sistema colaborativo y que pueda interoperar.</w:t>
      </w:r>
    </w:p>
    <w:p>
      <w:pPr>
        <w:spacing w:after="240" w:line="360"/>
        <w:jc w:val="both"/>
      </w:pPr>
      <w:r>
        <w:rPr>
          <w:rFonts w:ascii="Arial" w:cs="Arial" w:eastAsia="Arial" w:hAnsi="Arial"/>
          <w:sz w:val="24"/>
          <w:szCs w:val="24"/>
        </w:rPr>
        <w:t xml:space="preserve">La interoperabilidad del observatorio es esencial en este punto porque nos vamos a enfrentar a bases de datos de diferentes índoles, informes de diferentes temáticas, y la interoperabilidad del sistema hay que garantizarla para poder hacer un uso eficiente de datos y además su gestión para la producción de información para los concejales, y creemos que esto debe garantizar la toma de decisiones informadas asociadas a los retos de ciudad.</w:t>
      </w:r>
    </w:p>
    <w:p>
      <w:pPr>
        <w:spacing w:after="240" w:line="360"/>
        <w:jc w:val="both"/>
      </w:pPr>
      <w:r>
        <w:rPr>
          <w:rFonts w:ascii="Arial" w:cs="Arial" w:eastAsia="Arial" w:hAnsi="Arial"/>
          <w:sz w:val="24"/>
          <w:szCs w:val="24"/>
        </w:rPr>
        <w:t xml:space="preserve">Objetivos estratégicos:Consolidar a través del observatorio bases de datos unificadas.Desarrollar y mantener un repositorio de iniciativas institucionales.Producir análisis briefs, informes temáticos y documentos estratégicos para el consumo de los concejales y la ciudadanía en general.Garantizar la implementación de una arquitectura de datos que garantice el análisis avanzado. Garantizar trazabilidad, calidad y la gobernanza de los datos.Fortalecer la articulación interinstitucional.Desarrollar plataformas de visualización de datos, que sean diferentes a los formatos en los cuales ya reciben información.Y sobre todo, promover el fortalecimiento del Concejo Distrital mediante la producción del conocimiento. Tenemos unos principios orientadores que están asociados a: trazabilidad y transparencia, interoperabilidad institucional y tecnológica, la calidad de la información, colaboración interinstitucional, innovación y sostenibilidad, y sobre todo valor público.</w:t>
      </w:r>
    </w:p>
    <w:p>
      <w:pPr>
        <w:spacing w:after="240" w:line="360"/>
        <w:jc w:val="both"/>
      </w:pPr>
      <w:r>
        <w:rPr>
          <w:rFonts w:ascii="Arial" w:cs="Arial" w:eastAsia="Arial" w:hAnsi="Arial"/>
          <w:sz w:val="24"/>
          <w:szCs w:val="24"/>
        </w:rPr>
        <w:t xml:space="preserve">Los productos que se generen a través del observatorio deben generar algún tipo de valor, no puede ser información muerta y que se quede en unos anaqueles o archivos, tiene que ser información que le permita o posibilite a cada uno de los concejales tomar las mejores decisiones o informarse más sobre un tema para posteriormente poder generar mejores debates.</w:t>
      </w:r>
    </w:p>
    <w:p>
      <w:pPr>
        <w:spacing w:after="240" w:line="360"/>
        <w:jc w:val="both"/>
      </w:pPr>
      <w:r>
        <w:rPr>
          <w:rFonts w:ascii="Arial" w:cs="Arial" w:eastAsia="Arial" w:hAnsi="Arial"/>
          <w:sz w:val="24"/>
          <w:szCs w:val="24"/>
        </w:rPr>
        <w:t xml:space="preserve">Frente al ecosistema de alianzas, como ya lo he indicado en varias partes de la presentación, las alianzas que se están considerando son de toda índole, sector público, privado, la mayor cantidad de instancias, instituciones y departamentos de la Administración Distrital.</w:t>
      </w:r>
    </w:p>
    <w:p>
      <w:pPr>
        <w:spacing w:after="240" w:line="360"/>
        <w:jc w:val="both"/>
      </w:pPr>
      <w:r>
        <w:rPr>
          <w:rFonts w:ascii="Arial" w:cs="Arial" w:eastAsia="Arial" w:hAnsi="Arial"/>
          <w:sz w:val="24"/>
          <w:szCs w:val="24"/>
        </w:rPr>
        <w:t xml:space="preserve">La información oficial Distrital siempre es importante sobre todo para los temas de control político, pero también queremos que este ecosistema cuente con la información de otras fuentes para poder contrastar esa información Distrital y poder realizar unos análisis. Es generarles el ecosistema de actores más amplio posible para poder tener una información que se pueda contrastar y comparar con otras fuentes.</w:t>
      </w:r>
    </w:p>
    <w:p>
      <w:pPr>
        <w:spacing w:after="240" w:line="360"/>
        <w:jc w:val="both"/>
      </w:pPr>
      <w:r>
        <w:rPr>
          <w:rFonts w:ascii="Arial" w:cs="Arial" w:eastAsia="Arial" w:hAnsi="Arial"/>
          <w:sz w:val="24"/>
          <w:szCs w:val="24"/>
        </w:rPr>
        <w:t xml:space="preserve">Frente a la institución de educación superior a la que ya consideran el modelo, esto sería lo que podría garantizar una institución en términos tecnológicos: infraestructura, servidores, seguridad, software, en términos analíticos el personal para poder construir las estadísticas, hacer la ciencia de datos, el modelado y la georreferenciación.</w:t>
      </w:r>
    </w:p>
    <w:p>
      <w:pPr>
        <w:spacing w:after="240" w:line="360"/>
        <w:jc w:val="both"/>
      </w:pPr>
      <w:r>
        <w:rPr>
          <w:rFonts w:ascii="Arial" w:cs="Arial" w:eastAsia="Arial" w:hAnsi="Arial"/>
          <w:sz w:val="24"/>
          <w:szCs w:val="24"/>
        </w:rPr>
        <w:t xml:space="preserve">En términos metodológicos, las instituciones universitarias ya tienen los procesos y procedimientos investigativos para generar este tipo de productos; y en términos de producción, tienen los equipos para generar los productos y el conocimiento en los formatos que hoy requiere el Concejo de acuerdo a los intereses particulares.</w:t>
      </w:r>
    </w:p>
    <w:p>
      <w:pPr>
        <w:spacing w:after="240" w:line="360"/>
        <w:jc w:val="both"/>
      </w:pPr>
      <w:r>
        <w:rPr>
          <w:rFonts w:ascii="Arial" w:cs="Arial" w:eastAsia="Arial" w:hAnsi="Arial"/>
          <w:sz w:val="24"/>
          <w:szCs w:val="24"/>
        </w:rPr>
        <w:t xml:space="preserve">Nuevamente decimos, qué podría garantizar una institución de educación superior aliada:Operación de la infraestructura tecnológica.Procesamiento, limpieza, normalización y análisis de datos.Modelamiento de datos.Generación de visualización de datos en formatos requeridos.Garantía de implementación de procesos metodológicos para el análisis de datos.Respaldo de información y «espejo» de repositorio.Creemos que esto es algo muy importante y está asociado al funcionamiento, y tal vez en el documento lo encuentran más detallado, y es que la biblioteca debe jugar un rol importante para poder generar una memoria colectiva del Concejo y que esté asociada al observatorio, para poder integrar y casi que ser un banco de proyectos en término de proyectos, debates, control político, etc.</w:t>
      </w:r>
    </w:p>
    <w:p>
      <w:pPr>
        <w:spacing w:after="240" w:line="360"/>
        <w:jc w:val="both"/>
      </w:pPr>
      <w:r>
        <w:rPr>
          <w:rFonts w:ascii="Arial" w:cs="Arial" w:eastAsia="Arial" w:hAnsi="Arial"/>
          <w:sz w:val="24"/>
          <w:szCs w:val="24"/>
        </w:rPr>
        <w:t xml:space="preserve">Está el banco de instrumentos que lo acabo de decir, que está asociado a esas dos herramientas que acabo de plantear:Sistema de gestión del conocimiento legislativo que cubre todo el ciclo de la iniciativa, desde la idea hasta el archivo o sanción como Acuerdo Distrital.No es un archivo muerto: es una plataforma viva para planear el futuro normativo, evitar duplicidades y mejorar la calidad técnica de los proyectos.Con esto ya estaríamos terminando la presentación en términos muy generales del estado del avance de la construcción de la reestructuración del Observatorio del Concejo Distrital de Medellín”.</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“Vamos a continuar con el informe de nuestro representante ante el Área Metropolitana en cabeza del concejal Andrés Felipe Rodríguez Puerta, por 20 minutos”.</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“El compañero Farley Jhair Macías Betancur puede dar fe de que hemos camellado duro, porque hay un tema al día de hoy, que el sistema de recaudo que desde el área metropolitana se está tratando de sacar adelante y ha sido de bastante controversia; de antemano quiero agradecer el acompañamiento del compañero Farley Jhair Macías Betancur en este tema en específico porque si él no se hubiera como quien dice atravesado, de pronto hubiéramos hecho cosas que no hubieran estado bien, y el hecho de que él estaba ahí al frente hizo que nos cuestionáramos la forma de realizar el proyecto. Vamos a tener un buen proyecto a futuro. El amigo Damián Pérez Arroyave dejó la bara muy alta, había que superarlo.</w:t>
      </w:r>
    </w:p>
    <w:p>
      <w:pPr>
        <w:spacing w:after="240" w:line="360"/>
        <w:jc w:val="both"/>
      </w:pPr>
      <w:r>
        <w:rPr>
          <w:rFonts w:ascii="Arial" w:cs="Arial" w:eastAsia="Arial" w:hAnsi="Arial"/>
          <w:sz w:val="24"/>
          <w:szCs w:val="24"/>
        </w:rPr>
        <w:t xml:space="preserve">Primero hablar de la gestión de riesgos del área metropolitana, fue un actor bastante preponderante el año pasado en el primer semestre, sobre todo en esa crisis que tuvimos en la temporada crítica de lluvias, fue brutal. Creo que en muchos años no habíamos vivido una cosa así, fue descomunal, sufrimos cualquier cantidad de emergencias en toda el área metropolitana. Durante el primer semestre de 2025 se presentó la temporada de lluvias más compleja en los últimos años. El comportamiento hidrometeorológico requirió activar el COEM (Centro de Operaciones de Emergencias Metropolitano) y toda la capacidad técnica del Siata (Sistema de Alerta Temprana de Medellín y el Valle de Aburrá) y el AMVA (Área Metropolitana del Valle de Aburrá). Creo que si el Siata no funcionara hoy como funciona, y aparte de que ha sido optimizado, que ahora se lo voy a mostrar, creo que hubiera sido peor lo que vivimos el año pasado. Durante febrero de 2025 se presentaron acumulados de lluvias por encima de los valores históricos de la ciudad, lo que generó una saturación anticipada de los suelos. Ustedes saben, hoy tenemos una impermeabilización obligada por la cantidad de construcciones y la pavimentación que tenemos en la ciudad, y esto ocasiona que se inunde la ciudad, que haya avenidas torrenciales y todo lo que nos pasa. Esta condición hizo que en marzo, abril y mayo hubiera cualquier cantidad de lluvia adicional, se generaban movimientos en masa, crecientes súbitas y avenidas torrenciales. Y la consecuencia de la saturación de los suelos cuál es: mayor fragilidad de las laderas, incremento del riesgo de deslizamiento, activación constante de sensores y alarmas, aumento del riesgo para deslizamientos en las zonas de laderas.</w:t>
      </w:r>
    </w:p>
    <w:p>
      <w:pPr>
        <w:spacing w:after="240" w:line="360"/>
        <w:jc w:val="both"/>
      </w:pPr>
      <w:r>
        <w:rPr>
          <w:rFonts w:ascii="Arial" w:cs="Arial" w:eastAsia="Arial" w:hAnsi="Arial"/>
          <w:sz w:val="24"/>
          <w:szCs w:val="24"/>
        </w:rPr>
        <w:t xml:space="preserve">Si no hubiera sido por el Siata, creo que hubiera sido peor lo que vivimos el año pasado, miren la cantidad de eventos críticos que se registraron el año pasado:</w:t>
      </w:r>
    </w:p>
    <w:p>
      <w:pPr>
        <w:spacing w:after="100"/>
      </w:pPr>
    </w:p>
    <w:p>
      <w:pPr>
        <w:spacing w:before="200" w:after="200"/>
        <w:jc w:val="center"/>
      </w:pPr>
      <w:r>
        <w:drawing>
          <wp:inline distT="0" distB="0" distL="0" distR="0">
            <wp:extent cx="4286250" cy="19624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62418"/>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Y por eso se hacía tan importante lo que logramos este año desde el Área Metropolitana y la Alcaldía de Medellín, sumado a los esfuerzos ya vamos en $ 660 000 millones para la atención del río y las quebradas. O sea que, objetivo cumplido.</w:t>
      </w:r>
    </w:p>
    <w:p>
      <w:pPr>
        <w:spacing w:after="240" w:line="360"/>
        <w:jc w:val="both"/>
      </w:pPr>
      <w:r>
        <w:rPr>
          <w:rFonts w:ascii="Arial" w:cs="Arial" w:eastAsia="Arial" w:hAnsi="Arial"/>
          <w:sz w:val="24"/>
          <w:szCs w:val="24"/>
        </w:rPr>
        <w:t xml:space="preserve">Los movimientos en masa y las avenidas torrenciales. Ustedes ya saben lo que nos pasó en todo Medellín, la zona de Granizal que fue la tragedia más grande que hemos tenido en los últimos años; la avenida torrencial en Altavista en las zonas de Aguas Frías, El Jardín y Manzanillo. Los municipios más afectados fueron Medellín, Itagüí, Sabaneta y Bello.</w:t>
      </w:r>
    </w:p>
    <w:p>
      <w:pPr>
        <w:spacing w:after="240" w:line="360"/>
        <w:jc w:val="both"/>
      </w:pPr>
      <w:r>
        <w:rPr>
          <w:rFonts w:ascii="Arial" w:cs="Arial" w:eastAsia="Arial" w:hAnsi="Arial"/>
          <w:sz w:val="24"/>
          <w:szCs w:val="24"/>
        </w:rPr>
        <w:t xml:space="preserve">Entre abril y mayo se reportaron 65 zonas afectadas por deslizamientos en toda la ciudad, y el redujo se mantuvo elevado durante toda la temporada gracias al Siata, esto llevó a que el Área Metropolitana activara el COEM, y si no hubiera sido por su capacidad técnica, la ayuda que le brindó a todos los municipios y el trabajo que se hizo mancomunado con el Dagran (Departamento Administrativo de Gestión del Riesgo de Antioquia) y el Dagrd (Departamento Administrativo de Gestión del Riesgo de Desastres), no hubiéramos podido superar esa emergencia que vivimos.</w:t>
      </w:r>
    </w:p>
    <w:p>
      <w:pPr>
        <w:spacing w:after="240" w:line="360"/>
        <w:jc w:val="both"/>
      </w:pPr>
      <w:r>
        <w:rPr>
          <w:rFonts w:ascii="Arial" w:cs="Arial" w:eastAsia="Arial" w:hAnsi="Arial"/>
          <w:sz w:val="24"/>
          <w:szCs w:val="24"/>
        </w:rPr>
        <w:t xml:space="preserve">Entre el 9 y el 31 de mayo fue la temporada de mayor exigencia del sistema de comando de incidentes, los resultados operativos fueron: 224 apoyos técnicos directos y 475 activaciones operativas, incluyendo 96 activaciones de sirenas. Ese sistema que tenemos de alertas tempranas en Medellín es una maravilla tecnológica, que al final del ejercicio salva vidas, pero el paso siguiente fueron las intervenciones y ahí hemos podido avanzar.</w:t>
      </w:r>
    </w:p>
    <w:p>
      <w:pPr>
        <w:spacing w:after="240" w:line="360"/>
        <w:jc w:val="both"/>
      </w:pPr>
      <w:r>
        <w:rPr>
          <w:rFonts w:ascii="Arial" w:cs="Arial" w:eastAsia="Arial" w:hAnsi="Arial"/>
          <w:sz w:val="24"/>
          <w:szCs w:val="24"/>
        </w:rPr>
        <w:t xml:space="preserve">Red de monitoreo permanente: hay 168 pluviómetros instalados, 163 cámaras, 142 sensores de nivel en las quebradas y el río, 267 eventos reportados y atendidos, 121 detecciones por cambios satelital. También medimos los cambios satelitalmente.</w:t>
      </w:r>
    </w:p>
    <w:p>
      <w:pPr>
        <w:spacing w:after="240" w:line="360"/>
        <w:jc w:val="both"/>
      </w:pPr>
      <w:r>
        <w:rPr>
          <w:rFonts w:ascii="Arial" w:cs="Arial" w:eastAsia="Arial" w:hAnsi="Arial"/>
          <w:sz w:val="24"/>
          <w:szCs w:val="24"/>
        </w:rPr>
        <w:t xml:space="preserve">La emergencia de Bello, y quiero hacer hincapié en esto porque obviamente a todos nos ha movido este tema muy duro, hubo un despliegue en la zona de teledetección, el apoyo técnico del Siata, la recuperación de personas desaparecidas, y el 7 de julio se le dio el cierre completo a la emergencia. Fue tal vez el evento más crítico que hemos tenido en los últimos años y lamentablemente perdimos muchas vidas, pero ahí estuvo el Área Metropolitana ayudando con todo lo que pudo y sus capacidades.</w:t>
      </w:r>
    </w:p>
    <w:p>
      <w:pPr>
        <w:spacing w:after="240" w:line="360"/>
        <w:jc w:val="both"/>
      </w:pPr>
      <w:r>
        <w:rPr>
          <w:rFonts w:ascii="Arial" w:cs="Arial" w:eastAsia="Arial" w:hAnsi="Arial"/>
          <w:sz w:val="24"/>
          <w:szCs w:val="24"/>
        </w:rPr>
        <w:t xml:space="preserve">El Siata se ha fortalecido tecnológica y operativamente:</w:t>
      </w:r>
    </w:p>
    <w:p>
      <w:pPr>
        <w:spacing w:after="100"/>
      </w:pPr>
    </w:p>
    <w:p>
      <w:pPr>
        <w:spacing w:before="200" w:after="200"/>
        <w:jc w:val="center"/>
      </w:pPr>
      <w:r>
        <w:drawing>
          <wp:inline distT="0" distB="0" distL="0" distR="0">
            <wp:extent cx="4286250" cy="11802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180226"/>
                    </a:xfrm>
                    <a:prstGeom prst="rect">
                      <a:avLst/>
                    </a:prstGeom>
                  </pic:spPr>
                </pic:pic>
              </a:graphicData>
            </a:graphic>
          </wp:inline>
        </w:drawing>
      </w:r>
    </w:p>
    <w:p>
      <w:pPr>
        <w:spacing w:after="240" w:line="360"/>
        <w:jc w:val="both"/>
      </w:pPr>
      <w:r>
        <w:rPr>
          <w:rFonts w:ascii="Arial" w:cs="Arial" w:eastAsia="Arial" w:hAnsi="Arial"/>
          <w:sz w:val="24"/>
          <w:szCs w:val="24"/>
        </w:rPr>
        <w:t xml:space="preserve">Esto está funcionando maravillosamente.Se optimizó el recurso. Ya tenemos una modelación hidrológica en toda el área metropolitana, gracias también a los estudios pagados en la Universidad Nacional, que ya nos entregó un estudio completo.Ya se sabe cómo se puede operar las emergencias en toda el área metropolitana. Se redujo el presupuesto con mejores resultados aún, e inclusive en la época más retadora que tuvimos, que fue este año.Se redujo el personal porque había duplicidad de funciones y con estos profesionales pudimos trabajar toda la emergencia que vivimos. No se van a realizar más nuevos estudios sísmicos porque ya se tiene absolutamente todo delimitado y calculado.Proyectos que se venían trabajando desde el área durante todo este año. Hay un proyecto de seguridad y cámaras metropolitanas, ustedes saben, hoy vamos a entrar a la construcción del C5 (Centro de Control, Comando, Comunicación, Coordinación e Inteligencia de última generación), que es nuestro búnker de seguridad, vamos a tener el sistema más moderno de monitoreo y seguridad de toda Latinoamérica. El área metropolitana no podría ser indiferente al respecto porque también vamos a necesitar enlazarnos con todos los sistemas de seguridad de la ciudad de Medellín; por esto hoy también le apuesta a la seguridad de los otros municipios del área metropolitana, y estamos apostándole a este proyecto de cámaras de seguridad y la movilidad.</w:t>
      </w:r>
    </w:p>
    <w:p>
      <w:pPr>
        <w:spacing w:after="240" w:line="360"/>
        <w:jc w:val="both"/>
      </w:pPr>
      <w:r>
        <w:rPr>
          <w:rFonts w:ascii="Arial" w:cs="Arial" w:eastAsia="Arial" w:hAnsi="Arial"/>
          <w:sz w:val="24"/>
          <w:szCs w:val="24"/>
        </w:rPr>
        <w:t xml:space="preserve">Las cámaras metropolitanas, que así se llaman, van a cumplir las siguientes funciones: Vigilancia de corredores metropolitanos.Identificación de comportamientos de riesgo con inteligencia artificial.Lectura de placas LPR -que ustedes muy bien las conocen- en zonas estratégicas.Apoyo a la policía metropolitana.Integración con los C4 municipales, que se integrará con el C5 que vamos a tener. Nos vamos a volver -por así decirlo- unos administradores totales de la seguridad metropolitana, ya no podemos pensar solamente en Medellín, tenemos que pensar como una ciudad-región metropolitana. Cámaras para el monitoreo ambiental. Esto nos permitirá: Detección de quemas oportunamente.Detección de eventos atmosféricos. Ustedes saben, aquí sufrimos dos temporadas de contaminación muy fuertes. Observación de columnas de humo y hablo precisamente de la zona, por ejemplo, de Altavista en Aguas Frías, que hoy tenemos un problema de contaminación brutal que se nos va hacia las Comunas 11, 12 y 16.Allá tenemos garantizada la vigilancia constante de emisión de contaminantes, y hay proyectos de instalar otras cámaras más para poder estar vigilantes a cuáles son las fuentes de contaminación que no son legales, que tienen también a la zona de Santa Teresita reventada y se ha contado con el apoyo y respaldo por parte del Área Metropolitana.Cámaras para la gestión del riesgo: Monitoreo de ríos, sobre todo, por ejemplo, los ríos de Itagüí que se crecen tanto, la Ayurá, La Iguaná y obviamente el Río Medellín.Observación de taludes y zonas inestables.Vigilancia de zonas de alta pendiente y detección temprana de crecientes. En eso estamos con las cámaras. Ahora viene lo más bonito, Luis Guillermo de Jesús Vélez Álvarez, por lo que hemos trabajado, Alejandro De Bedout Arango, las intervenciones sobre el Río Aburrá-Medellín, ya están garantizados más de $ 120 000 millones desde el AMVA para intervenir los puntos más críticos del Río Aburrá-Medellín.</w:t>
      </w:r>
    </w:p>
    <w:p>
      <w:pPr>
        <w:spacing w:after="240" w:line="360"/>
        <w:jc w:val="both"/>
      </w:pPr>
      <w:r>
        <w:rPr>
          <w:rFonts w:ascii="Arial" w:cs="Arial" w:eastAsia="Arial" w:hAnsi="Arial"/>
          <w:sz w:val="24"/>
          <w:szCs w:val="24"/>
        </w:rPr>
        <w:t xml:space="preserve">Inversión:</w:t>
      </w:r>
    </w:p>
    <w:p>
      <w:pPr>
        <w:spacing w:after="240" w:line="360"/>
        <w:jc w:val="both"/>
      </w:pPr>
      <w:r>
        <w:rPr>
          <w:rFonts w:ascii="Arial" w:cs="Arial" w:eastAsia="Arial" w:hAnsi="Arial"/>
          <w:sz w:val="24"/>
          <w:szCs w:val="24"/>
        </w:rPr>
        <w:t xml:space="preserve">Entre 2012 y 2023 se invirtieron $ 59 378 millones desde el Área Metropolitana.</w:t>
      </w:r>
    </w:p>
    <w:p>
      <w:pPr>
        <w:spacing w:after="240" w:line="360"/>
        <w:jc w:val="both"/>
      </w:pPr>
      <w:r>
        <w:rPr>
          <w:rFonts w:ascii="Arial" w:cs="Arial" w:eastAsia="Arial" w:hAnsi="Arial"/>
          <w:sz w:val="24"/>
          <w:szCs w:val="24"/>
        </w:rPr>
        <w:t xml:space="preserve">Hoy para este periodo, miren, no eran 120 000, eran $ 172 000 millones que vamos a garantizar estos 4 años para las intervenciones que se van a ejecutar, y las que están en curso, 17 puntos críticos, se va a reconformar la zona hidráulica de los bordes del Río Medellín y la construcción de placas, muros, trinchos y enrocados.</w:t>
      </w:r>
    </w:p>
    <w:p>
      <w:pPr>
        <w:spacing w:after="240" w:line="360"/>
        <w:jc w:val="both"/>
      </w:pPr>
      <w:r>
        <w:rPr>
          <w:rFonts w:ascii="Arial" w:cs="Arial" w:eastAsia="Arial" w:hAnsi="Arial"/>
          <w:sz w:val="24"/>
          <w:szCs w:val="24"/>
        </w:rPr>
        <w:t xml:space="preserve">Sabemos que todavía nos falta, pero al menos hoy vamos a tener garantizado que los puntos críticos que nos han hecho tanto daño por la falta de atención y la ausencia de los 4 años anteriores, que toca poner el espejo retrovisor gústele o no.</w:t>
      </w:r>
    </w:p>
    <w:p>
      <w:pPr>
        <w:spacing w:after="240" w:line="360"/>
        <w:jc w:val="both"/>
      </w:pPr>
      <w:r>
        <w:rPr>
          <w:rFonts w:ascii="Arial" w:cs="Arial" w:eastAsia="Arial" w:hAnsi="Arial"/>
          <w:sz w:val="24"/>
          <w:szCs w:val="24"/>
        </w:rPr>
        <w:t xml:space="preserve">Estos son los puntos específicos: Pérgolas Envigado, Ayurá-La Aguacatala, La Aguacatala-El Poblado, y La García en Bello. Se va a priorizar en esta inversión.</w:t>
      </w:r>
    </w:p>
    <w:p>
      <w:pPr>
        <w:spacing w:after="240" w:line="360"/>
        <w:jc w:val="both"/>
      </w:pPr>
      <w:r>
        <w:rPr>
          <w:rFonts w:ascii="Arial" w:cs="Arial" w:eastAsia="Arial" w:hAnsi="Arial"/>
          <w:sz w:val="24"/>
          <w:szCs w:val="24"/>
        </w:rPr>
        <w:t xml:space="preserve">También hablamos que desde el Área Metropolitana le estamos apostando al Tren del Río, y ya han invertido $ 1600 millones para modelar el transporte de cómo va a ser con el tren, y la revisión de la factibilidad con $ 4000 millones. Con la APP (Agencia para la gestión del Paisaje el Patrimonio y las / Alianzas Público - Privadas) se ha intervenido $ 7200 millones para determinar cuál va a ser finalmente el modelo de gestión del Tren del Río o el tren multipropósito, que esto para Antioquia es una excelente noticia, ya el gobernador anunció la primera etapa que va a ir desde Niquía hasta Barbosa; y haciendo esto se podrá desatar absolutamente todos los proyectos que ustedes se puedan imaginar con respecto al Tren del Río.La meta ambiciosa son 190 kilómetros del tren que va hasta Puerto de Río.El estado de la factibilidad más o menos a septiembre estaba en un 60 %, y a hoy ya podemos estar sobre el 75 %.La modalidad multipropósito, se habla que va a ser también de carga y pasajeros, me explico, al terminarse este tren del río que se espera vendría desde Amagá hasta Puerto Berrío, vamos a poder hacer transferencia de carga, que lleguen los camiones hasta esta zona, descarguen y entreguen, puede ser en Puerto Berrío o en otra zona como, por ejemplo, en la nueva vía al mar y esto ahorraría unos costos importantes. La meta es que, para el otro año, entre diciembre de 2026 y junio de 2027 ya estemos licitando la construcción del Tren del Río.Proyectos que hoy estamos trabajando desde el área de movilidad:En general, la integración de política ambiental, movilidad, transporte, saneamiento y territorio: el plan de gestión del AMVA vigente desde 2024, un marco rector para proyectos metropolitanos, marco financiero estimado global del plan multinivel de coordinación institucional, sostenibilidad territorial, priorización de inversión, y planeación de mediano y largo plazo.Conexiones norte-sur del Valle de Aburrá y mejoramiento del corredor vial hacia el norte, ya se han entregado obras como el intercambiador La Seca, conexión a la Avenida Regional, algunas fases ya están entregadas; se realizó articulación con infraestructura vial departamental; se han invertido $ 170 000 millones para un conjunto de obras entregadas desde 2021; la mejora de la conectividad regional; acceso a vías nacionales; corredores de carga; expansión económica del norte del Valle. Ustedes han visto esta vía que viene aquí por el lado derecho que sale, que todavía nos falta, y el problema que tenemos hoy en la zona del norte de Niquía es que se le entregó el proyecto directamente al municipio de Bello para hacer ese intercambio, no está a cargo del área y eso va a ser un problema porque ya ustedes vieron lo que pasó en Itagüí, no sé si están al tanto y es un desastre. Mejor dicho, se perdieron $ 70 000 millones para el intercambio en la zona donde queda el Centro Internacional del Mueble, que iba a haber un intercambio vial para evitar esos tacos que se forman ahí y esa platica se perdió y no hicieron un solo pilote.Movilidad masiva, transporte público integrado, la expansión de los sistemas existentes del Sitva (Sistema Integrado de Transporte del Valle de Aburrá), Metro y Metroplús con miras a la integración multimodal que está en un proyecto en curso con necesidad de apoyo institucional, que depende de la cofinanciación y presupuesto estatal para ver si mejoramos la congestión, la integración modal, etc. Estos proyectos garantizan la cohesión regional, la conectividad intermunicipal y la modernización del transporte público apoyando el crecimiento ordenado del territorio.Intercambio vial de Mallorca, el convenio se firmó para iniciar obras en 2025, tiene 25 meses de ejecución por un valor de $ 53 000 millones, nos va a ayudar a descongestionar el sur del Valle de Aburrá, y con mejor movilidad para aliviar los cuellos de botella que se forman hacia el sur en la zona de Sabaneta-Envigado.Intercambio vial de Ayurá que está en ejecución, a agosto va en un 42 % de avance; la Estación de Ayurá del Metro que también estamos trabajando; la mejora de la conectividad sur-norte para la reducción de tiempo.Intercambio vial de Indoamérica en Itagüí continúa, reporta un 56 % de avance, se han invertido $ 32 000 millones y se ha ayudado a la descongestión vial.Distribuidora Sur, el corredor vial entre los centros comerciales Mallorca y Viva, se está tratando de organizar esa zona de la autopista, va en un 98 %, se invirtieron $ 55 000 millones y esto ha mejorado la movilidad.Sistema interoperable de recaudo metropolitano. Es el proyecto en el cual el concejal Farley Jhair Macías Betancur me ha ayudado bastante, se supone que es el sistema único de pagos y validación para todo el transporte del Valle de Aburrá, Metro, Tranvía, Metrocable, Metroplús, buses integrados, transporte municipal y el futuro Tren del Río. Incluye el transporte público colectivo y la idea es que todos nos integremos a ese sistema.</w:t>
      </w:r>
    </w:p>
    <w:p>
      <w:pPr>
        <w:spacing w:after="240" w:line="360"/>
        <w:jc w:val="both"/>
      </w:pPr>
      <w:r>
        <w:rPr>
          <w:rFonts w:ascii="Arial" w:cs="Arial" w:eastAsia="Arial" w:hAnsi="Arial"/>
          <w:sz w:val="24"/>
          <w:szCs w:val="24"/>
        </w:rPr>
        <w:t xml:space="preserve">A qué avance estamos hoy: se realizó la integración exigida entre la estructura técnica del tren multipropósito, se ha articulado con el plan de gestión, de movilidad multimodal, se realizó el diagnóstico de las plataformas actuales y la definición de requerimientos técnicos, validadores unificados, medios digitales, plataforma tarifaria común.</w:t>
      </w:r>
    </w:p>
    <w:p>
      <w:pPr>
        <w:spacing w:after="240" w:line="360"/>
        <w:jc w:val="both"/>
      </w:pPr>
      <w:r>
        <w:rPr>
          <w:rFonts w:ascii="Arial" w:cs="Arial" w:eastAsia="Arial" w:hAnsi="Arial"/>
          <w:sz w:val="24"/>
          <w:szCs w:val="24"/>
        </w:rPr>
        <w:t xml:space="preserve">Ahí tenemos todavía un problema, y es que esto va a requerir un cambio tecnológico y una inversión por parte de los operadores de buses, y la gran pregunta que nos hemos hecho es, será que el Área Metropolitana quiere que nos modernicemos; pero vamos a invertir, le vamos a ayudar a los dueños de los buses a modernizar su flotilla con el sistema interoperable. O sea, quién va a hacer la inversión porque no es fácil invertir en un sistema que por unidad se calcula que puede costar más de $ 30 millones. Y también tenemos otra situación, y es que esto nos exige crear un FET (Fondo de Estabilización Tarifaria) Metropolitano, y esas dos talanqueras son las que nos tienen ahí todavía «detenidos». Aspiro y espero que, terminado mi periodo en marzo ya tengamos estas dudas y asuntos resueltos.</w:t>
      </w:r>
    </w:p>
    <w:p>
      <w:pPr>
        <w:spacing w:after="240" w:line="360"/>
        <w:jc w:val="both"/>
      </w:pPr>
      <w:r>
        <w:rPr>
          <w:rFonts w:ascii="Arial" w:cs="Arial" w:eastAsia="Arial" w:hAnsi="Arial"/>
          <w:sz w:val="24"/>
          <w:szCs w:val="24"/>
        </w:rPr>
        <w:t xml:space="preserve">Componentes clave. La tecnología, obviamente hay que ser conscientes de que esto nos va a ayudar mucho a mejorar la movilidad, e inclusive en la gestión de mantenimiento de los mismos buses, la contaminación y demás. Como les dije, tiene que haber un modelo de compensación tarifaria y todo se va a adoptar a través de un acuerdo metropolitano.</w:t>
      </w:r>
    </w:p>
    <w:p>
      <w:pPr>
        <w:spacing w:after="240" w:line="360"/>
        <w:jc w:val="both"/>
      </w:pPr>
      <w:r>
        <w:rPr>
          <w:rFonts w:ascii="Arial" w:cs="Arial" w:eastAsia="Arial" w:hAnsi="Arial"/>
          <w:sz w:val="24"/>
          <w:szCs w:val="24"/>
        </w:rPr>
        <w:t xml:space="preserve">Beneficios: un solo medio de pago, trasbordos más rápidos, transparencia en el recaudo, integración metropolitana real, soporte al Tren del Río, el Metro y la movilidad regional.</w:t>
      </w:r>
    </w:p>
    <w:p>
      <w:pPr>
        <w:spacing w:after="240" w:line="360"/>
        <w:jc w:val="both"/>
      </w:pPr>
      <w:r>
        <w:rPr>
          <w:rFonts w:ascii="Arial" w:cs="Arial" w:eastAsia="Arial" w:hAnsi="Arial"/>
          <w:sz w:val="24"/>
          <w:szCs w:val="24"/>
        </w:rPr>
        <w:t xml:space="preserve">Qué sigue: el modelo final de interoperabilidad, pilotos, hacer el acuerdo metropolitano, integrar por fases. «Logramos» y lo digo porque Farley Jhair Macías Betancur estuvo ahí, que se nos garantizara a todos los operadores una integración al modelo, pero en el tiempo. O sea, va a haber un plazo al menos durante este periodo para que todos puedan integrarse al sistema cuando sea aprobado.</w:t>
      </w:r>
    </w:p>
    <w:p>
      <w:pPr>
        <w:spacing w:after="240" w:line="360"/>
        <w:jc w:val="both"/>
      </w:pPr>
      <w:r>
        <w:rPr>
          <w:rFonts w:ascii="Arial" w:cs="Arial" w:eastAsia="Arial" w:hAnsi="Arial"/>
          <w:sz w:val="24"/>
          <w:szCs w:val="24"/>
        </w:rPr>
        <w:t xml:space="preserve">Infraestructura metropolitana:Corredores de movilidad construidos bajo criterios integrales.Cicloruta Metropolitana en planeación.Conexiones de carga regulada.Carriles preferenciales.Sistemas semafóricos inteligentes.Plantas de tratamiento: se le hizo una repotenciación a la PTAR (Planta de Tratamiento de Aguas Residuales) de San Fernando, se hizo con poliuretano, muy bonito, y ya está organizado para arreglar las fisuras de los tanques. La PTAR de Aguas Claras, y se prepara la PTAR de Girardota.Se ha trabajado el tema del drenaje urbano y se está implementando los SUDS (Sistemas Urbanos de Drenaje Sostenible).Se realizó el programa de control de aguas lluvias.Intervenciones en microcuencas. Conclusiones:Ha habido una respuesta técnica robusta ante la temporada de lluvias.Se ha fortalecido el Siata como sistema de alerta temprana.Había una expansión y cooperación de la red de cámaras metropolitanas en pro de la garantía de la seguridad del ciudadano en el área metropolitana.Avances estructurales en el Tren del Río, ya hay una luz, por fin, vamos a tener tren. Intervenciones históricas en el Río Aburrá-Medellín, gracias a Dios. Consolidación de la infraestructura vial y de drenajes. Hubo un impulso al sistema interoperable de recaudo. Esperemos, vuelvo y les repito, que terminando el periodo de representación de este honorable Concejo en el Área Metropolitana, tener solucionadas las dudas y poder sacar adelante el proyecto metropolitano de acuerdo sobre el sistema interoperable.Se están preparando grandes obras regionales.Se ha fortalecido la planificación territorial, ambiental y movilidad”. Intervino la concejala Janeth Hurtado Betancur:</w:t>
      </w:r>
    </w:p>
    <w:p>
      <w:pPr>
        <w:spacing w:after="240" w:line="300"/>
        <w:ind w:left="720" w:right="720"/>
        <w:jc w:val="both"/>
      </w:pPr>
      <w:r>
        <w:rPr>
          <w:rFonts w:ascii="Arial" w:cs="Arial" w:eastAsia="Arial" w:hAnsi="Arial"/>
          <w:sz w:val="22"/>
          <w:szCs w:val="22"/>
        </w:rPr>
        <w:t xml:space="preserve">“Quisiera hacer una consulta antes de que se me pase el tiempo con el informe que nos acaba de compartir nuestro compañero Andrés Felipe Rodríguez Puerta, como representante ante el Área Metropolitana; escuché un informe bastante valioso en los términos en los que vienen grandes proyectos metropolitanos para toda el área metropolitana y el Distrito, pero me dejó angustiada con algo; lo primero, sabemos que viene un tema de inversión grande, no solamente en Mis Ríos, Mis Quebradas, proyectos bastante importantes para la ciudad que generan un impacto metropolitano.</w:t>
      </w:r>
    </w:p>
    <w:p>
      <w:pPr>
        <w:spacing w:after="240" w:line="360"/>
        <w:jc w:val="both"/>
      </w:pPr>
      <w:r>
        <w:rPr>
          <w:rFonts w:ascii="Arial" w:cs="Arial" w:eastAsia="Arial" w:hAnsi="Arial"/>
          <w:sz w:val="24"/>
          <w:szCs w:val="24"/>
        </w:rPr>
        <w:t xml:space="preserve">El tema no solamente es del Tren del Río, sino del fortalecimiento del Siata y los proyectos estratégicos, pero por ninguna parte escuché al Puente La Limona o la conexión de La Limona, estamos esperando hace más de 30 años, creo que durante esos 2 años he estado alzando la voz permanentemente por ella, logramos que quedara como un tema incluso porque ganamos una acción popular desde hace 3 años para acá, y en primera instancia el juez falló para que en menos de 1 año iniciara. Había inicialmente voluntad política, arrancó todo el proyecto y lamentablemente no inició ni en agosto ni en septiembre la construcción o el inicio de obra como tal, tampoco en noviembre, hoy estamos a 30, se había anunciado que en noviembre arrancaba y tampoco fue así; y desafortunadamente no escucho por parte del compañero Andrés Felipe Rodríguez Puerta un informe al respecto.</w:t>
      </w:r>
    </w:p>
    <w:p>
      <w:pPr>
        <w:spacing w:after="240" w:line="360"/>
        <w:jc w:val="both"/>
      </w:pPr>
      <w:r>
        <w:rPr>
          <w:rFonts w:ascii="Arial" w:cs="Arial" w:eastAsia="Arial" w:hAnsi="Arial"/>
          <w:sz w:val="24"/>
          <w:szCs w:val="24"/>
        </w:rPr>
        <w:t xml:space="preserve">Quisiera que de pronto por escrito me lograran confirmar si el municipio de Itagüí logró sacar la licitación, si ya se adjudicó y si efectivamente para diciembre o al finalizar este año, porque por parte del Área Metropolitana, la doctora Paula y los alcaldes de Itagüí y Medellín, que estuvimos acompañándolos también desde el Concejo en el anuncio del inicio de obra, y desafortunadamente hasta la fecha no ha arrancado”.</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“Janeth Hurtado Betancur, sí, tenés razón. Pasé muy por encima en esos temas de infraestructura, La Limona está en gestión predial en la EDU (Empresa de Desarrollo Urbano), todavía están negociando los predios y creo que todavía no han terminado; pregunté no en el área sino en la EDU como iba ese proyecto, y sé que ya están en la gestión predial.</w:t>
      </w:r>
    </w:p>
    <w:p>
      <w:pPr>
        <w:spacing w:after="240" w:line="360"/>
        <w:jc w:val="both"/>
      </w:pPr>
      <w:r>
        <w:rPr>
          <w:rFonts w:ascii="Arial" w:cs="Arial" w:eastAsia="Arial" w:hAnsi="Arial"/>
          <w:sz w:val="24"/>
          <w:szCs w:val="24"/>
        </w:rPr>
        <w:t xml:space="preserve">No ha sido fácil, eso me dijeron desde la EDU, porque la gente ha estado muy reacia a vender los predios de la zona, pero el Área Metropolitana ya la encargó desde principio de año, pero primero lo que hay que hacer para poder empezar la construcción es la gestión del predial, el proyecto va y el recurso está garantizado. Espero y aspiro también al menos dejar como quien dice, usted, antes de que nos vayamos en marzo, la primera excavación lista. Prometido”.</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“Para preguntar si se va a presentar un informe de la participación de los concejales en el Codpaz (Consejo Distrital de Paz, Convivencia y Reconciliación)”.</w:t>
      </w:r>
    </w:p>
    <w:p>
      <w:pPr>
        <w:spacing w:before="400" w:after="200" w:line="360"/>
        <w:jc w:val="left"/>
      </w:pPr>
      <w:r>
        <w:rPr>
          <w:rFonts w:ascii="Arial" w:cs="Arial" w:eastAsia="Arial" w:hAnsi="Arial"/>
          <w:b/>
          <w:bCs/>
          <w:sz w:val="24"/>
          <w:szCs w:val="24"/>
        </w:rPr>
        <w:t xml:space="preserve">Intervino la concejala Janeth Hurtado Betancur:</w:t>
      </w:r>
    </w:p>
    <w:p>
      <w:pPr>
        <w:spacing w:after="240" w:line="300"/>
        <w:ind w:left="720" w:right="720"/>
        <w:jc w:val="both"/>
      </w:pPr>
      <w:r>
        <w:rPr>
          <w:rFonts w:ascii="Arial" w:cs="Arial" w:eastAsia="Arial" w:hAnsi="Arial"/>
          <w:sz w:val="22"/>
          <w:szCs w:val="22"/>
        </w:rPr>
        <w:t xml:space="preserve">“Voy a aclarar solamente algo. La gestión previa efectivamente fue asignada por parte de la secretaría de Infraestructura Física a la EDU, van dos fases, fase uno adquirir los 8 predios que ya se adquirieron y entregaron; y la otra fase, los 132 predios adicionales van hasta agosto. Eso va avanzando, lo que no avanza es lo que se notificó, que el inicio de la obra iba a ser en agosto, septiembre no fue, en noviembre tampoco fue; y en este caso la obra la tiene el municipio de Itagüí que la tiene que adjudicar, y no sabemos si efectivamente es Adeli, con las mismas dificultades que ocurrió posiblemente con el tema de Fábricas Unidas”.</w:t>
      </w:r>
    </w:p>
    <w:p>
      <w:pPr>
        <w:spacing w:before="400" w:after="200" w:line="360"/>
        <w:jc w:val="left"/>
      </w:pPr>
      <w:r>
        <w:rPr>
          <w:rFonts w:ascii="Arial" w:cs="Arial" w:eastAsia="Arial" w:hAnsi="Arial"/>
          <w:b/>
          <w:bCs/>
          <w:sz w:val="24"/>
          <w:szCs w:val="24"/>
        </w:rPr>
        <w:t xml:space="preserve">Intervino el secretario General del Concejo Distrital de Medellín, Juan Camilo Arredondo Ballesteros:</w:t>
      </w:r>
    </w:p>
    <w:p>
      <w:pPr>
        <w:spacing w:after="100"/>
      </w:pPr>
    </w:p>
    <w:p>
      <w:pPr>
        <w:spacing w:after="240" w:line="300"/>
        <w:ind w:left="720" w:right="720"/>
        <w:jc w:val="both"/>
      </w:pPr>
      <w:r>
        <w:rPr>
          <w:rFonts w:ascii="Arial" w:cs="Arial" w:eastAsia="Arial" w:hAnsi="Arial"/>
          <w:sz w:val="22"/>
          <w:szCs w:val="22"/>
        </w:rPr>
        <w:t xml:space="preserve">“Concejal José Luis Marín Mora, vamos a revisar la obligatoriedad para saber si la vamos a hacer otro día, para hoy no la teníamos agendada”.</w:t>
      </w:r>
    </w:p>
    <w:p>
      <w:pPr>
        <w:spacing w:after="240" w:line="360"/>
        <w:jc w:val="both"/>
      </w:pPr>
      <w:r>
        <w:rPr>
          <w:rFonts w:ascii="Arial" w:cs="Arial" w:eastAsia="Arial" w:hAnsi="Arial"/>
          <w:sz w:val="24"/>
          <w:szCs w:val="24"/>
        </w:rPr>
        <w:t xml:space="preserve">3.	Proyectos de acuerdo para segundo debate.</w:t>
      </w:r>
    </w:p>
    <w:p>
      <w:pPr>
        <w:spacing w:after="240" w:line="360"/>
        <w:jc w:val="both"/>
      </w:pPr>
      <w:r>
        <w:rPr>
          <w:rFonts w:ascii="Arial" w:cs="Arial" w:eastAsia="Arial" w:hAnsi="Arial"/>
          <w:sz w:val="24"/>
          <w:szCs w:val="24"/>
        </w:rPr>
        <w:t xml:space="preserve">N° 070 de 2025:</w:t>
      </w:r>
    </w:p>
    <w:p>
      <w:pPr>
        <w:spacing w:after="240" w:line="300"/>
        <w:ind w:left="720" w:right="720"/>
        <w:jc w:val="both"/>
      </w:pPr>
      <w:r>
        <w:rPr>
          <w:rFonts w:ascii="Arial" w:cs="Arial" w:eastAsia="Arial" w:hAnsi="Arial"/>
          <w:sz w:val="22"/>
          <w:szCs w:val="22"/>
        </w:rPr>
        <w:t xml:space="preserve">“Por medio del cual se adiciona el Acuerdo 093 de 2023 para la implementación de un descuento en la tasa de interés moratorio y otras disposiciones”.</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Alcaldía Distrital de Medellín.</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Damián Pérez Arroyave, coordinador.</w:t>
      </w:r>
    </w:p>
    <w:p>
      <w:pPr>
        <w:spacing w:after="240" w:line="360"/>
        <w:jc w:val="both"/>
      </w:pPr>
      <w:r>
        <w:rPr>
          <w:rFonts w:ascii="Arial" w:cs="Arial" w:eastAsia="Arial" w:hAnsi="Arial"/>
          <w:sz w:val="24"/>
          <w:szCs w:val="24"/>
        </w:rPr>
        <w:t xml:space="preserve">El secretario General les recordó a los concejales que en la sesión 356 de 18 de noviembre de 2025, se aprobó el impedimento del concejal Andrés Felipe Rodríguez Puerta.</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Farley Jhair Macías Betancur para solicitar la no lectura del Informe de Ponencia sin el articulado, toda vez que ya lo hemos estudiado con suficiente ilustración en la comisión, y posteriormente fue remitido a los correos electrónicos de todos los concejales para el debate de esta mañana.</w:t>
      </w:r>
    </w:p>
    <w:p>
      <w:pPr>
        <w:spacing w:before="400" w:after="200" w:line="360"/>
        <w:jc w:val="left"/>
      </w:pPr>
      <w:r>
        <w:rPr>
          <w:rFonts w:ascii="Arial" w:cs="Arial" w:eastAsia="Arial" w:hAnsi="Arial"/>
          <w:b/>
          <w:bCs/>
          <w:sz w:val="24"/>
          <w:szCs w:val="24"/>
        </w:rPr>
        <w:t xml:space="preserve">Intervino el concejal Brisvani Alexis Arenas Suaza para solicitar la no lectura del articulado.</w:t>
      </w:r>
    </w:p>
    <w:p>
      <w:pPr>
        <w:spacing w:after="240" w:line="360"/>
        <w:jc w:val="both"/>
      </w:pPr>
      <w:r>
        <w:rPr>
          <w:rFonts w:ascii="Arial" w:cs="Arial" w:eastAsia="Arial" w:hAnsi="Arial"/>
          <w:sz w:val="24"/>
          <w:szCs w:val="24"/>
        </w:rPr>
        <w:t xml:space="preserve">Se sometió a consideración la no lectura al Informe de Ponencia y el articulado en votación ordinaria para los concejales presentes en el recinto y nominal para la concejala Janeth Hurtado Betancur en licencia de maternidad. No se presentaron intervenciones. Fueron aprobadas.</w:t>
      </w:r>
    </w:p>
    <w:p>
      <w:pPr>
        <w:spacing w:before="400" w:after="200" w:line="360"/>
        <w:jc w:val="left"/>
      </w:pPr>
      <w:r>
        <w:rPr>
          <w:rFonts w:ascii="Arial" w:cs="Arial" w:eastAsia="Arial" w:hAnsi="Arial"/>
          <w:b/>
          <w:bCs/>
          <w:sz w:val="24"/>
          <w:szCs w:val="24"/>
        </w:rPr>
        <w:t xml:space="preserve">Intervino el concejal Damián Pérez Arroyave:</w:t>
      </w:r>
    </w:p>
    <w:p>
      <w:pPr>
        <w:spacing w:after="240" w:line="300"/>
        <w:ind w:left="720" w:right="720"/>
        <w:jc w:val="both"/>
      </w:pPr>
      <w:r>
        <w:rPr>
          <w:rFonts w:ascii="Arial" w:cs="Arial" w:eastAsia="Arial" w:hAnsi="Arial"/>
          <w:sz w:val="22"/>
          <w:szCs w:val="22"/>
        </w:rPr>
        <w:t xml:space="preserve">“Como bien lo dice el concejal Farley Jhair Macías Betancur, hemos estudiado bastante este proyecto de acuerdo, tanto en la sesión de estudio como en la Comisión Segunda. Este es un proyecto que tiene como principal objetivo realizar un alivio fiscal, transitorio y excepcional para que los contribuyentes morosos se pongan al día, ese es el objeto, y tiene una doble finalidad -como ya lo he expresado- también para el Distrito, el primero el de recaudar mayores recursos que nos permitan seguir avanzando con los proyectos de ciudad, y no solamente eso, sino también reducir ese capital que hay en mora y que tiene, por supuesto, un riesgo de castigo importante.</w:t>
      </w:r>
    </w:p>
    <w:p>
      <w:pPr>
        <w:spacing w:after="240" w:line="360"/>
        <w:jc w:val="both"/>
      </w:pPr>
      <w:r>
        <w:rPr>
          <w:rFonts w:ascii="Arial" w:cs="Arial" w:eastAsia="Arial" w:hAnsi="Arial"/>
          <w:sz w:val="24"/>
          <w:szCs w:val="24"/>
        </w:rPr>
        <w:t xml:space="preserve">El alcance básicamente es el total de esas obligaciones que hay en mora, aproximadamente algo más de 10 tributos diferentes, no es solamente son los Impuestos de Industria y Comercio y el Predial. Esto iría hasta el 23 de diciembre de 2025, la idea es reducir esa tasa de mora en un 70 % y el tema de las sanciones de un 10 a un 5 %, todo eso tiene que ser antes del 23 de diciembre. Acá obviamente se aplica el Principio de Favorabilidad Sancionatoria donde el contribuyente escoge la que más favorable le sea para liquidar su obligación.</w:t>
      </w:r>
    </w:p>
    <w:p>
      <w:pPr>
        <w:spacing w:after="240" w:line="360"/>
        <w:jc w:val="both"/>
      </w:pPr>
      <w:r>
        <w:rPr>
          <w:rFonts w:ascii="Arial" w:cs="Arial" w:eastAsia="Arial" w:hAnsi="Arial"/>
          <w:sz w:val="24"/>
          <w:szCs w:val="24"/>
        </w:rPr>
        <w:t xml:space="preserve">Tiene un fundamento jurídico dado por el Artículo 59 de la Ley 788 de 2002, un fundamento constitucional y un Principio de Favorabilidad que está en el Artículo 2 del Estatuto Tributario.</w:t>
      </w:r>
    </w:p>
    <w:p>
      <w:pPr>
        <w:spacing w:after="240" w:line="360"/>
        <w:jc w:val="both"/>
      </w:pPr>
      <w:r>
        <w:rPr>
          <w:rFonts w:ascii="Arial" w:cs="Arial" w:eastAsia="Arial" w:hAnsi="Arial"/>
          <w:sz w:val="24"/>
          <w:szCs w:val="24"/>
        </w:rPr>
        <w:t xml:space="preserve">Hoy tenemos un tema macroeconómico que nos lleva a solicitar también esta medida transitoria y excepcional, y es que tenemos una tasa de usura bastante elevada, que inclusive esta semana en el último informe del Banco de la República volvió y aumentó, es muy superior en estos momentos a lo que era prepandemia con aproximadamente el 10 % superior a lo que es en la actualidad, y esto ha encarecido las obligaciones en mora de los contribuyentes.</w:t>
      </w:r>
    </w:p>
    <w:p>
      <w:pPr>
        <w:spacing w:after="240" w:line="360"/>
        <w:jc w:val="both"/>
      </w:pPr>
      <w:r>
        <w:rPr>
          <w:rFonts w:ascii="Arial" w:cs="Arial" w:eastAsia="Arial" w:hAnsi="Arial"/>
          <w:sz w:val="24"/>
          <w:szCs w:val="24"/>
        </w:rPr>
        <w:t xml:space="preserve">Esto hace que les sea mucho más difícil pagar debido a esas altas tasas, es una situación en la que no nos vamos a quedar, naturalmente en cuanto el país logre controlar los temas inflacionarios, estas tasas volverán a bajar, la tasa de referencia del mercado volverá a bajar, y eso permitirá que ya nos adaptemos a unas situaciones normales de mercado. Este tema que es transitorio es bastante importante.</w:t>
      </w:r>
    </w:p>
    <w:p>
      <w:pPr>
        <w:spacing w:after="240" w:line="360"/>
        <w:jc w:val="both"/>
      </w:pPr>
      <w:r>
        <w:rPr>
          <w:rFonts w:ascii="Arial" w:cs="Arial" w:eastAsia="Arial" w:hAnsi="Arial"/>
          <w:sz w:val="24"/>
          <w:szCs w:val="24"/>
        </w:rPr>
        <w:t xml:space="preserve">Hay que decir también que en este contexto hay un éxito en el anterior Acuerdo 008 de 2024, que fue un impacto bastante positivo donde se logró beneficiar a 37 899 contribuyentes de la ciudad, se obtuvo un recaudo superior a los $ 270 000 millones logrando recuperar cerca del 50 % más de lo que se lograba en campañas anteriores, demostrando también la confianza que hay en estos momentos en esta Administración Distrital, donde el contribuyente siente que sus impuestos están bien invertidos, y por eso paga y busca ponerse al día en los atrasos que tuvo durante la Administración anterior.</w:t>
      </w:r>
    </w:p>
    <w:p>
      <w:pPr>
        <w:spacing w:after="240" w:line="360"/>
        <w:jc w:val="both"/>
      </w:pPr>
      <w:r>
        <w:rPr>
          <w:rFonts w:ascii="Arial" w:cs="Arial" w:eastAsia="Arial" w:hAnsi="Arial"/>
          <w:sz w:val="24"/>
          <w:szCs w:val="24"/>
        </w:rPr>
        <w:t xml:space="preserve">Hay que aclarar que acá no es una amnistía, que no hay temas de inequidad generados, y que básicamente es una respuesta a la coyuntura que en estos momentos se está viviendo.</w:t>
      </w:r>
    </w:p>
    <w:p>
      <w:pPr>
        <w:spacing w:after="240" w:line="360"/>
        <w:jc w:val="both"/>
      </w:pPr>
      <w:r>
        <w:rPr>
          <w:rFonts w:ascii="Arial" w:cs="Arial" w:eastAsia="Arial" w:hAnsi="Arial"/>
          <w:sz w:val="24"/>
          <w:szCs w:val="24"/>
        </w:rPr>
        <w:t xml:space="preserve">Este acuerdo regirá a partir de la fecha de su sanción y publicación, y como les decía, ya ahí pasa a la implementación por parte de la Administración Distrital, que tendrá solamente escasos 20 días para realizar estos recaudos…</w:t>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368</w:t>
      </w:r>
    </w:p>
    <w:p>
      <w:pPr>
        <w:spacing w:after="240" w:line="360"/>
        <w:jc w:val="both"/>
      </w:pPr>
      <w:r>
        <w:rPr>
          <w:rFonts w:ascii="Arial" w:cs="Arial" w:eastAsia="Arial" w:hAnsi="Arial"/>
          <w:sz w:val="24"/>
          <w:szCs w:val="24"/>
        </w:rPr>
        <w:t xml:space="preserve">30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368</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Presentación de informes 								4</w:t>
      </w:r>
    </w:p>
    <w:p>
      <w:pPr>
        <w:spacing w:after="240" w:line="360"/>
        <w:jc w:val="both"/>
      </w:pPr>
      <w:r>
        <w:rPr>
          <w:rFonts w:ascii="Arial" w:cs="Arial" w:eastAsia="Arial" w:hAnsi="Arial"/>
          <w:sz w:val="24"/>
          <w:szCs w:val="24"/>
        </w:rPr>
        <w:t xml:space="preserve">Proyectos de acuerdo para segundo debate</w:t>
      </w:r>
    </w:p>
    <w:p>
      <w:pPr>
        <w:spacing w:after="100"/>
      </w:pPr>
    </w:p>
    <w:p>
      <w:pPr>
        <w:spacing w:after="240" w:line="360"/>
        <w:jc w:val="both"/>
      </w:pPr>
      <w:r>
        <w:rPr>
          <w:rFonts w:ascii="Arial" w:cs="Arial" w:eastAsia="Arial" w:hAnsi="Arial"/>
          <w:sz w:val="24"/>
          <w:szCs w:val="24"/>
        </w:rPr>
        <w:t xml:space="preserve">Proposiciones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368</w:t>
      </w:r>
    </w:p>
    <w:p>
      <w:pPr>
        <w:spacing w:after="240" w:line="360"/>
        <w:jc w:val="both"/>
      </w:pPr>
      <w:r>
        <w:rPr>
          <w:rFonts w:ascii="Arial" w:cs="Arial" w:eastAsia="Arial" w:hAnsi="Arial"/>
          <w:sz w:val="24"/>
          <w:szCs w:val="24"/>
        </w:rPr>
        <w:t xml:space="preserve">FECHA:		Medellín, 30 de noviembre de 2025</w:t>
      </w:r>
    </w:p>
    <w:p>
      <w:pPr>
        <w:spacing w:after="240" w:line="360"/>
        <w:jc w:val="both"/>
      </w:pPr>
      <w:r>
        <w:rPr>
          <w:rFonts w:ascii="Arial" w:cs="Arial" w:eastAsia="Arial" w:hAnsi="Arial"/>
          <w:sz w:val="24"/>
          <w:szCs w:val="24"/>
        </w:rPr>
        <w:t xml:space="preserve">HORA:		De las 10:20 a las 12:36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MinamiLa subsecretaria de Despacho informó que se contaba con cuórum suficiente para deliberar y decidirSiendo las 10:20 horas el presidente declaró abierta la sesiónORDEN DEL DÍA:1.	Aprobación del orden del día</w:t>
      </w:r>
    </w:p>
    <w:p>
      <w:pPr>
        <w:spacing w:after="240" w:line="360"/>
        <w:jc w:val="both"/>
      </w:pPr>
      <w:r>
        <w:rPr>
          <w:rFonts w:ascii="Arial" w:cs="Arial" w:eastAsia="Arial" w:hAnsi="Arial"/>
          <w:sz w:val="24"/>
          <w:szCs w:val="24"/>
        </w:rPr>
        <w:t xml:space="preserve">2.	Presentación de informes</w:t>
      </w:r>
    </w:p>
    <w:p>
      <w:pPr>
        <w:spacing w:after="240" w:line="360"/>
        <w:jc w:val="both"/>
      </w:pPr>
      <w:r>
        <w:rPr>
          <w:rFonts w:ascii="Arial" w:cs="Arial" w:eastAsia="Arial" w:hAnsi="Arial"/>
          <w:sz w:val="24"/>
          <w:szCs w:val="24"/>
        </w:rPr>
        <w:t xml:space="preserve">3.	Proyectos de acuerdo para segundo debate</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Presentación de informes Secretaría GeneralRepresentante ante el Área Metropolitana del Valle de Aburrá, Andrés Felipe Rodríguez PuertaComisión Especial de Vigilancia y Control ObservatorioIntervino el secretario General, Juan Camilo Arredondo Ballesteros:</w:t>
      </w:r>
    </w:p>
    <w:p>
      <w:pPr>
        <w:spacing w:after="240" w:line="300"/>
        <w:ind w:left="720" w:right="720"/>
        <w:jc w:val="both"/>
      </w:pPr>
      <w:r>
        <w:rPr>
          <w:rFonts w:ascii="Arial" w:cs="Arial" w:eastAsia="Arial" w:hAnsi="Arial"/>
          <w:sz w:val="22"/>
          <w:szCs w:val="22"/>
        </w:rPr>
        <w:t xml:space="preserve">“Muy buenos días a todos los presentes. Hoy estamos muy felices de acompañarlos y mostrarles este informe de gestión. Lo vamos a hacer de una forma diferente. Vamos a hacer un noticiero en el cual resaltaremos la labor que han hecho todos los compañeros de trabajo en este año, de los líderes y de los equipos de trabajo. Entonces, por eso no voy a hablar mucho yo hoy, sino que le</w:t>
      </w:r>
    </w:p>
    <w:p>
      <w:pPr>
        <w:spacing w:after="240" w:line="360"/>
        <w:jc w:val="both"/>
      </w:pPr>
      <w:r>
        <w:rPr>
          <w:rFonts w:ascii="Arial" w:cs="Arial" w:eastAsia="Arial" w:hAnsi="Arial"/>
          <w:sz w:val="24"/>
          <w:szCs w:val="24"/>
        </w:rPr>
        <w:t xml:space="preserve">voy a dar la palabra a cada uno de los líderes. Vamos a empezar entonces con nuestro noticiero”.Se proyectó video.Continuó el secretario General, Juan Camilo Arredondo Ballesteros:</w:t>
      </w:r>
    </w:p>
    <w:p>
      <w:pPr>
        <w:spacing w:after="240" w:line="300"/>
        <w:ind w:left="720" w:right="720"/>
        <w:jc w:val="both"/>
      </w:pPr>
      <w:r>
        <w:rPr>
          <w:rFonts w:ascii="Arial" w:cs="Arial" w:eastAsia="Arial" w:hAnsi="Arial"/>
          <w:sz w:val="22"/>
          <w:szCs w:val="22"/>
        </w:rPr>
        <w:t xml:space="preserve">“A todas las personas que nos acompañan hoy en esta emisión especial, muchas gracias. Al igual que a todo el equipo de trabajo por este gran año. Tenemos unos grandes retos para el siguiente, como seguir mejorando la participación ciudadana, con la atención al ciudadano de manera preferencial.</w:t>
      </w:r>
    </w:p>
    <w:p>
      <w:pPr>
        <w:spacing w:after="240" w:line="360"/>
        <w:jc w:val="both"/>
      </w:pPr>
      <w:r>
        <w:rPr>
          <w:rFonts w:ascii="Arial" w:cs="Arial" w:eastAsia="Arial" w:hAnsi="Arial"/>
          <w:sz w:val="24"/>
          <w:szCs w:val="24"/>
        </w:rPr>
        <w:t xml:space="preserve">Vamos a ver reflejado en diciembre el nuevo control de acceso que va a ser muy importante, porque una de las cosas que me decía la concejala Claudia Carrasquilla, que la seguridad acá es casi que nula, la hemos mejorado este año, pero ya con estos nuevos medios tecnológicos va a quedar espectacular, va a quedar con reconocimiento facial, solamente van a poder ingresar las personas que estén acreditadas y el que no va a tener que llegar, registrarse y llamar a la persona que le va a dar acceso. Pero va a quedar un registro de manera rápida, en el cual nos vamos a dar cuenta quiénes están ingresando de manera eficiente a la entidad.</w:t>
      </w:r>
    </w:p>
    <w:p>
      <w:pPr>
        <w:spacing w:after="240" w:line="360"/>
        <w:jc w:val="both"/>
      </w:pPr>
      <w:r>
        <w:rPr>
          <w:rFonts w:ascii="Arial" w:cs="Arial" w:eastAsia="Arial" w:hAnsi="Arial"/>
          <w:sz w:val="24"/>
          <w:szCs w:val="24"/>
        </w:rPr>
        <w:t xml:space="preserve">También tenemos dos temas muy importantes para finalizar, que fue «El Concejo en el territorio». Eso ha sido una gran apuesta y era un llamado de todos los ciudadanos que nos decían que el Concejo debe estar más en los territorios y así lo hicimos. Realizamos muchos eventos en los cuales cada uno de los concejales participó y llegamos a universidades, comunidades y los demás grupos de valor que se encuentran en nuestra ciudad.</w:t>
      </w:r>
    </w:p>
    <w:p>
      <w:pPr>
        <w:spacing w:after="240" w:line="360"/>
        <w:jc w:val="both"/>
      </w:pPr>
      <w:r>
        <w:rPr>
          <w:rFonts w:ascii="Arial" w:cs="Arial" w:eastAsia="Arial" w:hAnsi="Arial"/>
          <w:sz w:val="24"/>
          <w:szCs w:val="24"/>
        </w:rPr>
        <w:t xml:space="preserve">Otro tema importante para resaltar es el de las prácticas. Iniciamos este año y la idea es que cada día vayan aumentando más los practicantes. Ya justamente iniciamos convocatoria para el primer semestre de 2026 y tenemos en promedio unas diez plazas para suplir por medio de estos practicantes. Los invito a que nos ayuden con la difusión concejales.</w:t>
      </w:r>
    </w:p>
    <w:p>
      <w:pPr>
        <w:spacing w:after="240" w:line="360"/>
        <w:jc w:val="both"/>
      </w:pPr>
      <w:r>
        <w:rPr>
          <w:rFonts w:ascii="Arial" w:cs="Arial" w:eastAsia="Arial" w:hAnsi="Arial"/>
          <w:sz w:val="24"/>
          <w:szCs w:val="24"/>
        </w:rPr>
        <w:t xml:space="preserve">Vamos para adelante y el otro año será de muchos retos. Muchas gracias por la atención”. Comisión Especial de Vigilancia y Control Intervino el concejal Andrés Felipe Tobón Villada:</w:t>
      </w:r>
    </w:p>
    <w:p>
      <w:pPr>
        <w:spacing w:after="240" w:line="300"/>
        <w:ind w:left="720" w:right="720"/>
        <w:jc w:val="both"/>
      </w:pPr>
      <w:r>
        <w:rPr>
          <w:rFonts w:ascii="Arial" w:cs="Arial" w:eastAsia="Arial" w:hAnsi="Arial"/>
          <w:sz w:val="22"/>
          <w:szCs w:val="22"/>
        </w:rPr>
        <w:t xml:space="preserve">“Ustedes bien saben que por temas normativos, adoptados por supuesto dentro del Reglamento del Concejo, existe una Comisión Especial de Vigilancia y Control a la actividad de enajenadora en el distrito de Medellín, la cual está conformada por los siguientes concejales: Alejandro Arias García, Alejandro De Bedout Arango, Carlos Alberto Gutiérrez Bustamante y mi persona, que tiene la tarea de</w:t>
      </w:r>
    </w:p>
    <w:p>
      <w:pPr>
        <w:spacing w:after="240" w:line="360"/>
        <w:jc w:val="both"/>
      </w:pPr>
      <w:r>
        <w:rPr>
          <w:rFonts w:ascii="Arial" w:cs="Arial" w:eastAsia="Arial" w:hAnsi="Arial"/>
          <w:sz w:val="24"/>
          <w:szCs w:val="24"/>
        </w:rPr>
        <w:t xml:space="preserve">coordinarla desde el año pasado.</w:t>
      </w:r>
    </w:p>
    <w:p>
      <w:pPr>
        <w:spacing w:after="240" w:line="360"/>
        <w:jc w:val="both"/>
      </w:pPr>
      <w:r>
        <w:rPr>
          <w:rFonts w:ascii="Arial" w:cs="Arial" w:eastAsia="Arial" w:hAnsi="Arial"/>
          <w:sz w:val="24"/>
          <w:szCs w:val="24"/>
        </w:rPr>
        <w:t xml:space="preserve">Esto es una comisión que lo que hace básicamente es hacer seguimiento de tres tareas legales que tiene la secretaría de Gestión y Control Territorial:Inspección y vigilancia a los procesos de enajenación de vivienda.Vigilancia a las Organizaciones Populares de Vivienda - OPV.Loteo ilegal, bien sea formal sobre lotes de carácter privado o loteo ilegal sobre lotes de carácter público.Los tres elementos son los que hace esta secretaría de Gestión y Control Territorial, además de otros asuntos, por supuesto, pero son los que vigila la comisión que les acabo de indicar y sobre la cual hoy presentamos informe.</w:t>
      </w:r>
    </w:p>
    <w:p>
      <w:pPr>
        <w:spacing w:after="240" w:line="360"/>
        <w:jc w:val="both"/>
      </w:pPr>
      <w:r>
        <w:rPr>
          <w:rFonts w:ascii="Arial" w:cs="Arial" w:eastAsia="Arial" w:hAnsi="Arial"/>
          <w:sz w:val="24"/>
          <w:szCs w:val="24"/>
        </w:rPr>
        <w:t xml:space="preserve">En la revisión de la enajenación de vivienda, la secretaría hace un proceso de vigilancia y seguimiento a todos los enajenadores, vendedores de vivienda en la ciudad de Medellín. Se hicieron durante este año:863 visitas de inspección a proyectos de cinco o más unidades de vivienda. 49 inscripciones como enajenadores.39 certificados de cumplimiento de los requisitos para enajenar, para poder efectivamente proceder a partir del número cinco con el proceso de enajenación o venta.81 observaciones a la radicación de documentos para ejercer la enajenación. 280 requerimientos por presunto incumplimiento al Régimen de Enajenador, porque no lo hacen cumpliendo los requisitos legales.13 procedimientos administrativos sancionatorios por presunto incumplimiento al Régimen del Enajenador. Pasando al tema del seguimiento a las OPV, que son las organizaciones populares de vivienda, indicar que se han convocado de manera regular mesas interinstitucionales que se hacen extensivas a todas las OPV que tienen presencia en el distrito de Medellín. Y la lógica de estas mesas de trabajo que son, compuestas no solamente por esta secretaría, sino por todas aquellas que tienen vinculación, también por supuesto la Dirección de Planeación:Una mesa de trabajo dirigida a trámites y licencias urbanísticas y permisos de ocupación. Mesa dirigida al acompañamiento del Acuerdo 093 de 2023,  que fue el que se encargó de revisar unos asuntos de beneficios tributarios e impuestos prediales y demás, en materia de obligaciones urbanísticas. Mesa de trabajo de cara al Decreto 809 de 2024 que administra y adjudica el subsidio distrital de cara al tema de vivienda.Una mesa de trabajo en materia de trámites y licencias urbanísticas y permiso de ocupación que fue una que se pidió de manera adicional toda vez que la primera tuvo bastante convocatoria. Y respecto a las reuniones de asesoría y apoyo y sus mesas técnicas, la subsecretaría ha adelantado diversas actuaciones con las OPV, orientadas a fortalecer sus procesos administrativos, jurídicos, financieros y técnicos, conforme a lo que se establece de manera clara y taxativa en el decreto distrital</w:t>
      </w:r>
    </w:p>
    <w:p>
      <w:pPr>
        <w:spacing w:after="240" w:line="360"/>
        <w:jc w:val="both"/>
      </w:pPr>
      <w:r>
        <w:rPr>
          <w:rFonts w:ascii="Arial" w:cs="Arial" w:eastAsia="Arial" w:hAnsi="Arial"/>
          <w:sz w:val="24"/>
          <w:szCs w:val="24"/>
        </w:rPr>
        <w:t xml:space="preserve">0341 de 2018. Con ellos se han hecho:12 submesas12 visitas técnicas a proyectos desarrollados por OPV 6 Organizaciones Populares de Vivienda requeridas por cumplimiento del Decreto 0341.En materia de enajenación ilegal, a través del loteo ilegal, indicarles que a la fecha, durante este año, se han realizado 13 procedimientos sancionatorios administrativos todavía vigentes, están en trámite, por presunta enajenación ilegal por loteo o división material de predios. Tenemos, por ejemplo, para que lo tengan aquí presente, dos casos en la vereda Altos de la Mora, que es una que se ha repetido en diferentes circunstancias en este recinto y no se trata, como lo indicaba mi compañero Carlos hace algunos días, de invasiones,  de condiciones complejas en materia de vulnerabilidad, sino unos espacios bien interesantes en materia constructiva que, por supuesto, no deben ocurrir, pero que además tienen unas condiciones económicas. de altísimo valor.</w:t>
      </w:r>
    </w:p>
    <w:p>
      <w:pPr>
        <w:spacing w:after="240" w:line="360"/>
        <w:jc w:val="both"/>
      </w:pPr>
      <w:r>
        <w:rPr>
          <w:rFonts w:ascii="Arial" w:cs="Arial" w:eastAsia="Arial" w:hAnsi="Arial"/>
          <w:sz w:val="24"/>
          <w:szCs w:val="24"/>
        </w:rPr>
        <w:t xml:space="preserve">Y del otro lado tenemos 14 remisiones a la subsecretaría de Defensa y Protección</w:t>
      </w:r>
    </w:p>
    <w:p>
      <w:pPr>
        <w:spacing w:after="240" w:line="360"/>
        <w:jc w:val="both"/>
      </w:pPr>
      <w:r>
        <w:rPr>
          <w:rFonts w:ascii="Arial" w:cs="Arial" w:eastAsia="Arial" w:hAnsi="Arial"/>
          <w:sz w:val="24"/>
          <w:szCs w:val="24"/>
        </w:rPr>
        <w:t xml:space="preserve">de la secretaría General, por el presunto delito de enajenación ilegal en:AltavistaAltos de la MoraAguas FríasBelencito CorazónManriqueLa Montañita Acapulco y Florida, en San Antonio de PradoSan Cristóbal varios procesos.En Mónaco, San Cristóbal, un proceso muy interesante.Kennedy, que es en el Doce de Octubre, un proceso.Piedras Blancas - Santa Elena, un proceso.Travesías -  San Cristóbal, un proceso.La Palma otro proceso.Igualmente en esta tarea de vigilancia y control se han adelantado varios procedimientos administrativos a los enajenadores. Aquí encontramos siete procedimientos de cobro coactivo, a:Prado CampestreArboleda - San AntonioBangkokEcoaldea de OrienteObra escondida Obra 30 Indicar que hay 34 procedimientos vigentes, de los cuales 12 se encuentran en averiguación preliminar, 15 en formulación de cargos, uno ya tiene traslado de pruebas, hay cuatro que se encuentran en este momento con alegatos de conclusión y dos que ya tienen fallo.</w:t>
      </w:r>
    </w:p>
    <w:p>
      <w:pPr>
        <w:spacing w:after="240" w:line="360"/>
        <w:jc w:val="both"/>
      </w:pPr>
      <w:r>
        <w:rPr>
          <w:rFonts w:ascii="Arial" w:cs="Arial" w:eastAsia="Arial" w:hAnsi="Arial"/>
          <w:sz w:val="24"/>
          <w:szCs w:val="24"/>
        </w:rPr>
        <w:t xml:space="preserve">En este momento hay cinco sociedades en proceso de intervención y en liquidación forzosa administrativa. Para que este Concejo tenga presente, se trata de las siguientes sociedades:Carlos Alberto Valenzuela GaviriaDomingo Antonio Agudelo RíosSociedad Administradora El Picacho y Compañía Limitada Corporación Popular de Vivienda Social - Corpovivienda. Cabe resaltar en este sentido que el agente especial de las personas naturales y jurídicas mencionadas, ya expidió el concepto integral para proceder con esta liquidación forzosa administrativa.</w:t>
      </w:r>
    </w:p>
    <w:p>
      <w:pPr>
        <w:spacing w:after="240" w:line="360"/>
        <w:jc w:val="both"/>
      </w:pPr>
      <w:r>
        <w:rPr>
          <w:rFonts w:ascii="Arial" w:cs="Arial" w:eastAsia="Arial" w:hAnsi="Arial"/>
          <w:sz w:val="24"/>
          <w:szCs w:val="24"/>
        </w:rPr>
        <w:t xml:space="preserve">De manera diligente, si me lo permite la Mesa Directiva, voy a compartirles el informe parcial de la comisión de Vigilancia y Seguimiento a sus correos para que ustedes tengan más detalles y no extenderme más, pero indicarles que desde la comisión, los concejales que la conformamos,  tuvimos una reunión previa a este</w:t>
      </w:r>
    </w:p>
    <w:p>
      <w:pPr>
        <w:spacing w:after="240" w:line="360"/>
        <w:jc w:val="both"/>
      </w:pPr>
      <w:r>
        <w:rPr>
          <w:rFonts w:ascii="Arial" w:cs="Arial" w:eastAsia="Arial" w:hAnsi="Arial"/>
          <w:sz w:val="24"/>
          <w:szCs w:val="24"/>
        </w:rPr>
        <w:t xml:space="preserve">Informe, que fue bastante nutrida con unas discusiones muy amplias al respecto.</w:t>
      </w:r>
    </w:p>
    <w:p>
      <w:pPr>
        <w:spacing w:after="240" w:line="360"/>
        <w:jc w:val="both"/>
      </w:pPr>
      <w:r>
        <w:rPr>
          <w:rFonts w:ascii="Arial" w:cs="Arial" w:eastAsia="Arial" w:hAnsi="Arial"/>
          <w:sz w:val="24"/>
          <w:szCs w:val="24"/>
        </w:rPr>
        <w:t xml:space="preserve">El doctor Alejandro tuvo una participación allí bien interesante. De hecho, fueron varias participaciones, cerca de 45 minutos duró su última intervención al respecto de la comisión que tuvimos de vigilancia.</w:t>
      </w:r>
    </w:p>
    <w:p>
      <w:pPr>
        <w:spacing w:after="240" w:line="360"/>
        <w:jc w:val="both"/>
      </w:pPr>
      <w:r>
        <w:rPr>
          <w:rFonts w:ascii="Arial" w:cs="Arial" w:eastAsia="Arial" w:hAnsi="Arial"/>
          <w:sz w:val="24"/>
          <w:szCs w:val="24"/>
        </w:rPr>
        <w:t xml:space="preserve">Y decidimos que era importante que ustedes también tuvieran conocimiento en detalle de lo que sucede allí”. Informe del Observatorio DistritalIntervino de la Universidad Eafit, Daniel Londoño:</w:t>
      </w:r>
    </w:p>
    <w:p>
      <w:pPr>
        <w:spacing w:after="240" w:line="300"/>
        <w:ind w:left="720" w:right="720"/>
        <w:jc w:val="both"/>
      </w:pPr>
      <w:r>
        <w:rPr>
          <w:rFonts w:ascii="Arial" w:cs="Arial" w:eastAsia="Arial" w:hAnsi="Arial"/>
          <w:sz w:val="22"/>
          <w:szCs w:val="22"/>
        </w:rPr>
        <w:t xml:space="preserve">“Soy el coordinador de la reestructuración del observatorio del Concejo Distrital de Medellín. Les vamos a presentar el avance que tenemos hasta hoy del observatorio, del documento y del proceso de reestructuración.</w:t>
      </w:r>
    </w:p>
    <w:p>
      <w:pPr>
        <w:spacing w:after="240" w:line="360"/>
        <w:jc w:val="both"/>
      </w:pPr>
      <w:r>
        <w:rPr>
          <w:rFonts w:ascii="Arial" w:cs="Arial" w:eastAsia="Arial" w:hAnsi="Arial"/>
          <w:sz w:val="24"/>
          <w:szCs w:val="24"/>
        </w:rPr>
        <w:t xml:space="preserve">Contexto:</w:t>
      </w:r>
    </w:p>
    <w:p>
      <w:pPr>
        <w:spacing w:after="240" w:line="360"/>
        <w:jc w:val="both"/>
      </w:pPr>
      <w:r>
        <w:rPr>
          <w:rFonts w:ascii="Arial" w:cs="Arial" w:eastAsia="Arial" w:hAnsi="Arial"/>
          <w:sz w:val="24"/>
          <w:szCs w:val="24"/>
        </w:rPr>
        <w:t xml:space="preserve">El observatorio lleva funcionando 23 años. En los últimos años funcionó como un espacio académico para la producción de conocimiento de ciudad para el Concejo Distrital de Medellín y terminó generando unos documentos muy técnicos, extensos, académicos, que tal vez ya no respondían a las necesidades de los concejales y de la corporación.</w:t>
      </w:r>
    </w:p>
    <w:p>
      <w:pPr>
        <w:spacing w:after="240" w:line="360"/>
        <w:jc w:val="both"/>
      </w:pPr>
      <w:r>
        <w:rPr>
          <w:rFonts w:ascii="Arial" w:cs="Arial" w:eastAsia="Arial" w:hAnsi="Arial"/>
          <w:sz w:val="24"/>
          <w:szCs w:val="24"/>
        </w:rPr>
        <w:t xml:space="preserve">Esto ameritó la reestructuración, para considerar unos productos más pertinentes, más dirigidos a las necesidades específicas de los concejales y sobre todo en unos formatos que permitieran acceder a la información de una de una forma rápida a la corporación.</w:t>
      </w:r>
    </w:p>
    <w:p>
      <w:pPr>
        <w:spacing w:after="240" w:line="360"/>
        <w:jc w:val="both"/>
      </w:pPr>
      <w:r>
        <w:rPr>
          <w:rFonts w:ascii="Arial" w:cs="Arial" w:eastAsia="Arial" w:hAnsi="Arial"/>
          <w:sz w:val="24"/>
          <w:szCs w:val="24"/>
        </w:rPr>
        <w:t xml:space="preserve">Esta reestructuración se sustenta en el Acuerdo 030 de este año, el cual establece unas condiciones específicas a través de las cuales debe funcionar el observatorio e indica que esta ya no se debe limitar al análisis de políticas públicas de forma exclusiva, sino que debe considerar también las problemáticas de ciudad y los intereses de los corporados.</w:t>
      </w:r>
    </w:p>
    <w:p>
      <w:pPr>
        <w:spacing w:after="240" w:line="360"/>
        <w:jc w:val="both"/>
      </w:pPr>
      <w:r>
        <w:rPr>
          <w:rFonts w:ascii="Arial" w:cs="Arial" w:eastAsia="Arial" w:hAnsi="Arial"/>
          <w:sz w:val="24"/>
          <w:szCs w:val="24"/>
        </w:rPr>
        <w:t xml:space="preserve">A través del Acuerdo 030 de 2025 se crea una estructura general del observatorio, donde se establecen unas funciones de acuerdo a la estructura del Concejo, en donde la Mesa Directiva tiene la dirección, la función ejecutiva del observatorio recae sobre el secretario General y se indican unos criterios de divulgación y responsabilidad social, porque el observatorio también está pensado para que la información sea de consumo, no solo de la corporación, sino</w:t>
      </w:r>
    </w:p>
    <w:p>
      <w:pPr>
        <w:spacing w:after="240" w:line="360"/>
        <w:jc w:val="both"/>
      </w:pPr>
      <w:r>
        <w:rPr>
          <w:rFonts w:ascii="Arial" w:cs="Arial" w:eastAsia="Arial" w:hAnsi="Arial"/>
          <w:sz w:val="24"/>
          <w:szCs w:val="24"/>
        </w:rPr>
        <w:t xml:space="preserve">de la ciudadanía en general.</w:t>
      </w:r>
    </w:p>
    <w:p>
      <w:pPr>
        <w:spacing w:after="240" w:line="360"/>
        <w:jc w:val="both"/>
      </w:pPr>
      <w:r>
        <w:rPr>
          <w:rFonts w:ascii="Arial" w:cs="Arial" w:eastAsia="Arial" w:hAnsi="Arial"/>
          <w:sz w:val="24"/>
          <w:szCs w:val="24"/>
        </w:rPr>
        <w:t xml:space="preserve">Los cambios que introduce el nuevo Acuerdo, en términos generales, ya se concibe como un espacio para la creación y coordinación del conocimiento de ciudad, donde se puede articular desde diferentes sectores, tanto públicos como privados, información para la gestión del observatorio y la producción de información útil para para los concejales.</w:t>
      </w:r>
    </w:p>
    <w:p>
      <w:pPr>
        <w:spacing w:after="240" w:line="360"/>
        <w:jc w:val="both"/>
      </w:pPr>
      <w:r>
        <w:rPr>
          <w:rFonts w:ascii="Arial" w:cs="Arial" w:eastAsia="Arial" w:hAnsi="Arial"/>
          <w:sz w:val="24"/>
          <w:szCs w:val="24"/>
        </w:rPr>
        <w:t xml:space="preserve">En esta reestructuración  identificamos unos grandes retos:</w:t>
      </w:r>
    </w:p>
    <w:p>
      <w:pPr>
        <w:spacing w:after="240" w:line="360"/>
        <w:jc w:val="both"/>
      </w:pPr>
      <w:r>
        <w:rPr>
          <w:rFonts w:ascii="Arial" w:cs="Arial" w:eastAsia="Arial" w:hAnsi="Arial"/>
          <w:sz w:val="24"/>
          <w:szCs w:val="24"/>
        </w:rPr>
        <w:t xml:space="preserve">Cómo garantizar que la información del observatorio va a ser relevante, confiable y oportuna, sobre todo el tema de oportuna, no nos podíamos quedar en una estructura en donde los informes son muy extensos y tal vez la información llega posterior a los debates o a la necesidad específica de los concejales.</w:t>
      </w:r>
    </w:p>
    <w:p>
      <w:pPr>
        <w:spacing w:after="240" w:line="360"/>
        <w:jc w:val="both"/>
      </w:pPr>
      <w:r>
        <w:rPr>
          <w:rFonts w:ascii="Arial" w:cs="Arial" w:eastAsia="Arial" w:hAnsi="Arial"/>
          <w:sz w:val="24"/>
          <w:szCs w:val="24"/>
        </w:rPr>
        <w:t xml:space="preserve">Concentrar la información para el seguimiento y trazabilidad. Cómo lograr a través de un ecosistema de aliados, poder integrar la información tanto del sector público, privado y de la Administración distrital para hacer una gestión dentro del observatorio.  Pero cómo garantizar esas capacidades para que este pueda hacer los informes y los productos específicos considerando esta información.</w:t>
      </w:r>
    </w:p>
    <w:p>
      <w:pPr>
        <w:spacing w:after="240" w:line="360"/>
        <w:jc w:val="both"/>
      </w:pPr>
      <w:r>
        <w:rPr>
          <w:rFonts w:ascii="Arial" w:cs="Arial" w:eastAsia="Arial" w:hAnsi="Arial"/>
          <w:sz w:val="24"/>
          <w:szCs w:val="24"/>
        </w:rPr>
        <w:t xml:space="preserve">Cómo integrar las capacidades internas actuales del Concejo con ese ecosistema colaborativo que pretende generar el observatorio. Cómo integrar, por ejemplo, las capacidades de la biblioteca con los aliados del ecosistema para poder hacer el análisis y a través de la estructura, capacidades técnicas, tecnológicas y humanas de los aliados que puedan encontrar en este ecosistema.</w:t>
      </w:r>
    </w:p>
    <w:p>
      <w:pPr>
        <w:spacing w:after="240" w:line="360"/>
        <w:jc w:val="both"/>
      </w:pPr>
      <w:r>
        <w:rPr>
          <w:rFonts w:ascii="Arial" w:cs="Arial" w:eastAsia="Arial" w:hAnsi="Arial"/>
          <w:sz w:val="24"/>
          <w:szCs w:val="24"/>
        </w:rPr>
        <w:t xml:space="preserve">Cómo generar esos productos cada vez más atinados y que den cuenta de las necesidades del Concejo. Esto necesariamente requiere una modernización de los procesos técnicos y tecnológicos para la producción de acuerdo con las necesidades de los concejales, cómo vamos a articular en este ecosistema de aliados a los diferentes actores públicos y privados. Entre los privados encontramos todas las instituciones de educación superior, que son quienes mayores capacidades técnicas, tecnológicas y de talento humano tienen para hacer este tipo de análisis.</w:t>
      </w:r>
    </w:p>
    <w:p>
      <w:pPr>
        <w:spacing w:after="240" w:line="360"/>
        <w:jc w:val="both"/>
      </w:pPr>
      <w:r>
        <w:rPr>
          <w:rFonts w:ascii="Arial" w:cs="Arial" w:eastAsia="Arial" w:hAnsi="Arial"/>
          <w:sz w:val="24"/>
          <w:szCs w:val="24"/>
        </w:rPr>
        <w:t xml:space="preserve">Y cómo vamos a establecer una estructura organizacional ,analítica y técnica que le funcione al observatorio, pero evidentemente que esté articulada con la estructura del Concejo Distrital.</w:t>
      </w:r>
    </w:p>
    <w:p>
      <w:pPr>
        <w:spacing w:after="240" w:line="360"/>
        <w:jc w:val="both"/>
      </w:pPr>
      <w:r>
        <w:rPr>
          <w:rFonts w:ascii="Arial" w:cs="Arial" w:eastAsia="Arial" w:hAnsi="Arial"/>
          <w:sz w:val="24"/>
          <w:szCs w:val="24"/>
        </w:rPr>
        <w:t xml:space="preserve">Hoy encontramos unas capacidades instaladas del Concejo asociadas principalmente a la biblioteca del Concejo, sobre todo en la gestión documental. Encontramos también en las unidades de apoyo de los concejales, en donde hay unas capacidades de análisis.</w:t>
      </w:r>
    </w:p>
    <w:p>
      <w:pPr>
        <w:spacing w:after="240" w:line="360"/>
        <w:jc w:val="both"/>
      </w:pPr>
      <w:r>
        <w:rPr>
          <w:rFonts w:ascii="Arial" w:cs="Arial" w:eastAsia="Arial" w:hAnsi="Arial"/>
          <w:sz w:val="24"/>
          <w:szCs w:val="24"/>
        </w:rPr>
        <w:t xml:space="preserve">La idea es poder consolidar un observatorio que brinde herramientas y garantice información a los concejales, no prescindiendo de sus equipos de apoyo, sino que permita que también accedan a él como una herramienta para análisis y obtención de información asociada a las problemáticas que ellos identifican o en las cuales ellos quieren en profundizar.</w:t>
      </w:r>
    </w:p>
    <w:p>
      <w:pPr>
        <w:spacing w:after="240" w:line="360"/>
        <w:jc w:val="both"/>
      </w:pPr>
      <w:r>
        <w:rPr>
          <w:rFonts w:ascii="Arial" w:cs="Arial" w:eastAsia="Arial" w:hAnsi="Arial"/>
          <w:sz w:val="24"/>
          <w:szCs w:val="24"/>
        </w:rPr>
        <w:t xml:space="preserve">Tal vez una de las capacidades más valiosas que tiene el Concejo es la de relacionamiento y cómo estas van a permitir la construcción y sobre todo materialización de ese ecosistema de aliados a través de vínculos con universidades, entidades públicas, centros de pensamiento y sector privado.</w:t>
      </w:r>
    </w:p>
    <w:p>
      <w:pPr>
        <w:spacing w:after="240" w:line="360"/>
        <w:jc w:val="both"/>
      </w:pPr>
      <w:r>
        <w:rPr>
          <w:rFonts w:ascii="Arial" w:cs="Arial" w:eastAsia="Arial" w:hAnsi="Arial"/>
          <w:sz w:val="24"/>
          <w:szCs w:val="24"/>
        </w:rPr>
        <w:t xml:space="preserve">Como se darán cuenta, he insistido mucho en el tema del ecosistema de aliados, porque es ahí en donde vamos a obtener toda la información que posteriormente el observatorio va a hacer uso para generar los análisis, reportes e informes y productos para cada uno de los concejales y para la corporación en general.</w:t>
      </w:r>
    </w:p>
    <w:p>
      <w:pPr>
        <w:spacing w:after="240" w:line="360"/>
        <w:jc w:val="both"/>
      </w:pPr>
      <w:r>
        <w:rPr>
          <w:rFonts w:ascii="Arial" w:cs="Arial" w:eastAsia="Arial" w:hAnsi="Arial"/>
          <w:sz w:val="24"/>
          <w:szCs w:val="24"/>
        </w:rPr>
        <w:t xml:space="preserve">En el análisis y estudio que hicimos identificamos tal vez una necesidad grande del Concejo, asociada al funcionamiento del observatorio y es que para la generación de este tipo de productos es necesario contar con una infraestructura técnica y tecnológica amplia, que creemos que se puede subsanar, además que puede representar menores costos en talento humano en términos económicos.</w:t>
      </w:r>
    </w:p>
    <w:p>
      <w:pPr>
        <w:spacing w:after="240" w:line="360"/>
        <w:jc w:val="both"/>
      </w:pPr>
      <w:r>
        <w:rPr>
          <w:rFonts w:ascii="Arial" w:cs="Arial" w:eastAsia="Arial" w:hAnsi="Arial"/>
          <w:sz w:val="24"/>
          <w:szCs w:val="24"/>
        </w:rPr>
        <w:t xml:space="preserve">Si el Concejo distrital trabaja con una institución de educación superior aliada, la que el Distrito considere más pertinente, lo que sí sugerimos es que sea una que tenga las capacidades técnicas, tecnológicas y de talento humano suficientes.</w:t>
      </w:r>
    </w:p>
    <w:p>
      <w:pPr>
        <w:spacing w:after="240" w:line="360"/>
        <w:jc w:val="both"/>
      </w:pPr>
      <w:r>
        <w:rPr>
          <w:rFonts w:ascii="Arial" w:cs="Arial" w:eastAsia="Arial" w:hAnsi="Arial"/>
          <w:sz w:val="24"/>
          <w:szCs w:val="24"/>
        </w:rPr>
        <w:t xml:space="preserve">Encontrar una institución de educación superior aliada permitiría reducir sustancialmente costos de inversión, talento humano y tecnología. Básicamente ese es el soporte que puede brindar en la implementación y funcionamiento del observatorio del Concejo Distrital.</w:t>
      </w:r>
    </w:p>
    <w:p>
      <w:pPr>
        <w:spacing w:after="240" w:line="360"/>
        <w:jc w:val="both"/>
      </w:pPr>
      <w:r>
        <w:rPr>
          <w:rFonts w:ascii="Arial" w:cs="Arial" w:eastAsia="Arial" w:hAnsi="Arial"/>
          <w:sz w:val="24"/>
          <w:szCs w:val="24"/>
        </w:rPr>
        <w:t xml:space="preserve">En términos generales la propuesta es que funcione como un espacio interinstitucional, con un enfoque multidimensional, heterogéneo temáticamente. Esto considerando que anteriormente las temáticas del observatorio estaban muy limitadas a lo que era plan de desarrollo y Plan de Ordenamiento Territorial.</w:t>
      </w:r>
    </w:p>
    <w:p>
      <w:pPr>
        <w:spacing w:after="240" w:line="360"/>
        <w:jc w:val="both"/>
      </w:pPr>
      <w:r>
        <w:rPr>
          <w:rFonts w:ascii="Arial" w:cs="Arial" w:eastAsia="Arial" w:hAnsi="Arial"/>
          <w:sz w:val="24"/>
          <w:szCs w:val="24"/>
        </w:rPr>
        <w:t xml:space="preserve">El propósito en esta reestructuración es darle un alcance multidimensional que permita garantizar temáticamente productos que generen información proveniente de entidades públicas, privadas, académicas y sociales. Durante este ejercicio de reestructuración se evaluaron 40 observatorios a nivel de las Américas, básicamente con unos estudios y análisis que realizó la OEA (Organización de los Estados Americanos) frente a observatorios.</w:t>
      </w:r>
    </w:p>
    <w:p>
      <w:pPr>
        <w:spacing w:after="240" w:line="360"/>
        <w:jc w:val="both"/>
      </w:pPr>
      <w:r>
        <w:rPr>
          <w:rFonts w:ascii="Arial" w:cs="Arial" w:eastAsia="Arial" w:hAnsi="Arial"/>
          <w:sz w:val="24"/>
          <w:szCs w:val="24"/>
        </w:rPr>
        <w:t xml:space="preserve">Y el propósito de este análisis fue poder identificar qué tipos de observatorios existían, temáticamente cómo abordaban y qué tipo de productos generaban para cada uno de sus, entre comillas, clientes. Cuál era el objeto de cada uno de estos observatorios, si eran de políticas públicas, de análisis de problemáticas y sobre todo también identificaba el nivel en el cual generaban sus estudios, si eran</w:t>
      </w:r>
    </w:p>
    <w:p>
      <w:pPr>
        <w:spacing w:after="240" w:line="360"/>
        <w:jc w:val="both"/>
      </w:pPr>
      <w:r>
        <w:rPr>
          <w:rFonts w:ascii="Arial" w:cs="Arial" w:eastAsia="Arial" w:hAnsi="Arial"/>
          <w:sz w:val="24"/>
          <w:szCs w:val="24"/>
        </w:rPr>
        <w:t xml:space="preserve">regionales, municipales, de orden nacional, etc.</w:t>
      </w:r>
    </w:p>
    <w:p>
      <w:pPr>
        <w:spacing w:after="240" w:line="360"/>
        <w:jc w:val="both"/>
      </w:pPr>
      <w:r>
        <w:rPr>
          <w:rFonts w:ascii="Arial" w:cs="Arial" w:eastAsia="Arial" w:hAnsi="Arial"/>
          <w:sz w:val="24"/>
          <w:szCs w:val="24"/>
        </w:rPr>
        <w:t xml:space="preserve">Luego de esta revisión de estos 40 observatorios, se identificaron buenas prácticas, en donde la generalidad era que requerían unas arquitecturas de datos robustas, para poder hacer un análisis adecuado de toda la información, cuando entendemos un observatorio que no solo va a consumir información, en este caso del distrito y  de las entidades distritales. Nos enfrentamos ya a una cantidad de datos lo suficientemente robustas para necesitar estructuras de análisis y metodologías de análisis igual de robustas.</w:t>
      </w:r>
    </w:p>
    <w:p>
      <w:pPr>
        <w:spacing w:after="240" w:line="360"/>
        <w:jc w:val="both"/>
      </w:pPr>
      <w:r>
        <w:rPr>
          <w:rFonts w:ascii="Arial" w:cs="Arial" w:eastAsia="Arial" w:hAnsi="Arial"/>
          <w:sz w:val="24"/>
          <w:szCs w:val="24"/>
        </w:rPr>
        <w:t xml:space="preserve">Tenemos algunos de los casos internacionales identificados con buenas prácticas. Por ejemplo en el primero, una de las lecciones para el rediseño de este observatorio es la identificación de qué reportes de más de tres, cuatro páginas no son útiles para el uso de los concejales,  sin prescindir de ellos. No quiere decir que no se vayan a hacer análisis a profundidad, pero para la inmediatez que muchas veces manejan los corporados, informes de más de tres o cinco minutos de lectura no resultan ser tan útiles.</w:t>
      </w:r>
    </w:p>
    <w:p>
      <w:pPr>
        <w:spacing w:after="240" w:line="360"/>
        <w:jc w:val="both"/>
      </w:pPr>
      <w:r>
        <w:rPr>
          <w:rFonts w:ascii="Arial" w:cs="Arial" w:eastAsia="Arial" w:hAnsi="Arial"/>
          <w:sz w:val="24"/>
          <w:szCs w:val="24"/>
        </w:rPr>
        <w:t xml:space="preserve">Otra de las lecciones que se pretenden incorporar en el rediseño, es la implementación de herramientas tecnológicas que permitan la visualización a través de tableros de control de la información, para que el concejal pueda acceder de acuerdo a su interés temático, a unos tableros de control que le den cuenta del estado de un proyecto, de una iniciativa o que le dé el dateo general de la temática específica que desea consultar, sea seguridad, educación, planeación distrital, etc.</w:t>
      </w:r>
    </w:p>
    <w:p>
      <w:pPr>
        <w:spacing w:after="240" w:line="360"/>
        <w:jc w:val="both"/>
      </w:pPr>
      <w:r>
        <w:rPr>
          <w:rFonts w:ascii="Arial" w:cs="Arial" w:eastAsia="Arial" w:hAnsi="Arial"/>
          <w:sz w:val="24"/>
          <w:szCs w:val="24"/>
        </w:rPr>
        <w:t xml:space="preserve">La idea es poder tener la mayor cantidad de información posible y poder generar unas visualizaciones diferentes a los brief o reportes específicos que requieren unas lecturas más largas.</w:t>
      </w:r>
    </w:p>
    <w:p>
      <w:pPr>
        <w:spacing w:after="240" w:line="360"/>
        <w:jc w:val="both"/>
      </w:pPr>
      <w:r>
        <w:rPr>
          <w:rFonts w:ascii="Arial" w:cs="Arial" w:eastAsia="Arial" w:hAnsi="Arial"/>
          <w:sz w:val="24"/>
          <w:szCs w:val="24"/>
        </w:rPr>
        <w:t xml:space="preserve">También se identificó  la necesidad de garantizar información frente a realidades específicas y eventos de ciudad que se van presentando…</w:t>
      </w:r>
    </w:p>
    <w:p>
      <w:pPr>
        <w:spacing w:after="240" w:line="360"/>
        <w:jc w:val="both"/>
      </w:pPr>
      <w:r>
        <w:rPr>
          <w:rFonts w:ascii="Arial" w:cs="Arial" w:eastAsia="Arial" w:hAnsi="Arial"/>
          <w:sz w:val="24"/>
          <w:szCs w:val="24"/>
        </w:rPr>
        <w:t xml:space="preserve">Acta 368</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48 minutos.</w:t>
      </w:r>
    </w:p>
    <w:p>
      <w:pPr>
        <w:spacing w:after="240" w:line="360"/>
        <w:jc w:val="both"/>
      </w:pPr>
      <w:r>
        <w:rPr>
          <w:rFonts w:ascii="Arial" w:cs="Arial" w:eastAsia="Arial" w:hAnsi="Arial"/>
          <w:sz w:val="24"/>
          <w:szCs w:val="24"/>
        </w:rPr>
        <w:t xml:space="preserve">¿Qué hace esto? Que les sea mucho más difícil de pagar debido a esas altas tasas.</w:t>
      </w:r>
    </w:p>
    <w:p>
      <w:pPr>
        <w:spacing w:after="240" w:line="360"/>
        <w:jc w:val="both"/>
      </w:pPr>
      <w:r>
        <w:rPr>
          <w:rFonts w:ascii="Arial" w:cs="Arial" w:eastAsia="Arial" w:hAnsi="Arial"/>
          <w:sz w:val="24"/>
          <w:szCs w:val="24"/>
        </w:rPr>
        <w:t xml:space="preserve">Es una situación en la que no nos vamos a quedar, naturalmente en cuanto el país logre controlar los temas inflacionarios estas tasas volverán a bajar, la tasa de referencia del mercado volverá a bajar, lo que permitirá que ya nos adaptemos a unas situaciones normales de mercado. Entonces este tema que es transitorio es bastante importante.</w:t>
      </w:r>
    </w:p>
    <w:p>
      <w:pPr>
        <w:spacing w:after="240" w:line="360"/>
        <w:jc w:val="both"/>
      </w:pPr>
      <w:r>
        <w:rPr>
          <w:rFonts w:ascii="Arial" w:cs="Arial" w:eastAsia="Arial" w:hAnsi="Arial"/>
          <w:sz w:val="24"/>
          <w:szCs w:val="24"/>
        </w:rPr>
        <w:t xml:space="preserve">Y hay que decir también que en este contexto hay un éxito en el Acuerdo 8 de 2024, fue un impacto bastante positivo, donde se logró beneficiar a 37 899 contribuyentes de la ciudad, se obtuvo un recaudo superior a los 270 000 millones de pesos, donde se logró recuperar cerca del 50 % más de lo que se lograba recuperar en campañas anteriores, demostrando también la confianza que hay en estos momentos en esta Administración Distrital, donde el contribuyente siente que esos impuestos están bien invertidos, por eso paga y busca ponerse al día en los atrasos que tuvo durante la administración anterior.</w:t>
      </w:r>
    </w:p>
    <w:p>
      <w:pPr>
        <w:spacing w:after="240" w:line="360"/>
        <w:jc w:val="both"/>
      </w:pPr>
      <w:r>
        <w:rPr>
          <w:rFonts w:ascii="Arial" w:cs="Arial" w:eastAsia="Arial" w:hAnsi="Arial"/>
          <w:sz w:val="24"/>
          <w:szCs w:val="24"/>
        </w:rPr>
        <w:t xml:space="preserve">Hay que aclarar que acá no es una amnistía, que no hay temas de inequidad generados, que básicamente es una respuesta a la coyuntura que en estos momentos se está viviendo.</w:t>
      </w:r>
    </w:p>
    <w:p>
      <w:pPr>
        <w:spacing w:after="240" w:line="360"/>
        <w:jc w:val="both"/>
      </w:pPr>
      <w:r>
        <w:rPr>
          <w:rFonts w:ascii="Arial" w:cs="Arial" w:eastAsia="Arial" w:hAnsi="Arial"/>
          <w:sz w:val="24"/>
          <w:szCs w:val="24"/>
        </w:rPr>
        <w:t xml:space="preserve">Este acuerdo regirá a partir de la fecha de su sanción y publicación y, como les decía, de ahí pasa la implementación por parte de la Administración Distrital, tendrá escasos 20 días para realizar estos recaudos.</w:t>
      </w:r>
    </w:p>
    <w:p>
      <w:pPr>
        <w:spacing w:after="240" w:line="360"/>
        <w:jc w:val="both"/>
      </w:pPr>
      <w:r>
        <w:rPr>
          <w:rFonts w:ascii="Arial" w:cs="Arial" w:eastAsia="Arial" w:hAnsi="Arial"/>
          <w:sz w:val="24"/>
          <w:szCs w:val="24"/>
        </w:rPr>
        <w:t xml:space="preserve">Entonces hacer ese llamado a la Administración a hacer una publicidad muy agresiva en cuanto a este tema, porque son solo 20 días donde el contribuyente tendrá la oportunidad de colocarse al día en estas obligaciones.</w:t>
      </w:r>
    </w:p>
    <w:p>
      <w:pPr>
        <w:spacing w:after="240" w:line="360"/>
        <w:jc w:val="both"/>
      </w:pPr>
      <w:r>
        <w:rPr>
          <w:rFonts w:ascii="Arial" w:cs="Arial" w:eastAsia="Arial" w:hAnsi="Arial"/>
          <w:sz w:val="24"/>
          <w:szCs w:val="24"/>
        </w:rPr>
        <w:t xml:space="preserve">En general es un concepto favorable el que damos de este proyecto de acuerdo, lo votamos positivamente en el primer debate e invitamos a la plenaria a votarlo de nuevo positivamente para que los contribuyentes puedan tener este alivio tributario”.</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“Mencionar dos cosas:</w:t>
      </w:r>
    </w:p>
    <w:p>
      <w:pPr>
        <w:spacing w:after="240" w:line="360"/>
        <w:jc w:val="both"/>
      </w:pPr>
      <w:r>
        <w:rPr>
          <w:rFonts w:ascii="Arial" w:cs="Arial" w:eastAsia="Arial" w:hAnsi="Arial"/>
          <w:sz w:val="24"/>
          <w:szCs w:val="24"/>
        </w:rPr>
        <w:t xml:space="preserve">1. El mantenimiento de las tasas de interés es más una decisión política del Banco de la República que una decisión técnica, económica, dado que la inflación ha estado controlada y ha bajado, mientras que con el gobierno de Iván Duque la inflación estaba en topes más altos (no es una réplica, es mi intervención) y las tasas de interés más bajas. Eso como marco general, daría para mucho más análisis.</w:t>
      </w:r>
    </w:p>
    <w:p>
      <w:pPr>
        <w:spacing w:after="240" w:line="360"/>
        <w:jc w:val="both"/>
      </w:pPr>
      <w:r>
        <w:rPr>
          <w:rFonts w:ascii="Arial" w:cs="Arial" w:eastAsia="Arial" w:hAnsi="Arial"/>
          <w:sz w:val="24"/>
          <w:szCs w:val="24"/>
        </w:rPr>
        <w:t xml:space="preserve">Le quisiera preguntar a la Administración, porque tendría diferencia en el título del proyecto que dice que es una medida excepcional, dado que el año pasado también se hizo.</w:t>
      </w:r>
    </w:p>
    <w:p>
      <w:pPr>
        <w:spacing w:after="240" w:line="360"/>
        <w:jc w:val="both"/>
      </w:pPr>
      <w:r>
        <w:rPr>
          <w:rFonts w:ascii="Arial" w:cs="Arial" w:eastAsia="Arial" w:hAnsi="Arial"/>
          <w:sz w:val="24"/>
          <w:szCs w:val="24"/>
        </w:rPr>
        <w:t xml:space="preserve">La excepcionalidad se refiere a que no se haga de manera constante, aun apoyando el proyecto, mi voto será favorable porque considero que es viable, más allá de algunas diferencias que pueda tener, pero le quisiera preguntar a la Administración si no considera que el hecho de que no sea una medida excepcional, sino recurrente, pueda llevar a que los contribuyentes mediante Impuesto Predial o de Industria y Comercio se relajen, sobre todo quienes tienen capacidad de movimiento de capital, relajen el pago del impuesto, que en este caso sería el Impuesto de Industria y Comercio, calculando que les es más factible mover ese capital y pagar después unos intereses a la merma, que pagar los capitales cuando lo deben realizar en debido tiempo, y que eso nos pueda generar a mediano y largo plazo un déficit presupuestal o dificultades presupuestales para el Distrito, dado que se mermaría el recaudo general, sobre todo en los tiempos estimados”.</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“Una cosita muy breve sobre la forma cómo funciona las cosas en el Banco de la República.</w:t>
      </w:r>
    </w:p>
    <w:p>
      <w:pPr>
        <w:spacing w:after="240" w:line="360"/>
        <w:jc w:val="both"/>
      </w:pPr>
      <w:r>
        <w:rPr>
          <w:rFonts w:ascii="Arial" w:cs="Arial" w:eastAsia="Arial" w:hAnsi="Arial"/>
          <w:sz w:val="24"/>
          <w:szCs w:val="24"/>
        </w:rPr>
        <w:t xml:space="preserve">En el Banco de la República hay una junta de cinco miembros, un gerente más el ministro de Hacienda. Detrás de la junta hay, no sé, 60 doctores en Economía; un modelo de la economía colombiana y allí se simula.</w:t>
      </w:r>
    </w:p>
    <w:p>
      <w:pPr>
        <w:spacing w:after="240" w:line="360"/>
        <w:jc w:val="both"/>
      </w:pPr>
      <w:r>
        <w:rPr>
          <w:rFonts w:ascii="Arial" w:cs="Arial" w:eastAsia="Arial" w:hAnsi="Arial"/>
          <w:sz w:val="24"/>
          <w:szCs w:val="24"/>
        </w:rPr>
        <w:t xml:space="preserve">Entonces todas las propuestas y las cosas que se hacen; bajemos la tasa de interés un cuarto de punto, entonces se incorporan en el modelo y salen unos resultados y es con base en esos resultados que la junta toma sus decisiones. Ese es realmente el soporte técnico del trabajo de la junta.</w:t>
      </w:r>
    </w:p>
    <w:p>
      <w:pPr>
        <w:spacing w:after="240" w:line="360"/>
        <w:jc w:val="both"/>
      </w:pPr>
      <w:r>
        <w:rPr>
          <w:rFonts w:ascii="Arial" w:cs="Arial" w:eastAsia="Arial" w:hAnsi="Arial"/>
          <w:sz w:val="24"/>
          <w:szCs w:val="24"/>
        </w:rPr>
        <w:t xml:space="preserve">Los modelos simulan la economía, pero es mejor tenerlos. Los modelos son como</w:t>
      </w:r>
    </w:p>
    <w:p>
      <w:pPr>
        <w:spacing w:after="240" w:line="360"/>
        <w:jc w:val="both"/>
      </w:pPr>
      <w:r>
        <w:rPr>
          <w:rFonts w:ascii="Arial" w:cs="Arial" w:eastAsia="Arial" w:hAnsi="Arial"/>
          <w:sz w:val="24"/>
          <w:szCs w:val="24"/>
        </w:rPr>
        <w:t xml:space="preserve">tronquitos que uno usa para pasar un arroyo, entonces son frágiles y tienen todos sus problemas, pero la alternativa es caminar sobre las aguas y eso no lo hizo sino una persona.</w:t>
      </w:r>
    </w:p>
    <w:p>
      <w:pPr>
        <w:spacing w:after="240" w:line="360"/>
        <w:jc w:val="both"/>
      </w:pPr>
      <w:r>
        <w:rPr>
          <w:rFonts w:ascii="Arial" w:cs="Arial" w:eastAsia="Arial" w:hAnsi="Arial"/>
          <w:sz w:val="24"/>
          <w:szCs w:val="24"/>
        </w:rPr>
        <w:t xml:space="preserve">Entonces creo que eso es importante tenerlo en cuenta, no es capricho, hay gente detrás de eso, a veces se acierta porque el fine-tuning de la política monetaria no es evidente, pero desde hace años se viene trabajando de esa forma y eso ha tenido resultados buenos.</w:t>
      </w:r>
    </w:p>
    <w:p>
      <w:pPr>
        <w:spacing w:after="240" w:line="360"/>
        <w:jc w:val="both"/>
      </w:pPr>
      <w:r>
        <w:rPr>
          <w:rFonts w:ascii="Arial" w:cs="Arial" w:eastAsia="Arial" w:hAnsi="Arial"/>
          <w:sz w:val="24"/>
          <w:szCs w:val="24"/>
        </w:rPr>
        <w:t xml:space="preserve">Entonces no es una cosa política, mi estimado José Luis”.</w:t>
      </w:r>
    </w:p>
    <w:p>
      <w:pPr>
        <w:spacing w:before="400" w:after="200" w:line="360"/>
        <w:jc w:val="left"/>
      </w:pPr>
      <w:r>
        <w:rPr>
          <w:rFonts w:ascii="Arial" w:cs="Arial" w:eastAsia="Arial" w:hAnsi="Arial"/>
          <w:b/>
          <w:bCs/>
          <w:sz w:val="24"/>
          <w:szCs w:val="24"/>
        </w:rPr>
        <w:t xml:space="preserve">Intervino el concejal Damián Pérez Arroyave:</w:t>
      </w:r>
    </w:p>
    <w:p>
      <w:pPr>
        <w:spacing w:after="240" w:line="300"/>
        <w:ind w:left="720" w:right="720"/>
        <w:jc w:val="both"/>
      </w:pPr>
      <w:r>
        <w:rPr>
          <w:rFonts w:ascii="Arial" w:cs="Arial" w:eastAsia="Arial" w:hAnsi="Arial"/>
          <w:sz w:val="22"/>
          <w:szCs w:val="22"/>
        </w:rPr>
        <w:t xml:space="preserve">“Sí es importante en materias de inflación aclarar porque se ha querido generar un discurso político de que las tasas de interés hoy están a ese nivel por decisiones políticas del Banco de la República, lo cual no es así.</w:t>
      </w:r>
    </w:p>
    <w:p>
      <w:pPr>
        <w:spacing w:after="240" w:line="360"/>
        <w:jc w:val="both"/>
      </w:pPr>
      <w:r>
        <w:rPr>
          <w:rFonts w:ascii="Arial" w:cs="Arial" w:eastAsia="Arial" w:hAnsi="Arial"/>
          <w:sz w:val="24"/>
          <w:szCs w:val="24"/>
        </w:rPr>
        <w:t xml:space="preserve">Hay una realidad y nosotros macroeconómicamente tenemos que analizar la situación de país, para eso es necesario regresarnos hasta las épocas de prepandemia. Cuando nosotros teníamos en el año 2020 una inflación anual del 1.6 %, bastante controlada en un tema que se acercaba incluso a niveles ideales, la tasa de interés del Banco de la República llegó incluso a estar sobre el 1.75 % y 3 %, una situación que era bastante propicia porque significaba que el costo del dinero era bajo para quien quería tener dinero, adquirir dinero. Eso permitía una serie de inversiones, incluso inversiones de riesgo y demás a nivel de país. Esa situación dinamizaba bastante la economía debido a que se tenían esas tasas inflacionarias bajas.</w:t>
      </w:r>
    </w:p>
    <w:p>
      <w:pPr>
        <w:spacing w:after="240" w:line="360"/>
        <w:jc w:val="both"/>
      </w:pPr>
      <w:r>
        <w:rPr>
          <w:rFonts w:ascii="Arial" w:cs="Arial" w:eastAsia="Arial" w:hAnsi="Arial"/>
          <w:sz w:val="24"/>
          <w:szCs w:val="24"/>
        </w:rPr>
        <w:t xml:space="preserve">Posteriormente, la inflación viene aumentando para el 2021, que se sitúa en el 3.5 %, en gran parte por el incremento abrupto que se dio en ese año en el tema del salario mínimo, posteriormente viene el tema de pandemia. Cuando llega el tema de pandemia tuvimos que superar hasta el 10 % en temas de inflación y naturalmente la tasa de referencia del Banco de la República llegó a estar en el 12 % efectivo anual, una tasa que verdaderamente lo que hacía era frenar la adquisición de recursos y de capital para que no se dieran inversiones, gastos en consumo, sobre todo, debido a que la situación inflacionaria no era recomendable para la economía.</w:t>
      </w:r>
    </w:p>
    <w:p>
      <w:pPr>
        <w:spacing w:after="240" w:line="360"/>
        <w:jc w:val="both"/>
      </w:pPr>
      <w:r>
        <w:rPr>
          <w:rFonts w:ascii="Arial" w:cs="Arial" w:eastAsia="Arial" w:hAnsi="Arial"/>
          <w:sz w:val="24"/>
          <w:szCs w:val="24"/>
        </w:rPr>
        <w:t xml:space="preserve">¿Qué venía después de que sucediera la pandemia? Uno, el tema de reactivar económicamente el país; dos, el tema de que se pudiera bajar la inflación. Comenzó la reactivación económica y un crecimiento de país bastante considerable, que hoy, hay que decirlo, el crecimiento del país está siendo inferior a la inflación y eso no es un crecimiento real de la economía, es un crecimiento ficticio porque la misma inflación se está comiendo ese crecimiento. Y no se dio la baja en la inflación debido a políticas actuales del Gobierno como el aumento en los precios de la gasolina, como el aumento en los salarios, en los impuestos, todas estas situaciones hacen que la inflación se mantenga alta, que está principalmente jalonado en temas de canasta familiar, de vivienda, porque al quitar los incentivos en la construcción de vivienda hubo menor oferta en todo el tema inmobiliario, y al haber menor oferta en el tema inmobiliario suben naturalmente los costos de arriendo y todos los demás costos al respecto, lo que hace que se tenga un tema de inflación alto, bastante considerable, que en este año es superior al 5 %, y mientras eso se mantenga el Banco de la República técnicamente no va a bajar las tasas.</w:t>
      </w:r>
    </w:p>
    <w:p>
      <w:pPr>
        <w:spacing w:after="240" w:line="360"/>
        <w:jc w:val="both"/>
      </w:pPr>
      <w:r>
        <w:rPr>
          <w:rFonts w:ascii="Arial" w:cs="Arial" w:eastAsia="Arial" w:hAnsi="Arial"/>
          <w:sz w:val="24"/>
          <w:szCs w:val="24"/>
        </w:rPr>
        <w:t xml:space="preserve">¿Qué tiene que hacer hoy el Gobierno para controlar los temas de inflación? Ser cuidadoso en la decisión del salario mínimo, aumentar el crecimiento en los temas económicos del país, incentivar de nuevo el tema de la construcción, incentivar de nuevo la industria del transporte, incentivar de nuevo la industria creativa que la dejó</w:t>
      </w:r>
    </w:p>
    <w:p>
      <w:pPr>
        <w:spacing w:after="240" w:line="360"/>
        <w:jc w:val="both"/>
      </w:pPr>
      <w:r>
        <w:rPr>
          <w:rFonts w:ascii="Arial" w:cs="Arial" w:eastAsia="Arial" w:hAnsi="Arial"/>
          <w:sz w:val="24"/>
          <w:szCs w:val="24"/>
        </w:rPr>
        <w:t xml:space="preserve">completamente abandonada y, por supuesto, no tirarle tan duro al contribuyente para que con esta combinación de fórmulas la inflación pueda bajar y técnicamente el Banco de la República pueda bajar las tasas.</w:t>
      </w:r>
    </w:p>
    <w:p>
      <w:pPr>
        <w:spacing w:after="240" w:line="360"/>
        <w:jc w:val="both"/>
      </w:pPr>
      <w:r>
        <w:rPr>
          <w:rFonts w:ascii="Arial" w:cs="Arial" w:eastAsia="Arial" w:hAnsi="Arial"/>
          <w:sz w:val="24"/>
          <w:szCs w:val="24"/>
        </w:rPr>
        <w:t xml:space="preserve">Esa es la realidad que se vive en este contexto macroeconómico nacional, que es importante dejar claro que no es un tema político, sino técnico”.</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“Continuamos con la intervención por parte de la Administración, quien la vaya a realizar se nos identifica con nombre y con cargo”.</w:t>
      </w:r>
    </w:p>
    <w:p>
      <w:pPr>
        <w:spacing w:before="400" w:after="200" w:line="360"/>
        <w:jc w:val="left"/>
      </w:pPr>
      <w:r>
        <w:rPr>
          <w:rFonts w:ascii="Arial" w:cs="Arial" w:eastAsia="Arial" w:hAnsi="Arial"/>
          <w:b/>
          <w:bCs/>
          <w:sz w:val="24"/>
          <w:szCs w:val="24"/>
        </w:rPr>
        <w:t xml:space="preserve">Intervino el asesor de la secretaría de Hacienda, Ricardo Valencia:</w:t>
      </w:r>
    </w:p>
    <w:p>
      <w:pPr>
        <w:spacing w:after="240" w:line="300"/>
        <w:ind w:left="720" w:right="720"/>
        <w:jc w:val="both"/>
      </w:pPr>
      <w:r>
        <w:rPr>
          <w:rFonts w:ascii="Arial" w:cs="Arial" w:eastAsia="Arial" w:hAnsi="Arial"/>
          <w:sz w:val="22"/>
          <w:szCs w:val="22"/>
        </w:rPr>
        <w:t xml:space="preserve">“De forma integral el concejal ponente da unos elementos muy valiosos en relación con este proyecto de acuerdo que está a su consideración, que me permitiré de alguna manera replicar alguno de ellos partiendo desde la justificación del proyecto de acuerdo.</w:t>
      </w:r>
    </w:p>
    <w:p>
      <w:pPr>
        <w:spacing w:after="240" w:line="360"/>
        <w:jc w:val="both"/>
      </w:pPr>
      <w:r>
        <w:rPr>
          <w:rFonts w:ascii="Arial" w:cs="Arial" w:eastAsia="Arial" w:hAnsi="Arial"/>
          <w:sz w:val="24"/>
          <w:szCs w:val="24"/>
        </w:rPr>
        <w:t xml:space="preserve">Lo que es claro y no tiene duda alguna, los números lo muestran, es que en Medellín hay una muy buena cultura de pago, está incluso por encima de la que hay a nivel país. Esas culturas de pago cercanas al 90 % digamos que son unos temas de orgullo para mostrar y son muy representativos también, muestran el sentido de pertenencia y el amor que tienen los ciudadanos como por las finanzas, más aún cuando ven que las mismas se reflejan en el bienestar y en el desarrollo de la ciudad.</w:t>
      </w:r>
    </w:p>
    <w:p>
      <w:pPr>
        <w:spacing w:after="240" w:line="360"/>
        <w:jc w:val="both"/>
      </w:pPr>
      <w:r>
        <w:rPr>
          <w:rFonts w:ascii="Arial" w:cs="Arial" w:eastAsia="Arial" w:hAnsi="Arial"/>
          <w:sz w:val="24"/>
          <w:szCs w:val="24"/>
        </w:rPr>
        <w:t xml:space="preserve">Digamos que lo que se entiende con una cultura de pago tan buena y con un porcentaje tan alto es que como en cualquier ciudad del país, incluso en cualquier país del mundo, siempre habrá contribuyentes que tienen deudas, siempre habrá contribuyentes morosos por diversas razones, en muchas ocasiones es porque no conocen, porque no saben cómo pagar, digamos que por un tema más de desconocimiento que por una cuestión voluntaria, pero digamos que no es el hecho de entrar a clasificar por qué no se paga, el hecho es que cuando se tiene una cartera morosa y que tiene unos periodos considerables, hay una serie de medidas que hay que empezar a tomar para tratar de sanearla.</w:t>
      </w:r>
    </w:p>
    <w:p>
      <w:pPr>
        <w:spacing w:after="240" w:line="360"/>
        <w:jc w:val="both"/>
      </w:pPr>
      <w:r>
        <w:rPr>
          <w:rFonts w:ascii="Arial" w:cs="Arial" w:eastAsia="Arial" w:hAnsi="Arial"/>
          <w:sz w:val="24"/>
          <w:szCs w:val="24"/>
        </w:rPr>
        <w:t xml:space="preserve">El hecho de que se traigan cuestiones de reliquidación de tasas de interés no quiere decir que la Administración está inactiva o que no está trabajando para ello, sino que hay que involucrar un conjunto de medidas que permita ir saneando de a poco esa cartera, por eso en alguna parte de la presentación hay unas acciones muy concretas que desde la secretaría de Hacienda se vienen para constituir títulos ejecutivos determinando esas deudas, para hacer procesos de cobro coactivo, para hacer labores de saneamiento de la cartera muy antigua y que ya realmente no se puede recuperar. Digamos que este es un elemento más, un proyecto de acuerdo de este tipo, que lo que hace es perseguir dos objetivos muy fundamentales: el primero es lograr sanear esa cartera, permitirles a los contribuyentes que paguen.</w:t>
      </w:r>
    </w:p>
    <w:p>
      <w:pPr>
        <w:spacing w:after="240" w:line="360"/>
        <w:jc w:val="both"/>
      </w:pPr>
      <w:r>
        <w:rPr>
          <w:rFonts w:ascii="Arial" w:cs="Arial" w:eastAsia="Arial" w:hAnsi="Arial"/>
          <w:sz w:val="24"/>
          <w:szCs w:val="24"/>
        </w:rPr>
        <w:t xml:space="preserve">El contribuyente moroso siempre va a salir más perjudicado y siempre va a tener un</w:t>
      </w:r>
    </w:p>
    <w:p>
      <w:pPr>
        <w:spacing w:after="240" w:line="360"/>
        <w:jc w:val="both"/>
      </w:pPr>
      <w:r>
        <w:rPr>
          <w:rFonts w:ascii="Arial" w:cs="Arial" w:eastAsia="Arial" w:hAnsi="Arial"/>
          <w:sz w:val="24"/>
          <w:szCs w:val="24"/>
        </w:rPr>
        <w:t xml:space="preserve">impacto mucho mayor al que tiene el cumplido porque tiene que pagar todo el capital, lo cual no es negociable, paga unos porcentajes considerables de intereses, normalmente tiene sanciones ligadas al capital y a los intereses, porque el incumplimiento de las obligaciones tributarias, cuando se deja de pagar, por lo general va ligado a omisiones en la presentación de la declaración que tienen sanciones adicionales.</w:t>
      </w:r>
    </w:p>
    <w:p>
      <w:pPr>
        <w:spacing w:after="240" w:line="360"/>
        <w:jc w:val="both"/>
      </w:pPr>
      <w:r>
        <w:rPr>
          <w:rFonts w:ascii="Arial" w:cs="Arial" w:eastAsia="Arial" w:hAnsi="Arial"/>
          <w:sz w:val="24"/>
          <w:szCs w:val="24"/>
        </w:rPr>
        <w:t xml:space="preserve">Adicionalmente, como la Administración está tan juiciosa y siempre lo ha sido en estas labores de cobro, muchas veces hay medias cautelares, hay congelamiento de productos financieros, incluso de activos, que eso repercute muy fuertemente en los contribuyentes, por tal motivo nunca va a ser un buen negocio dejar de pagar, nunca financieramente eso es viable porque siempre al deudor moroso le termina yendo mucho peor que al cumplido.</w:t>
      </w:r>
    </w:p>
    <w:p>
      <w:pPr>
        <w:spacing w:after="240" w:line="360"/>
        <w:jc w:val="both"/>
      </w:pPr>
      <w:r>
        <w:rPr>
          <w:rFonts w:ascii="Arial" w:cs="Arial" w:eastAsia="Arial" w:hAnsi="Arial"/>
          <w:sz w:val="24"/>
          <w:szCs w:val="24"/>
        </w:rPr>
        <w:t xml:space="preserve">Básicamente lo que se busca desde la justificación es, conjuntamente con las labores de la Administración ir saneando esa cartera, permitir que el contribuyente pueda pagar y ponerse al día, obviamente de forma correlativa que la Administración tenga los mayores recursos para cumplir con todos los retos que hay actualmente.</w:t>
      </w:r>
    </w:p>
    <w:p>
      <w:pPr>
        <w:spacing w:after="240" w:line="360"/>
        <w:jc w:val="both"/>
      </w:pPr>
      <w:r>
        <w:rPr>
          <w:rFonts w:ascii="Arial" w:cs="Arial" w:eastAsia="Arial" w:hAnsi="Arial"/>
          <w:sz w:val="24"/>
          <w:szCs w:val="24"/>
        </w:rPr>
        <w:t xml:space="preserve">Digamos que hoy en día, adicionalmente a este contexto uno ve que hay dos justificaciones o dos propósitos grandes y es el tema de confianza ciudadana, creo que en este periodo de gobierno se tiene un tema de confianza muy relevante en lo</w:t>
      </w:r>
    </w:p>
    <w:p>
      <w:pPr>
        <w:spacing w:after="240" w:line="360"/>
        <w:jc w:val="both"/>
      </w:pPr>
      <w:r>
        <w:rPr>
          <w:rFonts w:ascii="Arial" w:cs="Arial" w:eastAsia="Arial" w:hAnsi="Arial"/>
          <w:sz w:val="24"/>
          <w:szCs w:val="24"/>
        </w:rPr>
        <w:t xml:space="preserve">que está pasando en la ciudad, eso incentiva el pago de tributos y también la Administración quiere corresponder a eso. Y finalmente no se puede desconocer que, aunque haya transcurrido cerca de cinco años de todo lo que ocurrió con la pandemia, todavía hay coletazos por cuanto la inflación estuvo a dos dígitos, las tasas de interés estuvieron en máximos históricos y a las personas les tocaba tomar unas decisiones muy sencillas; de alguna manera o pago los servicios públicos o cómo o pago los impuestos. Y digamos que, al dejar de pagar esos impuestos, lo que tenía como consecuencia son unas tasas de interés muy altas, por cuanto la tasa que aplica en materia tributaria es la de usura menos dos puntos; o sea, eso está por encima de cualquier crédito que ordinariamente los ciudadanos sacamos ante una entidad financiera.</w:t>
      </w:r>
    </w:p>
    <w:p>
      <w:pPr>
        <w:spacing w:after="240" w:line="360"/>
        <w:jc w:val="both"/>
      </w:pPr>
      <w:r>
        <w:rPr>
          <w:rFonts w:ascii="Arial" w:cs="Arial" w:eastAsia="Arial" w:hAnsi="Arial"/>
          <w:sz w:val="24"/>
          <w:szCs w:val="24"/>
        </w:rPr>
        <w:t xml:space="preserve">Y así es que se acumularon tasas por encima de lo normal y por debajo de usura, pero si la usura normalmente está en 23 - 24 puntos, llegó a subir hasta casi 40 puntos; o sea, eran deudas muy complejas que hoy en día todavía acarrean impactos muy grandes sobre los ciudadanos, por lo que también son aspectos a tener en cuenta.</w:t>
      </w:r>
    </w:p>
    <w:p>
      <w:pPr>
        <w:spacing w:after="240" w:line="360"/>
        <w:jc w:val="both"/>
      </w:pPr>
      <w:r>
        <w:rPr>
          <w:rFonts w:ascii="Arial" w:cs="Arial" w:eastAsia="Arial" w:hAnsi="Arial"/>
          <w:sz w:val="24"/>
          <w:szCs w:val="24"/>
        </w:rPr>
        <w:t xml:space="preserve">Cuando desde el contenido normativo se mira qué tiene el proyecto de acuerdo, se valida que es un proyecto de acuerdo sencillo, que en el primer artículo trae un descuento o reliquidación en la tasa de interés moratorio, de tal manera que, si tomamos el interés como un 100 %, hay una reliquidación al 30 %; es decir, una disminución del 70 % de los intereses, de tal manera que si un contribuyente adeuda 100 pesos de intereses, solamente tendrá que pagar 30 pesos.</w:t>
      </w:r>
    </w:p>
    <w:p>
      <w:pPr>
        <w:spacing w:after="240" w:line="360"/>
        <w:jc w:val="both"/>
      </w:pPr>
      <w:r>
        <w:rPr>
          <w:rFonts w:ascii="Arial" w:cs="Arial" w:eastAsia="Arial" w:hAnsi="Arial"/>
          <w:sz w:val="24"/>
          <w:szCs w:val="24"/>
        </w:rPr>
        <w:t xml:space="preserve">Esto aplica única y exclusivamente a las obligaciones tributarias, a los impuestos, tasas y contribuciones. ¿Por qué solamente a deudas de este tipo? Porque la ley, específicamente la Ley 788 de 2002, faculta a las entidades territoriales para disminuir esas tasas, distinto a lo que ocurre con obligaciones no tributarias como pueden ser multas de Código de Policía, de tránsito, urbanísticas, etc., sobre las cuales no se tiene esa potestad, pero en las tributarias sí las hay, por eso se presenta ante este Consejo.</w:t>
      </w:r>
    </w:p>
    <w:p>
      <w:pPr>
        <w:spacing w:after="240" w:line="360"/>
        <w:jc w:val="both"/>
      </w:pPr>
      <w:r>
        <w:rPr>
          <w:rFonts w:ascii="Arial" w:cs="Arial" w:eastAsia="Arial" w:hAnsi="Arial"/>
          <w:sz w:val="24"/>
          <w:szCs w:val="24"/>
        </w:rPr>
        <w:t xml:space="preserve">Entonces, para acceder al contenido del proyecto de acuerdo qué tiene que hacer el contribuyente. Pagar el 100 % del capital, pagar el 30 % de los intereses y las sanciones, si existen, hacer esto antes del 23 de diciembre de 2025.</w:t>
      </w:r>
    </w:p>
    <w:p>
      <w:pPr>
        <w:spacing w:after="240" w:line="360"/>
        <w:jc w:val="both"/>
      </w:pPr>
      <w:r>
        <w:rPr>
          <w:rFonts w:ascii="Arial" w:cs="Arial" w:eastAsia="Arial" w:hAnsi="Arial"/>
          <w:sz w:val="24"/>
          <w:szCs w:val="24"/>
        </w:rPr>
        <w:t xml:space="preserve">Como ya hay unos contribuyentes que tienen obligaciones en mora, pero que han suscrito una facilidad de pago, la posibilidad de cancelar su deuda por cuotas, también se podrá acceder a ellas, pero únicamente sobre los valores remanentes por pagar, porque si ya se satisficieron unas obligaciones en tiempos anteriores, pues esto no aplica retroactivamente.</w:t>
      </w:r>
    </w:p>
    <w:p>
      <w:pPr>
        <w:spacing w:after="240" w:line="360"/>
        <w:jc w:val="both"/>
      </w:pPr>
      <w:r>
        <w:rPr>
          <w:rFonts w:ascii="Arial" w:cs="Arial" w:eastAsia="Arial" w:hAnsi="Arial"/>
          <w:sz w:val="24"/>
          <w:szCs w:val="24"/>
        </w:rPr>
        <w:t xml:space="preserve">También se deja muy claro que no es posible suscribir acuerdos de pago para acceder al beneficio, precisamente porque lo que se pretende es la disminución en la tasa, pero que esto vaya acompañado y acompasado de una recuperación y del pago de la totalidad del capital del remanente de los intereses y de las sanciones que correspondan.</w:t>
      </w:r>
    </w:p>
    <w:p>
      <w:pPr>
        <w:spacing w:after="240" w:line="360"/>
        <w:jc w:val="both"/>
      </w:pPr>
      <w:r>
        <w:rPr>
          <w:rFonts w:ascii="Arial" w:cs="Arial" w:eastAsia="Arial" w:hAnsi="Arial"/>
          <w:sz w:val="24"/>
          <w:szCs w:val="24"/>
        </w:rPr>
        <w:t xml:space="preserve">En este contexto es muy importante tener en cuenta que la reliquidación aplica exclusivamente sobre la tasa de interés moratorio. Y la tasa de interés es como esa sanción que tiene el contribuyente que no paga oportunamente sus impuestos.</w:t>
      </w:r>
    </w:p>
    <w:p>
      <w:pPr>
        <w:spacing w:after="240" w:line="360"/>
        <w:jc w:val="both"/>
      </w:pPr>
      <w:r>
        <w:rPr>
          <w:rFonts w:ascii="Arial" w:cs="Arial" w:eastAsia="Arial" w:hAnsi="Arial"/>
          <w:sz w:val="24"/>
          <w:szCs w:val="24"/>
        </w:rPr>
        <w:t xml:space="preserve">En materia tributaria, y eso, aunque está más adelante, pero lo vamos acotando desde este momento, hay una serie de obligaciones tributarias. Cuando las mismas se incumplen, siendo una de ellas el pago, entonces hay lugar a la imposición de una sanción que en este momento es la tasa de interés moratorio, que está regulado en el Artículo 635 del Estatuto Tributario Nacional, como les señalaba, es la tasa de usura para créditos de consumo menos dos puntos y, en virtud de la aplicación de la Ley 7882, específicamente en su Artículo 59, se persigue su reducción temporal.</w:t>
      </w:r>
    </w:p>
    <w:p>
      <w:pPr>
        <w:spacing w:after="240" w:line="360"/>
        <w:jc w:val="both"/>
      </w:pPr>
      <w:r>
        <w:rPr>
          <w:rFonts w:ascii="Arial" w:cs="Arial" w:eastAsia="Arial" w:hAnsi="Arial"/>
          <w:sz w:val="24"/>
          <w:szCs w:val="24"/>
        </w:rPr>
        <w:t xml:space="preserve">¿A qué le aplica? A todas las cargas impositivas y todos los tributos que hay en el Distrito de Medellín, que son aproximadamente 21, entre los cuales claramente sobresale el Predial y el de Industria y Comercio, pero que también hay otros tributos como espectáculos públicos, publicidad exterior visual, alumbrado público, delineación, circulación y tránsito, sobretasa de la gasolina, entre otros, los cuales se enmarcan en el Acuerdo 093 de 2023 y están definidos como tributos, sobre estos son los que aplican.</w:t>
      </w:r>
    </w:p>
    <w:p>
      <w:pPr>
        <w:spacing w:after="240" w:line="360"/>
        <w:jc w:val="both"/>
      </w:pPr>
      <w:r>
        <w:rPr>
          <w:rFonts w:ascii="Arial" w:cs="Arial" w:eastAsia="Arial" w:hAnsi="Arial"/>
          <w:sz w:val="24"/>
          <w:szCs w:val="24"/>
        </w:rPr>
        <w:t xml:space="preserve">¿Para qué tipo de ingresos y de intereses no aplica? Los que se generen por concepto de arrendamientos, por temas de multas de tránsito, urbanísticas y Código de Policía, las de movilidad, eh todo el tema de obligaciones urbanísticas, de aprovechamiento económico del espacio público, frente a estas no operan la reliquidación y disminución de la tasa de interés, teniendo en cuenta que son ingresos reglamentados desde la ley, por lo cual no da lugar como a la disminución de los intereses, por tal motivo excede la capacidad de este Concejo.</w:t>
      </w:r>
    </w:p>
    <w:p>
      <w:pPr>
        <w:spacing w:after="240" w:line="360"/>
        <w:jc w:val="both"/>
      </w:pPr>
      <w:r>
        <w:rPr>
          <w:rFonts w:ascii="Arial" w:cs="Arial" w:eastAsia="Arial" w:hAnsi="Arial"/>
          <w:sz w:val="24"/>
          <w:szCs w:val="24"/>
        </w:rPr>
        <w:t xml:space="preserve">El Artículo 2 digamos que es un principio de favorabilidad sancionatoria. En el Acuerdo 66 de 2017, que es la norma anterior que regulaba los temas tributarios en el Distrito, se habían establecido unas sanciones del 10 % de los ingresos por no presentar la declaración de Industria y Comercio. Entonces el contribuyente, el comerciante que tuviera esa obligación, no presentara la declaración y fuera sancionado por tal efecto, le aplicaban una sanción del 10 % de los ingresos percibidos.</w:t>
      </w:r>
    </w:p>
    <w:p>
      <w:pPr>
        <w:spacing w:after="240" w:line="360"/>
        <w:jc w:val="both"/>
      </w:pPr>
      <w:r>
        <w:rPr>
          <w:rFonts w:ascii="Arial" w:cs="Arial" w:eastAsia="Arial" w:hAnsi="Arial"/>
          <w:sz w:val="24"/>
          <w:szCs w:val="24"/>
        </w:rPr>
        <w:t xml:space="preserve">Posteriormente, cuando se expide el Acuerdo 093 de 2023, que es el nuevo Estatuto Tributario del Distrito, básicamente se disminuye esa sanción del 10 % al 5 %, eso obviamente es más favorable, más beneficioso para el contribuyente.</w:t>
      </w:r>
    </w:p>
    <w:p>
      <w:pPr>
        <w:spacing w:after="240" w:line="360"/>
        <w:jc w:val="both"/>
      </w:pPr>
      <w:r>
        <w:rPr>
          <w:rFonts w:ascii="Arial" w:cs="Arial" w:eastAsia="Arial" w:hAnsi="Arial"/>
          <w:sz w:val="24"/>
          <w:szCs w:val="24"/>
        </w:rPr>
        <w:t xml:space="preserve">Y lo que nos dice el Artículo 640 del Estatuto Tributario Nacional, que es de aplicación para el Distrito, es que los contribuyentes tienen derecho a que se les aplique las sanciones que les sean más favorables, aunque no estuvieran vigentes para la época en que se cometió la conducta. Entonces puede que una persona no haya presentado una declaración en 2021, le aplicaron el 10 % y, a pesar de que posteriormente se pasa al cinco y la conducta ya se había cometido, el Artículo 640 del Estatuto Tributario Nacional lo que permite es que por favorabilidad se haga uso de ese porcentaje.</w:t>
      </w:r>
    </w:p>
    <w:p>
      <w:pPr>
        <w:spacing w:after="240" w:line="360"/>
        <w:jc w:val="both"/>
      </w:pPr>
      <w:r>
        <w:rPr>
          <w:rFonts w:ascii="Arial" w:cs="Arial" w:eastAsia="Arial" w:hAnsi="Arial"/>
          <w:sz w:val="24"/>
          <w:szCs w:val="24"/>
        </w:rPr>
        <w:t xml:space="preserve">Entonces básicamente el condicionamiento que trae ese Artículo 2 es, «señor contribuyente, usted puede acceder a esa sanción que le es más favorable, siempre y cuando la misma esté ejecutoriada»; es decir, ya esté lista para efectuar el proceso de cobro, porque en caso de no estar ejecutoriada el contribuyente tiene un derecho que no hay lugar a duda que pueda acceder a él, de que se le disminuya, pero aquí la particularidad es que ya son obligaciones que están en cobro, por eso se condiciona que siempre y cuando pague todo el tributo que adeude, los intereses con la reducción del caso y la sanción por no declarar reducida del 10 % al 5 %, si lo hace antes del 23 de diciembre pues sanea su obligación y puede acceder a ese descuento.</w:t>
      </w:r>
    </w:p>
    <w:p>
      <w:pPr>
        <w:spacing w:after="240" w:line="360"/>
        <w:jc w:val="both"/>
      </w:pPr>
      <w:r>
        <w:rPr>
          <w:rFonts w:ascii="Arial" w:cs="Arial" w:eastAsia="Arial" w:hAnsi="Arial"/>
          <w:sz w:val="24"/>
          <w:szCs w:val="24"/>
        </w:rPr>
        <w:t xml:space="preserve">Digamos que en eso consiste el Artículo 2 del proyecto de acuerdo, obviamente este principio de favorabilidad sancionatoria tiene todo un componente normativo que ya lo expliqué y paso un poco de largo.</w:t>
      </w:r>
    </w:p>
    <w:p>
      <w:pPr>
        <w:spacing w:after="240" w:line="360"/>
        <w:jc w:val="both"/>
      </w:pPr>
      <w:r>
        <w:rPr>
          <w:rFonts w:ascii="Arial" w:cs="Arial" w:eastAsia="Arial" w:hAnsi="Arial"/>
          <w:sz w:val="24"/>
          <w:szCs w:val="24"/>
        </w:rPr>
        <w:t xml:space="preserve">Digamos que tanto los intereses moratorios como la sanción por no declarar y a la que hicimos referencia, se enmarca en que, como lo mencionaba hace un momento, hay unas obligaciones tributarias que en caso de incumplirlas generan unas sanciones y hay lugar a ser disminuidas, en virtud del marco normativo que es la Ley 788 de 20002.</w:t>
      </w:r>
    </w:p>
    <w:p>
      <w:pPr>
        <w:spacing w:after="240" w:line="360"/>
        <w:jc w:val="both"/>
      </w:pPr>
      <w:r>
        <w:rPr>
          <w:rFonts w:ascii="Arial" w:cs="Arial" w:eastAsia="Arial" w:hAnsi="Arial"/>
          <w:sz w:val="24"/>
          <w:szCs w:val="24"/>
        </w:rPr>
        <w:t xml:space="preserve">Frente a los fundamentos jurídicos para la proposición de este o para el contenido del proyecto de acuerdo, hay unos de orden constitucional, Artículo 287, 313 y 338, hay unos de tipo legal como es el Artículo 59 de la Ley 788 de 2002 y el Artículo 640 del Estatuto Tributario Nacional, y hay jurisprudencia donde se reconocen que estos mecanismos, más que amnistía, son facultades válidas y mecanismos legítimos de política fiscal, para efectos de poner al día la cartera y tener recursos suficientes.</w:t>
      </w:r>
    </w:p>
    <w:p>
      <w:pPr>
        <w:spacing w:after="240" w:line="360"/>
        <w:jc w:val="both"/>
      </w:pPr>
      <w:r>
        <w:rPr>
          <w:rFonts w:ascii="Arial" w:cs="Arial" w:eastAsia="Arial" w:hAnsi="Arial"/>
          <w:sz w:val="24"/>
          <w:szCs w:val="24"/>
        </w:rPr>
        <w:t xml:space="preserve">En el contexto económico, digamos que aquí lo que se quiere presentar, que esto ha sido como muy del resorte y del interés de los concejales, es como la cartera del del Distrito. Esta es una cartera histórica que se concentra principalmente en Industria y Comercio y Predial, pero que asciende a 5.7 billones de pesos, eso es una cantidad de plata muy grande, pero también hay que aclarar que es una cartera histórica, que es cartera que puede llevar más de 20 años, que al ser tan antigua viene generando unos intereses que durante toda la época de pandemia estuvieron a tasas muy altas, por lo que son carteras que deben ser objeto o de cobro, que ya están allí tramitándose, o de saneamiento porque son obligaciones tan antiguas que ya es imposible recuperar.</w:t>
      </w:r>
    </w:p>
    <w:p>
      <w:pPr>
        <w:spacing w:after="240" w:line="360"/>
        <w:jc w:val="both"/>
      </w:pPr>
      <w:r>
        <w:rPr>
          <w:rFonts w:ascii="Arial" w:cs="Arial" w:eastAsia="Arial" w:hAnsi="Arial"/>
          <w:sz w:val="24"/>
          <w:szCs w:val="24"/>
        </w:rPr>
        <w:t xml:space="preserve">En ese contexto y haciendo una segmentación al menos de los últimos 10 años, encontramos que en materia de Industria y Comercio hay una cartera de 2.3 billones de pesos, mucha de la cual es una cartera que ni siquiera es real, sino que es producto de parametrizaciones en sistema de información y que ya no se puede cobrar, porque la Administración ha sido muy juiciosa en que toda obligación que es declarada por el contribuyente y que no se paga, porque recordemos que Industria y Comercio es un impuesto que se declara, entonces en caso de que el contribuyente declare y no paga, se va para cobro coactivo, lo que pasa es que hay unas razones que son muy normales, por ejemplo, que la persona falleció, que la sociedad se liquida, que ya no hay sobre quién repercutir o que se trata de sanciones impuestas por la Administración que son altas, pero que ya de alguna manera son de difícil cobro.</w:t>
      </w:r>
    </w:p>
    <w:p>
      <w:pPr>
        <w:spacing w:after="240" w:line="360"/>
        <w:jc w:val="both"/>
      </w:pPr>
      <w:r>
        <w:rPr>
          <w:rFonts w:ascii="Arial" w:cs="Arial" w:eastAsia="Arial" w:hAnsi="Arial"/>
          <w:sz w:val="24"/>
          <w:szCs w:val="24"/>
        </w:rPr>
        <w:t xml:space="preserve">Un poco la explicación en la cartera de Predial, que en los últimos 10 años asciende a 1 billón de pesos y que está enmarcada hasta el periodo 2024, porque el 2025 todavía está en ejecución y todavía está en periodo de pagarse, digamos que es cartera que está relacionada con ese 10 % de personas que no pagan en el Distrito; porque si hablamos de que hay cerca de un 90 % de cultura de pago, pues el 10 % es lo que se ha venido acumulando, que con los intereses se ve grande y que ya se están haciendo como todas las acciones para efectos de poder cobrarla coactivamente o depurarla cuando no haya lugar a ello.</w:t>
      </w:r>
    </w:p>
    <w:p>
      <w:pPr>
        <w:spacing w:after="240" w:line="360"/>
        <w:jc w:val="both"/>
      </w:pPr>
      <w:r>
        <w:rPr>
          <w:rFonts w:ascii="Arial" w:cs="Arial" w:eastAsia="Arial" w:hAnsi="Arial"/>
          <w:sz w:val="24"/>
          <w:szCs w:val="24"/>
        </w:rPr>
        <w:t xml:space="preserve">Digamos que cuando tratamos de ubicarnos en las comunas que más se adeuda, allí sobresale la de El Poblado y la Candelaria, hay que tener también un contexto y es que en los últimos años han existido en el Distrito procesos de actualización catastral que claramente han llevado incrementos en el avalúo, incrementos en el impuesto, donde insistimos ha habido muy buena cultura de pago, pero que hay deudores que todavía tienen sus obligaciones pendientes y que la idea es que se puedan acoger a este tipo de descuentos y de reliquidaciones en la tasa de interés porque realmente son pesadas.</w:t>
      </w:r>
    </w:p>
    <w:p>
      <w:pPr>
        <w:spacing w:after="240" w:line="360"/>
        <w:jc w:val="both"/>
      </w:pPr>
      <w:r>
        <w:rPr>
          <w:rFonts w:ascii="Arial" w:cs="Arial" w:eastAsia="Arial" w:hAnsi="Arial"/>
          <w:sz w:val="24"/>
          <w:szCs w:val="24"/>
        </w:rPr>
        <w:t xml:space="preserve">En la segmentación de predios, continuar hablando del Impuesto Predial, lo que evidenciamos es que el 51.5 % de la deuda corresponde a inmuebles de tipo residencial, el 48.5 % es a no residenciales, que ya son destinaciones industriales, comerciales y de otro tipo.</w:t>
      </w:r>
    </w:p>
    <w:p>
      <w:pPr>
        <w:spacing w:after="240" w:line="360"/>
        <w:jc w:val="both"/>
      </w:pPr>
      <w:r>
        <w:rPr>
          <w:rFonts w:ascii="Arial" w:cs="Arial" w:eastAsia="Arial" w:hAnsi="Arial"/>
          <w:sz w:val="24"/>
          <w:szCs w:val="24"/>
        </w:rPr>
        <w:t xml:space="preserve">Cuando se hace esa misma segmentación de la cartera en temas de estratificación, obviamente lo no residencial no tiene un estrato, lo residencial sí lo tiene, entonces uno evidencia que hay acumulaciones de cartera, en todos los estratos está dividido, uno observa unos picos en los estratos 3 y 6 que básicamente se están evidentemente gestionando, y en lo no residencial también hay un porcentaje importante de la deuda del 47.82 %.</w:t>
      </w:r>
    </w:p>
    <w:p>
      <w:pPr>
        <w:spacing w:after="240" w:line="360"/>
        <w:jc w:val="both"/>
      </w:pPr>
      <w:r>
        <w:rPr>
          <w:rFonts w:ascii="Arial" w:cs="Arial" w:eastAsia="Arial" w:hAnsi="Arial"/>
          <w:sz w:val="24"/>
          <w:szCs w:val="24"/>
        </w:rPr>
        <w:t xml:space="preserve">Digamos que esto, y a modo de ir finalizando la presentación, básicamente luego de todo ese contexto del porqué esta reliquidación, de cuál es el propósito que se busca, de cuál es el contenido del proyecto de acuerdo, también es contar un poquito qué es lo que hace la Administración para efecto de delimitar esa cartera, de reducirla, digamos que esto es interesante por cuanto se muestra que en el año 2024 y 2025 se han constituido títulos ejecutivos por cerca de 660 000 millones de pesos, que actualmente está en curso o está en la conformación de títulos por cerca de 700 000 millones de pesos; o sea, eso nos da en materia de Industria y Comercio, una cartera de 1.3 billones de pesos que se está gestionando para poderla enviar a cobro coactivo, que se adopten las medidas correspondientes, que estos son los que deben tener más interés en acogerse a esta reliquidación de la tasa de interés.</w:t>
      </w:r>
    </w:p>
    <w:p>
      <w:pPr>
        <w:spacing w:after="240" w:line="360"/>
        <w:jc w:val="both"/>
      </w:pPr>
      <w:r>
        <w:rPr>
          <w:rFonts w:ascii="Arial" w:cs="Arial" w:eastAsia="Arial" w:hAnsi="Arial"/>
          <w:sz w:val="24"/>
          <w:szCs w:val="24"/>
        </w:rPr>
        <w:t xml:space="preserve">En materia del Impuesto Predial se observa que durante años 2024 y 2025 se han trámitado o se han constituido títulos ejecutivos por cerca de 241 000 millones de pesos, que están próximos a analizarse y a remitirse otros títulos por cerca de 235 000 millones de pesos, que durante los meses de enero y febrero de 2026 entran en mora cerca de 396 000 millones de pesos que también se pueden tramitar.</w:t>
      </w:r>
    </w:p>
    <w:p>
      <w:pPr>
        <w:spacing w:after="240" w:line="360"/>
        <w:jc w:val="both"/>
      </w:pPr>
      <w:r>
        <w:rPr>
          <w:rFonts w:ascii="Arial" w:cs="Arial" w:eastAsia="Arial" w:hAnsi="Arial"/>
          <w:sz w:val="24"/>
          <w:szCs w:val="24"/>
        </w:rPr>
        <w:t xml:space="preserve">En las gestiones de cobro digamos que se han hecho dos etapas de embargo o congelamiento de productos financieros que han traído un impacto muy positivo de cerca de 24 000 millones de pesos, que se han hecho campañas de «Ponte al Día» que son persuasivas y de acercamiento al contribuyente, que han generado recaudos de cerca de 37 000 millones de pesos, los cuales son sumamente valiosos.</w:t>
      </w:r>
    </w:p>
    <w:p>
      <w:pPr>
        <w:spacing w:after="240" w:line="360"/>
        <w:jc w:val="both"/>
      </w:pPr>
      <w:r>
        <w:rPr>
          <w:rFonts w:ascii="Arial" w:cs="Arial" w:eastAsia="Arial" w:hAnsi="Arial"/>
          <w:sz w:val="24"/>
          <w:szCs w:val="24"/>
        </w:rPr>
        <w:t xml:space="preserve">Para efectos de consolidar los resultados que se esperan de este beneficio, digamos</w:t>
      </w:r>
    </w:p>
    <w:p>
      <w:pPr>
        <w:spacing w:after="240" w:line="360"/>
        <w:jc w:val="both"/>
      </w:pPr>
      <w:r>
        <w:rPr>
          <w:rFonts w:ascii="Arial" w:cs="Arial" w:eastAsia="Arial" w:hAnsi="Arial"/>
          <w:sz w:val="24"/>
          <w:szCs w:val="24"/>
        </w:rPr>
        <w:t xml:space="preserve">que la mayor recuperación son 113 000 millones de pesos, teniendo en cuenta todo lo que ya se señaló, que puede ser un porcentaje bajo frente a la cartera total, pero hay mucha de esa cartera que ya está castigada, y 113 000 millones de pesos es una cifra real, es muy significativa, que como ocurrió en el beneficio anterior, puede sobrepasar esas expectativas porque en este sprint corto que se viene de tres semanas ya tenemos todo un aprestamiento institucional, pedagógico y comunicacional para poder recaudar la mayor cantidad posible.</w:t>
      </w:r>
    </w:p>
    <w:p>
      <w:pPr>
        <w:spacing w:after="240" w:line="360"/>
        <w:jc w:val="both"/>
      </w:pPr>
      <w:r>
        <w:rPr>
          <w:rFonts w:ascii="Arial" w:cs="Arial" w:eastAsia="Arial" w:hAnsi="Arial"/>
          <w:sz w:val="24"/>
          <w:szCs w:val="24"/>
        </w:rPr>
        <w:t xml:space="preserve">De esta manera, básicamente a modo de conclusión, se busca sanear la cartera, fortalecer la gestión y darle una oportunidad a los contribuyentes de que se pongan al día con todas sus obligaciones”.</w:t>
      </w:r>
    </w:p>
    <w:p>
      <w:pPr>
        <w:spacing w:after="240" w:line="360"/>
        <w:jc w:val="both"/>
      </w:pPr>
      <w:r>
        <w:rPr>
          <w:rFonts w:ascii="Arial" w:cs="Arial" w:eastAsia="Arial" w:hAnsi="Arial"/>
          <w:sz w:val="24"/>
          <w:szCs w:val="24"/>
        </w:rPr>
        <w:t xml:space="preserve">Se sometió a votación nominal electrónica el informe de ponencia.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Jhair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Luis Guillermo de Jesús Vélez Álvarez</w:t>
      </w: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positivos. Fue aprobado.</w:t>
      </w:r>
    </w:p>
    <w:p>
      <w:pPr>
        <w:spacing w:after="240" w:line="360"/>
        <w:jc w:val="both"/>
      </w:pPr>
      <w:r>
        <w:rPr>
          <w:rFonts w:ascii="Arial" w:cs="Arial" w:eastAsia="Arial" w:hAnsi="Arial"/>
          <w:sz w:val="24"/>
          <w:szCs w:val="24"/>
        </w:rPr>
        <w:t xml:space="preserve">Articulado.</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Jhair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Luis Guillermo de Jesús Vélez Álvarez</w:t>
      </w: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positivos. Fue aprobado.</w:t>
      </w:r>
    </w:p>
    <w:p>
      <w:pPr>
        <w:spacing w:after="240" w:line="360"/>
        <w:jc w:val="both"/>
      </w:pPr>
      <w:r>
        <w:rPr>
          <w:rFonts w:ascii="Arial" w:cs="Arial" w:eastAsia="Arial" w:hAnsi="Arial"/>
          <w:sz w:val="24"/>
          <w:szCs w:val="24"/>
        </w:rPr>
        <w:t xml:space="preserve">Título. Se dio lectura: «Por medio del cual se adiciona el Acuerdo 093 de 2023 para la implementación de un descuento en la tasa de interés moratorio y otras disposiciones».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Jhair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Luis Guillermo de Jesús Vélez Álvarez</w:t>
      </w: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positivos.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ejercicio de sus facultades constitucionales y legales, en especial las conferidas por el Numeral 3 del Artículo 287 y el Numeral 4 del Artículo 313 de la Constitución Política, el Numeral 6 y el Parágrafo 2 del Artículo 32 de la Ley 136 de 1994, modificado por el Artículo 18 de la Ley 1551 de 2012, el Artículo 59 de la Ley 788 de 2002,</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María Paulina Suárez Roldán</w:t>
      </w:r>
    </w:p>
    <w:p>
      <w:pPr>
        <w:spacing w:after="240" w:line="360"/>
        <w:jc w:val="both"/>
      </w:pPr>
      <w:r>
        <w:rPr>
          <w:rFonts w:ascii="Arial" w:cs="Arial" w:eastAsia="Arial" w:hAnsi="Arial"/>
          <w:sz w:val="24"/>
          <w:szCs w:val="24"/>
        </w:rPr>
        <w:t xml:space="preserve">6.	Alejandro de Bedout Arango</w:t>
      </w:r>
    </w:p>
    <w:p>
      <w:pPr>
        <w:spacing w:after="240" w:line="360"/>
        <w:jc w:val="both"/>
      </w:pPr>
      <w:r>
        <w:rPr>
          <w:rFonts w:ascii="Arial" w:cs="Arial" w:eastAsia="Arial" w:hAnsi="Arial"/>
          <w:sz w:val="24"/>
          <w:szCs w:val="24"/>
        </w:rPr>
        <w:t xml:space="preserve">7.	Juan Carlos de la Cuesta Galvis</w:t>
      </w:r>
    </w:p>
    <w:p>
      <w:pPr>
        <w:spacing w:after="240" w:line="360"/>
        <w:jc w:val="both"/>
      </w:pPr>
      <w:r>
        <w:rPr>
          <w:rFonts w:ascii="Arial" w:cs="Arial" w:eastAsia="Arial" w:hAnsi="Arial"/>
          <w:sz w:val="24"/>
          <w:szCs w:val="24"/>
        </w:rPr>
        <w:t xml:space="preserve">8.	Santiago Narváez Lombana</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Camila Gaviria Barreneche</w:t>
      </w:r>
    </w:p>
    <w:p>
      <w:pPr>
        <w:spacing w:after="240" w:line="360"/>
        <w:jc w:val="both"/>
      </w:pPr>
      <w:r>
        <w:rPr>
          <w:rFonts w:ascii="Arial" w:cs="Arial" w:eastAsia="Arial" w:hAnsi="Arial"/>
          <w:sz w:val="24"/>
          <w:szCs w:val="24"/>
        </w:rPr>
        <w:t xml:space="preserve">11.	Janeth Hurtado Betancur</w:t>
      </w:r>
    </w:p>
    <w:p>
      <w:pPr>
        <w:spacing w:after="240" w:line="360"/>
        <w:jc w:val="both"/>
      </w:pPr>
      <w:r>
        <w:rPr>
          <w:rFonts w:ascii="Arial" w:cs="Arial" w:eastAsia="Arial" w:hAnsi="Arial"/>
          <w:sz w:val="24"/>
          <w:szCs w:val="24"/>
        </w:rPr>
        <w:t xml:space="preserve">12.	Farley Jhair Macías Betancur</w:t>
      </w:r>
    </w:p>
    <w:p>
      <w:pPr>
        <w:spacing w:after="240" w:line="360"/>
        <w:jc w:val="both"/>
      </w:pPr>
      <w:r>
        <w:rPr>
          <w:rFonts w:ascii="Arial" w:cs="Arial" w:eastAsia="Arial" w:hAnsi="Arial"/>
          <w:sz w:val="24"/>
          <w:szCs w:val="24"/>
        </w:rPr>
        <w:t xml:space="preserve">13.	José Luis Marín Mora</w:t>
      </w:r>
    </w:p>
    <w:p>
      <w:pPr>
        <w:spacing w:after="240" w:line="360"/>
        <w:jc w:val="both"/>
      </w:pPr>
      <w:r>
        <w:rPr>
          <w:rFonts w:ascii="Arial" w:cs="Arial" w:eastAsia="Arial" w:hAnsi="Arial"/>
          <w:sz w:val="24"/>
          <w:szCs w:val="24"/>
        </w:rPr>
        <w:t xml:space="preserve">14.	Alejandro Arias García</w:t>
      </w:r>
    </w:p>
    <w:p>
      <w:pPr>
        <w:spacing w:after="240" w:line="360"/>
        <w:jc w:val="both"/>
      </w:pPr>
      <w:r>
        <w:rPr>
          <w:rFonts w:ascii="Arial" w:cs="Arial" w:eastAsia="Arial" w:hAnsi="Arial"/>
          <w:sz w:val="24"/>
          <w:szCs w:val="24"/>
        </w:rPr>
        <w:t xml:space="preserve">15.	Miguel Ángel Iguarán Osorio</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Leticia Orrego Pérez</w:t>
      </w:r>
    </w:p>
    <w:p>
      <w:pPr>
        <w:spacing w:after="240" w:line="360"/>
        <w:jc w:val="both"/>
      </w:pPr>
      <w:r>
        <w:rPr>
          <w:rFonts w:ascii="Arial" w:cs="Arial" w:eastAsia="Arial" w:hAnsi="Arial"/>
          <w:sz w:val="24"/>
          <w:szCs w:val="24"/>
        </w:rPr>
        <w:t xml:space="preserve">18.	Luis Guillermo de Jesús Vélez Álvarez</w:t>
      </w: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positivos. Fue aprobado.</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No se presentaron intervenciones. La plenaria así lo quiso.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Se dio lectura a las siguientes proposiciones:</w:t>
      </w:r>
    </w:p>
    <w:p>
      <w:pPr>
        <w:spacing w:after="240" w:line="360"/>
        <w:jc w:val="both"/>
      </w:pPr>
      <w:r>
        <w:rPr>
          <w:rFonts w:ascii="Arial" w:cs="Arial" w:eastAsia="Arial" w:hAnsi="Arial"/>
          <w:sz w:val="24"/>
          <w:szCs w:val="24"/>
        </w:rPr>
        <w:t xml:space="preserve">5.1. Distinción Orden al mérito Don Juan del Corral, grado oro, a la Cooperativa de Transporte de Medellín, en múltiplos de cinco años.</w:t>
      </w:r>
    </w:p>
    <w:p>
      <w:pPr>
        <w:spacing w:after="240" w:line="360"/>
        <w:jc w:val="both"/>
      </w:pPr>
      <w:r>
        <w:rPr>
          <w:rFonts w:ascii="Arial" w:cs="Arial" w:eastAsia="Arial" w:hAnsi="Arial"/>
          <w:sz w:val="24"/>
          <w:szCs w:val="24"/>
        </w:rPr>
        <w:t xml:space="preserve">Iniciativa del concejal Miguel Ángel Iguarán Osorio, de la bancada de Coalición Juntos.</w:t>
      </w:r>
    </w:p>
    <w:p>
      <w:pPr>
        <w:spacing w:after="240" w:line="360"/>
        <w:jc w:val="both"/>
      </w:pPr>
      <w:r>
        <w:rPr>
          <w:rFonts w:ascii="Arial" w:cs="Arial" w:eastAsia="Arial" w:hAnsi="Arial"/>
          <w:sz w:val="24"/>
          <w:szCs w:val="24"/>
        </w:rPr>
        <w:t xml:space="preserve">5.2. Distinción Orden al mérito Don Juan del Corral, grado plata, a Humberto Antonio Olaya.</w:t>
      </w:r>
    </w:p>
    <w:p>
      <w:pPr>
        <w:spacing w:after="240" w:line="360"/>
        <w:jc w:val="both"/>
      </w:pPr>
      <w:r>
        <w:rPr>
          <w:rFonts w:ascii="Arial" w:cs="Arial" w:eastAsia="Arial" w:hAnsi="Arial"/>
          <w:sz w:val="24"/>
          <w:szCs w:val="24"/>
        </w:rPr>
        <w:t xml:space="preserve">Iniciativa del concejal Damián Pérez Arroyave, de la bancada del Partido Creemos.</w:t>
      </w:r>
    </w:p>
    <w:p>
      <w:pPr>
        <w:spacing w:after="240" w:line="360"/>
        <w:jc w:val="both"/>
      </w:pPr>
      <w:r>
        <w:rPr>
          <w:rFonts w:ascii="Arial" w:cs="Arial" w:eastAsia="Arial" w:hAnsi="Arial"/>
          <w:sz w:val="24"/>
          <w:szCs w:val="24"/>
        </w:rPr>
        <w:t xml:space="preserve">5.3. Distinción Orden al mérito Don Juan del Corral, grado plata, a la Facultad de Enfermería de la Universidad de Antioquia.</w:t>
      </w:r>
    </w:p>
    <w:p>
      <w:pPr>
        <w:spacing w:after="240" w:line="360"/>
        <w:jc w:val="both"/>
      </w:pPr>
      <w:r>
        <w:rPr>
          <w:rFonts w:ascii="Arial" w:cs="Arial" w:eastAsia="Arial" w:hAnsi="Arial"/>
          <w:sz w:val="24"/>
          <w:szCs w:val="24"/>
        </w:rPr>
        <w:t xml:space="preserve">Iniciativa del concejal Sebastián López Valencia, de la bancada del Partido Centro Democrático.</w:t>
      </w:r>
    </w:p>
    <w:p>
      <w:pPr>
        <w:spacing w:after="240" w:line="360"/>
        <w:jc w:val="both"/>
      </w:pPr>
      <w:r>
        <w:rPr>
          <w:rFonts w:ascii="Arial" w:cs="Arial" w:eastAsia="Arial" w:hAnsi="Arial"/>
          <w:sz w:val="24"/>
          <w:szCs w:val="24"/>
        </w:rPr>
        <w:t xml:space="preserve">5.4. Creación de comisión accidental para realizar seguimiento, control y buscar solución a las problemáticas de infraestructura y dotación tecnológica de la I.E Lola González Santa Lucia – comuna 12.</w:t>
      </w:r>
    </w:p>
    <w:p>
      <w:pPr>
        <w:spacing w:after="240" w:line="360"/>
        <w:jc w:val="both"/>
      </w:pPr>
      <w:r>
        <w:rPr>
          <w:rFonts w:ascii="Arial" w:cs="Arial" w:eastAsia="Arial" w:hAnsi="Arial"/>
          <w:sz w:val="24"/>
          <w:szCs w:val="24"/>
        </w:rPr>
        <w:t xml:space="preserve">Iniciativa del concejal Damián Pérez Arroyave, de la bancada del Partido Creemos.</w:t>
      </w:r>
    </w:p>
    <w:p>
      <w:pPr>
        <w:spacing w:before="400" w:after="200" w:line="360"/>
        <w:jc w:val="left"/>
      </w:pPr>
      <w:r>
        <w:rPr>
          <w:rFonts w:ascii="Arial" w:cs="Arial" w:eastAsia="Arial" w:hAnsi="Arial"/>
          <w:b/>
          <w:bCs/>
          <w:sz w:val="24"/>
          <w:szCs w:val="24"/>
        </w:rPr>
        <w:t xml:space="preserve">Intervino el concejal Brisvani Alexis Arenas Suaza, de la bancada del Partido Conservador, para suscribir la proposición.</w:t>
      </w:r>
    </w:p>
    <w:p>
      <w:pPr>
        <w:spacing w:after="24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“Me gustaría, presidente, si es posible, que la solicitud la haga José Luis, la cual acompañaré y luego nos permitiremos contextualizar un poco de qué se trata”.</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“Gracias al concejal Farley.</w:t>
      </w:r>
    </w:p>
    <w:p>
      <w:pPr>
        <w:spacing w:after="240" w:line="360"/>
        <w:jc w:val="both"/>
      </w:pPr>
      <w:r>
        <w:rPr>
          <w:rFonts w:ascii="Arial" w:cs="Arial" w:eastAsia="Arial" w:hAnsi="Arial"/>
          <w:sz w:val="24"/>
          <w:szCs w:val="24"/>
        </w:rPr>
        <w:t xml:space="preserve">El día de ayer en las horas de la noche ha muerto Yerson, que no le gustaba que le dijeran «Yerson», estaba en proceso de cambiar su nombre en la cédula por «cannábico objetor insumiso», llevaba más o menos un mes en una difícil situación médica, acompañado de su madre, doña Marta, a quien acompañamos.</w:t>
      </w:r>
    </w:p>
    <w:p>
      <w:pPr>
        <w:spacing w:after="240" w:line="360"/>
        <w:jc w:val="both"/>
      </w:pPr>
      <w:r>
        <w:rPr>
          <w:rFonts w:ascii="Arial" w:cs="Arial" w:eastAsia="Arial" w:hAnsi="Arial"/>
          <w:sz w:val="24"/>
          <w:szCs w:val="24"/>
        </w:rPr>
        <w:t xml:space="preserve">Cannábico fue un hombre que hizo de su vida un acto de rebeldía, que llevó en su cuerpo todas sus peleas, todas sus disputas. La primera vez que compartí con él fue una invitación que me hizo pararnos frente a un bus para evitar que el Ejército reclutara por la fuerza a jóvenes en el Centro de la ciudad, en el marco de las batidas ilegales que realizaba el Ejército en Medellín, y estuvimos parados frente a un bus sacando pelados por la ventana, luego estuvimos en infinidad de cantidad de movilizaciones, de acciones políticas.</w:t>
      </w:r>
    </w:p>
    <w:p>
      <w:pPr>
        <w:spacing w:after="240" w:line="360"/>
        <w:jc w:val="both"/>
      </w:pPr>
      <w:r>
        <w:rPr>
          <w:rFonts w:ascii="Arial" w:cs="Arial" w:eastAsia="Arial" w:hAnsi="Arial"/>
          <w:sz w:val="24"/>
          <w:szCs w:val="24"/>
        </w:rPr>
        <w:t xml:space="preserve">Un hombre formado en los barrios populares de Medellín, un hombre formado por una mamá amorosa, por un movimiento social que lo quiso mucho y que yo francamente quise mucho a Cannábico y lamento mucho su muerte”.</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“Me uno en solidaridad a las palabras que manifiesta el compañero José Luis Marín. Yerson González, habitante de la comuna 1 – Popular, del barrio San Pablo, hijo de Marta Marulanda. Lo conocí cuando era un CMJ (Consejo Municipal de Juventud) suplente y me entregó uno de sus discursos que titulaba «CMJs, párvulos de la politiquería paisana tradicional». Siempre disruptivo, siempre crítico, pero siempre un aliado de los jóvenes para reivindicar sus luchas, sus derechos y, sobre todo, se enfocó mucho en un trabajo para evitar la militarización de los territorios, el servicio militar obligatorio, y nos deja un gran legado y lección en el territorio nororiental, donde lo recordaremos por su empuje, por su vehemencia, por su andreía.</w:t>
      </w:r>
    </w:p>
    <w:p>
      <w:pPr>
        <w:spacing w:after="240" w:line="360"/>
        <w:jc w:val="both"/>
      </w:pPr>
      <w:r>
        <w:rPr>
          <w:rFonts w:ascii="Arial" w:cs="Arial" w:eastAsia="Arial" w:hAnsi="Arial"/>
          <w:sz w:val="24"/>
          <w:szCs w:val="24"/>
        </w:rPr>
        <w:t xml:space="preserve">Muchas gracias y le pedimos un minuto de silencio”.</w:t>
      </w:r>
    </w:p>
    <w:p>
      <w:pPr>
        <w:spacing w:before="400" w:after="200" w:line="360"/>
        <w:jc w:val="left"/>
      </w:pPr>
      <w:r>
        <w:rPr>
          <w:rFonts w:ascii="Arial" w:cs="Arial" w:eastAsia="Arial" w:hAnsi="Arial"/>
          <w:b/>
          <w:bCs/>
          <w:sz w:val="24"/>
          <w:szCs w:val="24"/>
        </w:rPr>
        <w:t xml:space="preserve">Intervino el personero Distrital, Mefi Boset Rave Gómez:</w:t>
      </w:r>
    </w:p>
    <w:p>
      <w:pPr>
        <w:spacing w:after="240" w:line="300"/>
        <w:ind w:left="720" w:right="720"/>
        <w:jc w:val="both"/>
      </w:pPr>
      <w:r>
        <w:rPr>
          <w:rFonts w:ascii="Arial" w:cs="Arial" w:eastAsia="Arial" w:hAnsi="Arial"/>
          <w:sz w:val="22"/>
          <w:szCs w:val="22"/>
        </w:rPr>
        <w:t xml:space="preserve">“Como personero distrital unirme a ese minuto de silencio frente a quien conocimos en vida como «cannábico», lo conocí en la realización de mi tesis de grado de abogado, la cual se llamó, gracias a él, «La objeción de conciencia como derecho fundamental frente al servicio militar obligatorio»”.Minuto de silencio.Agotado el orden del día, el vicepresidente Primero levantó la sesión siendo las 12:36 horas.</w:t>
      </w:r>
    </w:p>
    <w:p>
      <w:pPr>
        <w:spacing w:after="240" w:line="360"/>
        <w:jc w:val="both"/>
      </w:pPr>
      <w:r>
        <w:rPr>
          <w:rFonts w:ascii="Arial" w:cs="Arial" w:eastAsia="Arial" w:hAnsi="Arial"/>
          <w:sz w:val="24"/>
          <w:szCs w:val="24"/>
        </w:rPr>
        <w:t xml:space="preserve">CONVOCATORIA: la próxima sesión plenaria se realizará el lunes 1 de diciembre de 2025 a las 14:00 horas, en el recinto oficial de sesiones del Concejo Distrital de Medellín.</w:t>
      </w:r>
    </w:p>
    <w:p>
      <w:pPr>
        <w:spacing w:before="600" w:after="300"/>
        <w:jc w:val="center"/>
      </w:pPr>
      <w:r>
        <w:rPr>
          <w:rFonts w:ascii="Arial" w:cs="Arial" w:eastAsia="Arial" w:hAnsi="Arial"/>
          <w:b/>
          <w:bCs/>
          <w:sz w:val="24"/>
          <w:szCs w:val="24"/>
        </w:rPr>
        <w:t xml:space="preserve">SANTIAGO PERDOMO MONTOYA                   JUAN CAMILO ARREDONDO B</w:t>
      </w:r>
    </w:p>
    <w:p>
      <w:pPr>
        <w:spacing w:after="240" w:line="360"/>
        <w:jc w:val="both"/>
      </w:pPr>
      <w:r>
        <w:rPr>
          <w:rFonts w:ascii="Arial" w:cs="Arial" w:eastAsia="Arial" w:hAnsi="Arial"/>
          <w:sz w:val="24"/>
          <w:szCs w:val="24"/>
        </w:rPr>
        <w:t xml:space="preserve">Vicepresidente Primero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https://www.youtube.com/watch?v=e914Nfpze7g.</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 Invitaciones (7 folios)Memorando convocatoria segundo debate Proyectos de Acuerdo 069 de 2025, 070 de 2025 y 047 de 2025 (4 folios)Registro votación Informe Ponencia Proyecto de Acuerdo 70 2025 (2 folios)Registro votación Articulado Proyecto de Acuerdo 70 2025 (2 folios)Registro votación Título Proyecto de Acuerdo 70 2025 (2 folios)Registro votación Preámbulo Proyecto de Acuerdo 70 2025 (2 folios)Proposición de distinción Orden al Mérito Don Juan del Corral, grado Plata, a Humberto Antonio Olaya. (1 folio)Proposición de distinción Orden al Mérito Don Juan del Corral, grado Plata, a la Universidad de Antioquia – Facultad de Enfermería (1 folio)Proposición de distinción Orden al Mérito Don Juan del Corral, grado Oro, a la Cooperativa de transporte de Medellín. (1 folio)Proposición de Comisión Accidental para «realizar seguimiento, control y buscar solución a las problemáticas de infraestructura y dotación tecnológica de la I.E Lola González (Santa Lucía - Comuna 12)» (1 folio)Informe parcial No.1 comisión especial de vigilancia y control (7 folios)Audio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368 -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511f63e0b869d9251b2a170916a8a8be0b9f01eb.undefined"/><Relationship Id="rId10" Type="http://schemas.openxmlformats.org/officeDocument/2006/relationships/image" Target="media/4d998b4319cfe48829059c9d76bfd98fad4bbc61.undefined"/><Relationship Id="rId11" Type="http://schemas.openxmlformats.org/officeDocument/2006/relationships/image" Target="media/0a238e2f057732171ac1894da19391fb7d12c7c2.undefined"/><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2026-02-03T19:13:40.198Z</dcterms:created>
  <dcterms:modified xsi:type="dcterms:W3CDTF">2026-02-03T19:13:40.198Z</dcterms:modified>
</cp:coreProperties>
</file>

<file path=docProps/custom.xml><?xml version="1.0" encoding="utf-8"?>
<Properties xmlns="http://schemas.openxmlformats.org/officeDocument/2006/custom-properties" xmlns:vt="http://schemas.openxmlformats.org/officeDocument/2006/docPropsVTypes"/>
</file>