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00843D"/>
          <w:sz w:val="24"/>
        </w:rPr>
        <w:t>ALIANZA UNIVERSITARIA CÁTEDRA G8 · AGENDA ANTIOQUIA 2040</w:t>
        <w:br/>
      </w:r>
      <w:r>
        <w:rPr>
          <w:rFonts w:ascii="Arial" w:hAnsi="Arial"/>
          <w:color w:val="475569"/>
          <w:sz w:val="20"/>
        </w:rPr>
        <w:t>Universidad EAFIT · Universidad de Antioquia (UdeA) · Universidad Pontificia Bolivariana (UPB) · Corporación Universitaria Lasallista</w:t>
        <w:br/>
        <w:t>Ética, Regulación y Tecnología en la Era de la Inteligencia Artificial</w:t>
      </w:r>
    </w:p>
    <w:p>
      <w:pPr>
        <w:spacing w:before="560" w:after="240"/>
        <w:jc w:val="center"/>
      </w:pPr>
      <w:r>
        <w:rPr>
          <w:rFonts w:ascii="Arial" w:hAnsi="Arial"/>
          <w:b/>
          <w:color w:val="041F13"/>
          <w:sz w:val="33"/>
        </w:rPr>
        <w:t>JUSTICIA WHATSAPP (v2.5): HARNESS AGÉNTICO MULTIMODAL Y MOTOR FORMAL DE SUBSUNCIÓN CONSTITUCIONAL S(K) = &lt;H, E, T, V&gt; PARA EL ACCESO A LA JUSTICIA Y LA PERMANENCIA ESTUDIANTIL EN LOS 125 MUNICIPIOS DE ANTIOQUIA</w:t>
      </w:r>
    </w:p>
    <w:p>
      <w:pPr>
        <w:spacing w:before="0" w:after="440"/>
        <w:jc w:val="center"/>
      </w:pPr>
      <w:r>
        <w:rPr>
          <w:rFonts w:ascii="Arial" w:hAnsi="Arial"/>
          <w:i/>
          <w:color w:val="9A6F0B"/>
          <w:sz w:val="23"/>
        </w:rPr>
        <w:t>Informe Técnico, Sociojurídico y Ético de Investigación Formativa y Validación Empírica de Prototipo en Fase Avanzada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3120"/>
        <w:gridCol w:w="3120"/>
        <w:gridCol w:w="3120"/>
      </w:tblGrid>
      <w:tr>
        <w:tc>
          <w:tcPr>
            <w:tcW w:type="dxa" w:w="3120"/>
            <w:vAlign w:val="center"/>
            <w:shd w:fill="041F13"/>
            <w:tcMar>
              <w:top w:w="140" w:type="dxa"/>
              <w:bottom w:w="140" w:type="dxa"/>
              <w:left w:w="140" w:type="dxa"/>
              <w:right w:w="140" w:type="dxa"/>
            </w:tcMar>
          </w:tcPr>
          <w:p>
            <w:pPr>
              <w:spacing w:before="0" w:after="0"/>
            </w:pPr>
            <w:r>
              <w:rPr>
                <w:rFonts w:ascii="Arial" w:hAnsi="Arial"/>
                <w:b/>
                <w:color w:val="FFFFFF"/>
                <w:sz w:val="19"/>
              </w:rPr>
              <w:t>Integrante / Equipo Interdisciplinario</w:t>
            </w:r>
          </w:p>
        </w:tc>
        <w:tc>
          <w:tcPr>
            <w:tcW w:type="dxa" w:w="3120"/>
            <w:vAlign w:val="center"/>
            <w:shd w:fill="041F13"/>
            <w:tcMar>
              <w:top w:w="140" w:type="dxa"/>
              <w:bottom w:w="140" w:type="dxa"/>
              <w:left w:w="140" w:type="dxa"/>
              <w:right w:w="140" w:type="dxa"/>
            </w:tcMar>
          </w:tcPr>
          <w:p>
            <w:pPr>
              <w:spacing w:before="0" w:after="0"/>
            </w:pPr>
            <w:r>
              <w:rPr>
                <w:rFonts w:ascii="Arial" w:hAnsi="Arial"/>
                <w:b/>
                <w:color w:val="FFFFFF"/>
                <w:sz w:val="19"/>
              </w:rPr>
              <w:t>Disciplina &amp; Filiación G8</w:t>
            </w:r>
          </w:p>
        </w:tc>
        <w:tc>
          <w:tcPr>
            <w:tcW w:type="dxa" w:w="3120"/>
            <w:vAlign w:val="center"/>
            <w:shd w:fill="041F13"/>
            <w:tcMar>
              <w:top w:w="140" w:type="dxa"/>
              <w:bottom w:w="140" w:type="dxa"/>
              <w:left w:w="140" w:type="dxa"/>
              <w:right w:w="140" w:type="dxa"/>
            </w:tcMar>
          </w:tcPr>
          <w:p>
            <w:pPr>
              <w:spacing w:before="0" w:after="0"/>
            </w:pPr>
            <w:r>
              <w:rPr>
                <w:rFonts w:ascii="Arial" w:hAnsi="Arial"/>
                <w:b/>
                <w:color w:val="FFFFFF"/>
                <w:sz w:val="19"/>
              </w:rPr>
              <w:t>Aporte Teórico y Técnico en el Proyecto</w:t>
            </w:r>
          </w:p>
        </w:tc>
      </w:tr>
      <w:tr>
        <w:tc>
          <w:tcPr>
            <w:tcW w:type="dxa" w:w="3120"/>
            <w:vAlign w:val="center"/>
            <w:shd w:fill="FFFFFF"/>
            <w:tcMar>
              <w:top w:w="110" w:type="dxa"/>
              <w:bottom w:w="110" w:type="dxa"/>
              <w:left w:w="140" w:type="dxa"/>
              <w:right w:w="140" w:type="dxa"/>
            </w:tcMar>
          </w:tcPr>
          <w:p>
            <w:pPr>
              <w:spacing w:before="0" w:after="0" w:line="283" w:lineRule="auto"/>
            </w:pPr>
            <w:r>
              <w:rPr>
                <w:rFonts w:ascii="Arial" w:hAnsi="Arial"/>
                <w:b/>
                <w:color w:val="061A11"/>
                <w:sz w:val="19"/>
              </w:rPr>
              <w:t>Juan Esteban Gómez Bernal (@DOMINUSBABEL)</w:t>
            </w:r>
          </w:p>
        </w:tc>
        <w:tc>
          <w:tcPr>
            <w:tcW w:type="dxa" w:w="3120"/>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Derecho &amp; Sistemas Cognitivos — Universidad EAFIT</w:t>
            </w:r>
          </w:p>
        </w:tc>
        <w:tc>
          <w:tcPr>
            <w:tcW w:type="dxa" w:w="3120"/>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Arquitectura del Harness Agéntico, Modelo Matemático de Subsunción S(K) = &lt;H,E,T,V&gt;, Grounding Jurisprudencial y Gobernanza Ética</w:t>
            </w:r>
          </w:p>
        </w:tc>
      </w:tr>
      <w:tr>
        <w:tc>
          <w:tcPr>
            <w:tcW w:type="dxa" w:w="3120"/>
            <w:vAlign w:val="center"/>
            <w:shd w:fill="F5F9F7"/>
            <w:tcMar>
              <w:top w:w="110" w:type="dxa"/>
              <w:bottom w:w="110" w:type="dxa"/>
              <w:left w:w="140" w:type="dxa"/>
              <w:right w:w="140" w:type="dxa"/>
            </w:tcMar>
          </w:tcPr>
          <w:p>
            <w:pPr>
              <w:spacing w:before="0" w:after="0" w:line="283" w:lineRule="auto"/>
            </w:pPr>
            <w:r>
              <w:rPr>
                <w:rFonts w:ascii="Arial" w:hAnsi="Arial"/>
                <w:b/>
                <w:color w:val="061A11"/>
                <w:sz w:val="19"/>
              </w:rPr>
              <w:t>Juliana Ibarra Riascos</w:t>
            </w:r>
          </w:p>
        </w:tc>
        <w:tc>
          <w:tcPr>
            <w:tcW w:type="dxa" w:w="3120"/>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Escuela de Administración — Universidad EAFIT</w:t>
            </w:r>
          </w:p>
        </w:tc>
        <w:tc>
          <w:tcPr>
            <w:tcW w:type="dxa" w:w="3120"/>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Modelado de Sostenibilidad Financiera (TCO = $0.0057 USD/caso), Costos de Transacción y Articulación Territorial Agenda Antioquia 2040</w:t>
            </w:r>
          </w:p>
        </w:tc>
      </w:tr>
      <w:tr>
        <w:tc>
          <w:tcPr>
            <w:tcW w:type="dxa" w:w="3120"/>
            <w:vAlign w:val="center"/>
            <w:shd w:fill="FFFFFF"/>
            <w:tcMar>
              <w:top w:w="110" w:type="dxa"/>
              <w:bottom w:w="110" w:type="dxa"/>
              <w:left w:w="140" w:type="dxa"/>
              <w:right w:w="140" w:type="dxa"/>
            </w:tcMar>
          </w:tcPr>
          <w:p>
            <w:pPr>
              <w:spacing w:before="0" w:after="0" w:line="283" w:lineRule="auto"/>
            </w:pPr>
            <w:r>
              <w:rPr>
                <w:rFonts w:ascii="Arial" w:hAnsi="Arial"/>
                <w:b/>
                <w:color w:val="061A11"/>
                <w:sz w:val="19"/>
              </w:rPr>
              <w:t>Equipo de Ingeniería de Sistemas &amp; Telecomunicaciones</w:t>
            </w:r>
          </w:p>
        </w:tc>
        <w:tc>
          <w:tcPr>
            <w:tcW w:type="dxa" w:w="3120"/>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Ingeniería de Sistemas — UPB / Red G8</w:t>
            </w:r>
          </w:p>
        </w:tc>
        <w:tc>
          <w:tcPr>
            <w:tcW w:type="dxa" w:w="3120"/>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Pasarela WebSockets (@whiskeysockets/baileys), Auto-Healer del Protocolo Criptográfico Signal, API REST y Motor Web Client-Side</w:t>
            </w:r>
          </w:p>
        </w:tc>
      </w:tr>
      <w:tr>
        <w:tc>
          <w:tcPr>
            <w:tcW w:type="dxa" w:w="3120"/>
            <w:vAlign w:val="center"/>
            <w:shd w:fill="F5F9F7"/>
            <w:tcMar>
              <w:top w:w="110" w:type="dxa"/>
              <w:bottom w:w="110" w:type="dxa"/>
              <w:left w:w="140" w:type="dxa"/>
              <w:right w:w="140" w:type="dxa"/>
            </w:tcMar>
          </w:tcPr>
          <w:p>
            <w:pPr>
              <w:spacing w:before="0" w:after="0" w:line="283" w:lineRule="auto"/>
            </w:pPr>
            <w:r>
              <w:rPr>
                <w:rFonts w:ascii="Arial" w:hAnsi="Arial"/>
                <w:b/>
                <w:color w:val="061A11"/>
                <w:sz w:val="19"/>
              </w:rPr>
              <w:t>Equipo de Comunicación Digital, Psicología &amp; UX</w:t>
            </w:r>
          </w:p>
        </w:tc>
        <w:tc>
          <w:tcPr>
            <w:tcW w:type="dxa" w:w="3120"/>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Psicología &amp; Comunicación — Unilasallista / UdeA</w:t>
            </w:r>
          </w:p>
        </w:tc>
        <w:tc>
          <w:tcPr>
            <w:tcW w:type="dxa" w:w="3120"/>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Adaptador Diafásico (Lenguaje Claro Rural vs. Técnico), Filtro Anti-Slop y Léxico No Patologizante en Salud Mental (Ley 1616 de 2013)</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4FBF7"/>
            <w:tcMar>
              <w:top w:w="160" w:type="dxa"/>
              <w:bottom w:w="160" w:type="dxa"/>
              <w:left w:w="220" w:type="dxa"/>
              <w:right w:w="200" w:type="dxa"/>
            </w:tcMar>
            <w:tcBorders>
              <w:left w:val="single" w:sz="24" w:space="0" w:color="00843D"/>
              <w:top w:val="single" w:sz="4" w:space="0" w:color="D1FAE5"/>
              <w:right w:val="single" w:sz="4" w:space="0" w:color="D1FAE5"/>
              <w:bottom w:val="single" w:sz="4" w:space="0" w:color="D1FAE5"/>
            </w:tcBorders>
          </w:tcPr>
          <w:p>
            <w:pPr>
              <w:spacing w:before="40" w:after="120"/>
            </w:pPr>
            <w:r>
              <w:rPr>
                <w:rFonts w:ascii="Arial" w:hAnsi="Arial"/>
                <w:b/>
                <w:color w:val="006B31"/>
                <w:sz w:val="22"/>
              </w:rPr>
              <w:t>ECOSISTEMA DEL PROTOTIPO DESPLEGADO EN VIVO (VERIFICACIÓN INMEDIATA PARA EVALUADORES)</w:t>
            </w:r>
          </w:p>
          <w:p>
            <w:pPr>
              <w:spacing w:before="40" w:after="80" w:line="300" w:lineRule="auto"/>
            </w:pPr>
            <w:r>
              <w:rPr>
                <w:rFonts w:ascii="Arial" w:hAnsi="Arial"/>
                <w:color w:val="0F172A"/>
                <w:sz w:val="21"/>
              </w:rPr>
              <w:t>• Plataforma Web Interactiva &amp; Estudio Analítico en Vivo:  https://babylonias.com/justicia-whatsapp/</w:t>
            </w:r>
          </w:p>
          <w:p>
            <w:pPr>
              <w:spacing w:before="40" w:after="80" w:line="300" w:lineRule="auto"/>
            </w:pPr>
            <w:r>
              <w:rPr>
                <w:rFonts w:ascii="Arial" w:hAnsi="Arial"/>
                <w:color w:val="0F172A"/>
                <w:sz w:val="21"/>
              </w:rPr>
              <w:t>• Panel de Demos &amp; Desarrollos (Lanzador en Monitor):      https://babylonias.com/#panel-demo  (https://babylonias.com/#justicia-whatsapp)</w:t>
            </w:r>
          </w:p>
          <w:p>
            <w:pPr>
              <w:spacing w:before="40" w:after="80" w:line="300" w:lineRule="auto"/>
            </w:pPr>
            <w:r>
              <w:rPr>
                <w:rFonts w:ascii="Arial" w:hAnsi="Arial"/>
                <w:color w:val="0F172A"/>
                <w:sz w:val="21"/>
              </w:rPr>
              <w:t>• Repositorio Oficial Open-Source (Código + 13 Tests):     https://github.com/DOMINUSBABEL/justicia-whatsapp</w:t>
            </w:r>
          </w:p>
          <w:p>
            <w:pPr>
              <w:spacing w:before="40" w:after="80" w:line="300" w:lineRule="auto"/>
            </w:pPr>
            <w:r>
              <w:rPr>
                <w:rFonts w:ascii="Arial" w:hAnsi="Arial"/>
                <w:color w:val="0F172A"/>
                <w:sz w:val="21"/>
              </w:rPr>
              <w:t>• Paquete Descargable Autocontenido (ZIP):                 https://babylonias.com/downloads/JusticIA-WhatsApp-Antioquia-2040.zip</w:t>
            </w:r>
          </w:p>
          <w:p>
            <w:pPr>
              <w:spacing w:before="40" w:after="80" w:line="300" w:lineRule="auto"/>
            </w:pPr>
            <w:r>
              <w:rPr>
                <w:rFonts w:ascii="Arial" w:hAnsi="Arial"/>
                <w:color w:val="0F172A"/>
                <w:sz w:val="21"/>
              </w:rPr>
              <w:t>• Fecha de Entrega Académica:                              17 de octubre de 2026 (11:59 p.m.)</w:t>
            </w:r>
          </w:p>
        </w:tc>
      </w:tr>
    </w:tbl>
    <w:p>
      <w:pPr>
        <w:spacing w:before="0" w:after="120"/>
      </w:pPr>
    </w:p>
    <w:p>
      <w:r>
        <w:br w:type="page"/>
      </w:r>
    </w:p>
    <w:p>
      <w:pPr>
        <w:keepNext/>
        <w:spacing w:before="360" w:after="160"/>
        <w:pBdr>
          <w:bottom w:val="single" w:sz="12" w:space="4" w:color="00843D"/>
        </w:pBdr>
      </w:pPr>
      <w:r>
        <w:rPr>
          <w:rFonts w:ascii="Arial" w:hAnsi="Arial"/>
          <w:b/>
          <w:color w:val="041F13"/>
          <w:sz w:val="30"/>
        </w:rPr>
        <w:t>0. Resumen Ejecutivo y Matriz de Trazabilidad Evaluativa</w:t>
      </w:r>
    </w:p>
    <w:p>
      <w:pPr>
        <w:spacing w:before="0" w:after="160" w:line="324" w:lineRule="auto"/>
        <w:jc w:val="both"/>
      </w:pPr>
      <w:r>
        <w:rPr>
          <w:rFonts w:ascii="Arial" w:hAnsi="Arial"/>
          <w:color w:val="1E293B"/>
          <w:sz w:val="22"/>
        </w:rPr>
        <w:t>El acceso material a la justicia constitucional y a los mecanismos de permanencia estudiantil en Colombia enfrenta una paradoja estructural: aunque la Constitución Política de 1991 consagró instrumentos procesales formalmente informales y preferentes —como la Acción de Tutela (Art. 86 C.P.) y el Derecho Fundamental de Petición (Art. 23 C.P., regulado por la Ley Estatutaria 1755 de 2015)—, más del 64% de las solicitudes redactadas sin acompañamiento técnico en municipios rurales o por estudiantes en situación de crisis emocional sufren inadmisiones, rechazos o dilaciones procesales. Las causas principales de esta brecha son cuatro: (i) la asimetría geográfica en los 63.612 km² de las nueve subregiones de Antioquia; (ii) el déficit de suficiencia probatoria mínima y de subsunción normativa; (iii) la estigmatización psiquiátrica o la inclusión involuntaria de cláusulas de auto-suspensión en solicitudes académicas; y (iv) el fracaso de los chatbots convencionales basados en Modelos de Lenguaje de Gran Escala (LLMs) genéricos, que alucinan precedentes, exceden la capacidad de lectura de los despachos judiciales y vulneran la privacidad de datos sensibles.</w:t>
      </w:r>
    </w:p>
    <w:p>
      <w:pPr>
        <w:spacing w:before="0" w:after="160" w:line="324" w:lineRule="auto"/>
        <w:jc w:val="both"/>
      </w:pPr>
      <w:r>
        <w:rPr>
          <w:rFonts w:ascii="Arial" w:hAnsi="Arial"/>
          <w:color w:val="1E293B"/>
          <w:sz w:val="22"/>
        </w:rPr>
        <w:t>Para resolver este problema desde una perspectiva interdisciplinaria rigurosa, este trabajo presenta el diseño teórico, la justificación ética, la investigación formativa y la validación empírica en producción de JusticIA WhatsApp (versión 2.5): un Harness Agéntico Multimodal de código abierto y un Estudio Web de Subsunción y Analítica Territorial diseñado para la Agenda Antioquia 2040 y la Red Universitaria Cátedra G8. A diferencia de los chatbots reactivos tradicionales, JusticIA formaliza la decisión jurídica mediante la cuádrupla matemática S(K) = &lt;H, E, T, V&gt;, incorpora un filtro lingüístico Anti-Slop y de Léxico No Patologizante conforme a la Ley 1616 de 2013, audita algorítmicamente un límite máximo de 3 páginas (1.150 palabras) por minuta y enruta automáticamente los expedientes hacia los juzgados y personerías de los 125 municipios de Antioquia y los Consejos de Facultad de las 8 universidades del G8 a un costo marginal verificado de $0.0057 USD ($24 COP) por caso.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3120"/>
        <w:gridCol w:w="3120"/>
        <w:gridCol w:w="3120"/>
      </w:tblGrid>
      <w:tr>
        <w:tc>
          <w:tcPr>
            <w:tcW w:type="dxa" w:w="3120"/>
            <w:vAlign w:val="center"/>
            <w:shd w:fill="041F13"/>
            <w:tcMar>
              <w:top w:w="140" w:type="dxa"/>
              <w:bottom w:w="140" w:type="dxa"/>
              <w:left w:w="140" w:type="dxa"/>
              <w:right w:w="140" w:type="dxa"/>
            </w:tcMar>
          </w:tcPr>
          <w:p>
            <w:pPr>
              <w:spacing w:before="0" w:after="0"/>
            </w:pPr>
            <w:r>
              <w:rPr>
                <w:rFonts w:ascii="Arial" w:hAnsi="Arial"/>
                <w:b/>
                <w:color w:val="FFFFFF"/>
                <w:sz w:val="19"/>
              </w:rPr>
              <w:t>Criterio de Evaluación</w:t>
            </w:r>
          </w:p>
        </w:tc>
        <w:tc>
          <w:tcPr>
            <w:tcW w:type="dxa" w:w="3120"/>
            <w:vAlign w:val="center"/>
            <w:shd w:fill="041F13"/>
            <w:tcMar>
              <w:top w:w="140" w:type="dxa"/>
              <w:bottom w:w="140" w:type="dxa"/>
              <w:left w:w="140" w:type="dxa"/>
              <w:right w:w="140" w:type="dxa"/>
            </w:tcMar>
          </w:tcPr>
          <w:p>
            <w:pPr>
              <w:spacing w:before="0" w:after="0"/>
            </w:pPr>
            <w:r>
              <w:rPr>
                <w:rFonts w:ascii="Arial" w:hAnsi="Arial"/>
                <w:b/>
                <w:color w:val="FFFFFF"/>
                <w:sz w:val="19"/>
              </w:rPr>
              <w:t>Peso (%)</w:t>
            </w:r>
          </w:p>
        </w:tc>
        <w:tc>
          <w:tcPr>
            <w:tcW w:type="dxa" w:w="3120"/>
            <w:vAlign w:val="center"/>
            <w:shd w:fill="041F13"/>
            <w:tcMar>
              <w:top w:w="140" w:type="dxa"/>
              <w:bottom w:w="140" w:type="dxa"/>
              <w:left w:w="140" w:type="dxa"/>
              <w:right w:w="140" w:type="dxa"/>
            </w:tcMar>
          </w:tcPr>
          <w:p>
            <w:pPr>
              <w:spacing w:before="0" w:after="0"/>
            </w:pPr>
            <w:r>
              <w:rPr>
                <w:rFonts w:ascii="Arial" w:hAnsi="Arial"/>
                <w:b/>
                <w:color w:val="FFFFFF"/>
                <w:sz w:val="19"/>
              </w:rPr>
              <w:t>Sección del Documento y Evidencia Verificable Aportada</w:t>
            </w:r>
          </w:p>
        </w:tc>
      </w:tr>
      <w:tr>
        <w:tc>
          <w:tcPr>
            <w:tcW w:type="dxa" w:w="3120"/>
            <w:vAlign w:val="center"/>
            <w:shd w:fill="FFFFFF"/>
            <w:tcMar>
              <w:top w:w="110" w:type="dxa"/>
              <w:bottom w:w="110" w:type="dxa"/>
              <w:left w:w="140" w:type="dxa"/>
              <w:right w:w="140" w:type="dxa"/>
            </w:tcMar>
          </w:tcPr>
          <w:p>
            <w:pPr>
              <w:spacing w:before="0" w:after="0" w:line="283" w:lineRule="auto"/>
            </w:pPr>
            <w:r>
              <w:rPr>
                <w:rFonts w:ascii="Arial" w:hAnsi="Arial"/>
                <w:b/>
                <w:color w:val="061A11"/>
                <w:sz w:val="19"/>
              </w:rPr>
              <w:t>1. Rigor investigativo</w:t>
            </w:r>
          </w:p>
        </w:tc>
        <w:tc>
          <w:tcPr>
            <w:tcW w:type="dxa" w:w="3120"/>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20%</w:t>
            </w:r>
          </w:p>
        </w:tc>
        <w:tc>
          <w:tcPr>
            <w:tcW w:type="dxa" w:w="3120"/>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Secciones 1 y 2: Marco teórico interdisciplinario (Ingeniería de Sistemas/IA, Derecho Constitucional, Comunicación Digital/Psicolingüística y Administración Pública), revisión sistemática de literatura (26 referencias APA 7) y benchmarking técnico-económico.</w:t>
            </w:r>
          </w:p>
        </w:tc>
      </w:tr>
      <w:tr>
        <w:tc>
          <w:tcPr>
            <w:tcW w:type="dxa" w:w="3120"/>
            <w:vAlign w:val="center"/>
            <w:shd w:fill="F5F9F7"/>
            <w:tcMar>
              <w:top w:w="110" w:type="dxa"/>
              <w:bottom w:w="110" w:type="dxa"/>
              <w:left w:w="140" w:type="dxa"/>
              <w:right w:w="140" w:type="dxa"/>
            </w:tcMar>
          </w:tcPr>
          <w:p>
            <w:pPr>
              <w:spacing w:before="0" w:after="0" w:line="283" w:lineRule="auto"/>
            </w:pPr>
            <w:r>
              <w:rPr>
                <w:rFonts w:ascii="Arial" w:hAnsi="Arial"/>
                <w:b/>
                <w:color w:val="061A11"/>
                <w:sz w:val="19"/>
              </w:rPr>
              <w:t>2. Justificación ética</w:t>
            </w:r>
          </w:p>
        </w:tc>
        <w:tc>
          <w:tcPr>
            <w:tcW w:type="dxa" w:w="3120"/>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20%</w:t>
            </w:r>
          </w:p>
        </w:tc>
        <w:tc>
          <w:tcPr>
            <w:tcW w:type="dxa" w:w="3120"/>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Sección 3: Análisis exhaustivo fundamentado en 5 modelos éticos de IA (Floridi &amp; Cowls, UNESCO 2021, OCDE / CONPES 4144, Enfoque de Capacidades de Sen/Nussbaum y Privacy by Design bajo Ley Estatutaria 1581 de 2012).</w:t>
            </w:r>
          </w:p>
        </w:tc>
      </w:tr>
      <w:tr>
        <w:tc>
          <w:tcPr>
            <w:tcW w:type="dxa" w:w="3120"/>
            <w:vAlign w:val="center"/>
            <w:shd w:fill="FFFFFF"/>
            <w:tcMar>
              <w:top w:w="110" w:type="dxa"/>
              <w:bottom w:w="110" w:type="dxa"/>
              <w:left w:w="140" w:type="dxa"/>
              <w:right w:w="140" w:type="dxa"/>
            </w:tcMar>
          </w:tcPr>
          <w:p>
            <w:pPr>
              <w:spacing w:before="0" w:after="0" w:line="283" w:lineRule="auto"/>
            </w:pPr>
            <w:r>
              <w:rPr>
                <w:rFonts w:ascii="Arial" w:hAnsi="Arial"/>
                <w:b/>
                <w:color w:val="061A11"/>
                <w:sz w:val="19"/>
              </w:rPr>
              <w:t>3. Impacto y relevancia</w:t>
            </w:r>
          </w:p>
        </w:tc>
        <w:tc>
          <w:tcPr>
            <w:tcW w:type="dxa" w:w="3120"/>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20%</w:t>
            </w:r>
          </w:p>
        </w:tc>
        <w:tc>
          <w:tcPr>
            <w:tcW w:type="dxa" w:w="3120"/>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Sección 4: Evaluación cuantitativa y cualitativa del impacto social (125 municipios de Antioquia), educativo (permanencia estudiantil y salud mental en las 8 universidades G8), inclusivo (accesibilidad por voz y lenguaje claro) y cultural.</w:t>
            </w:r>
          </w:p>
        </w:tc>
      </w:tr>
      <w:tr>
        <w:tc>
          <w:tcPr>
            <w:tcW w:type="dxa" w:w="3120"/>
            <w:vAlign w:val="center"/>
            <w:shd w:fill="F5F9F7"/>
            <w:tcMar>
              <w:top w:w="110" w:type="dxa"/>
              <w:bottom w:w="110" w:type="dxa"/>
              <w:left w:w="140" w:type="dxa"/>
              <w:right w:w="140" w:type="dxa"/>
            </w:tcMar>
          </w:tcPr>
          <w:p>
            <w:pPr>
              <w:spacing w:before="0" w:after="0" w:line="283" w:lineRule="auto"/>
            </w:pPr>
            <w:r>
              <w:rPr>
                <w:rFonts w:ascii="Arial" w:hAnsi="Arial"/>
                <w:b/>
                <w:color w:val="061A11"/>
                <w:sz w:val="19"/>
              </w:rPr>
              <w:t>4. Evidencia de avance del prototipo</w:t>
            </w:r>
          </w:p>
        </w:tc>
        <w:tc>
          <w:tcPr>
            <w:tcW w:type="dxa" w:w="3120"/>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20%</w:t>
            </w:r>
          </w:p>
        </w:tc>
        <w:tc>
          <w:tcPr>
            <w:tcW w:type="dxa" w:w="3120"/>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Sección 5: Prototipo funcional en fase avanzada desplegado en https://babylonias.com/justicia-whatsapp/, suite de 13 pruebas automatizadas (100% aprobadas en 276.7 ms) y análisis de 8 expedientes reales en el Libro Mayor departamental.</w:t>
            </w:r>
          </w:p>
        </w:tc>
      </w:tr>
      <w:tr>
        <w:tc>
          <w:tcPr>
            <w:tcW w:type="dxa" w:w="3120"/>
            <w:vAlign w:val="center"/>
            <w:shd w:fill="FFFFFF"/>
            <w:tcMar>
              <w:top w:w="110" w:type="dxa"/>
              <w:bottom w:w="110" w:type="dxa"/>
              <w:left w:w="140" w:type="dxa"/>
              <w:right w:w="140" w:type="dxa"/>
            </w:tcMar>
          </w:tcPr>
          <w:p>
            <w:pPr>
              <w:spacing w:before="0" w:after="0" w:line="283" w:lineRule="auto"/>
            </w:pPr>
            <w:r>
              <w:rPr>
                <w:rFonts w:ascii="Arial" w:hAnsi="Arial"/>
                <w:b/>
                <w:color w:val="061A11"/>
                <w:sz w:val="19"/>
              </w:rPr>
              <w:t>5. Claridad del texto</w:t>
            </w:r>
          </w:p>
        </w:tc>
        <w:tc>
          <w:tcPr>
            <w:tcW w:type="dxa" w:w="3120"/>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20%</w:t>
            </w:r>
          </w:p>
        </w:tc>
        <w:tc>
          <w:tcPr>
            <w:tcW w:type="dxa" w:w="3120"/>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Todo el documento: Estructura académica jerárquica, cohesión argumentativa interdisciplinaria, formalización matemática explícita, tablas comparativas y 3 figuras de alta resolución.</w:t>
            </w:r>
          </w:p>
        </w:tc>
      </w:tr>
    </w:tbl>
    <w:p>
      <w:pPr>
        <w:spacing w:before="0" w:after="120"/>
      </w:pPr>
    </w:p>
    <w:p>
      <w:pPr>
        <w:keepNext/>
        <w:spacing w:before="360" w:after="160"/>
        <w:pBdr>
          <w:bottom w:val="single" w:sz="12" w:space="4" w:color="00843D"/>
        </w:pBdr>
      </w:pPr>
      <w:r>
        <w:rPr>
          <w:rFonts w:ascii="Arial" w:hAnsi="Arial"/>
          <w:b/>
          <w:color w:val="041F13"/>
          <w:sz w:val="30"/>
        </w:rPr>
        <w:t>1. Marco Teórico Interdisciplinario</w:t>
      </w:r>
    </w:p>
    <w:p>
      <w:pPr>
        <w:spacing w:before="0" w:after="160" w:line="324" w:lineRule="auto"/>
        <w:jc w:val="both"/>
      </w:pPr>
      <w:r>
        <w:rPr>
          <w:rFonts w:ascii="Arial" w:hAnsi="Arial"/>
          <w:color w:val="1E293B"/>
          <w:sz w:val="22"/>
        </w:rPr>
        <w:t>El desarrollo de un sistema autónomo capaz de traducir relatos ciudadanos coloquiales en acciones constitucionales jurídicamente vinculantes no puede abordarse desde una sola disciplina. Un sistema puramente informático carecería de validez dogmática procesal; un modelo puramente jurídico carecería de escalabilidad computacional y tolerancia a fallos criptográficos; y un sistema desprovisto de teoría comunicativa y psicolingüística reproduciría la exclusión simbólica y la patologización del ciudadano vulnerable. En consecuencia, el marco teórico de JusticIA WhatsApp v2.5 se articula sobre la convergencia sinérgica de cuatro dominios científicos.</w:t>
      </w:r>
    </w:p>
    <w:p>
      <w:pPr>
        <w:keepNext/>
        <w:spacing w:before="280" w:after="100"/>
      </w:pPr>
      <w:r>
        <w:rPr>
          <w:rFonts w:ascii="Arial" w:hAnsi="Arial"/>
          <w:b/>
          <w:color w:val="00843D"/>
          <w:sz w:val="25"/>
        </w:rPr>
        <w:t>1.1. Ingeniería de Sistemas y Teoría de la Inteligencia Artificial Agéntica</w:t>
      </w:r>
    </w:p>
    <w:p>
      <w:pPr>
        <w:spacing w:before="0" w:after="160" w:line="324" w:lineRule="auto"/>
        <w:jc w:val="both"/>
      </w:pPr>
      <w:r>
        <w:rPr>
          <w:rFonts w:ascii="Arial" w:hAnsi="Arial"/>
          <w:color w:val="1E293B"/>
          <w:sz w:val="22"/>
        </w:rPr>
        <w:t>En la literatura contemporánea de Ingeniería de Software e Inteligencia Artificial, se distingue entre la inferencia probabilística libre de los Modelos de Lenguaje de Gran Escala (LLMs) —propensa a la deriva conversacional (loop drift) y a la fabricación de citas inexistentes o alucinación intrínseca (Ji et al., 2023)— y la arquitectura de Sistemas Neuro-Simbólicos gobernados por Grafos de Estado Deterministas (Deterministic State-Graph Harnesses) (Yao et al., 2023; Wooldridge, 2009). Mientras que un chatbot convencional delega al modelo generativo tanto el flujo de diálogo como la búsqueda normativa, un Harness Agéntico encapsula al modelo dentro de una Máquina de Estados Finitos (FSM) con precondiciones y poscondiciones verificables.</w:t>
      </w:r>
    </w:p>
    <w:p>
      <w:pPr>
        <w:spacing w:before="0" w:after="160" w:line="324" w:lineRule="auto"/>
        <w:jc w:val="both"/>
      </w:pPr>
      <w:r>
        <w:rPr>
          <w:rFonts w:ascii="Arial" w:hAnsi="Arial"/>
          <w:color w:val="1E293B"/>
          <w:sz w:val="22"/>
        </w:rPr>
        <w:t>En JusticIA WhatsApp, esta teoría se materializa mediante tres innovaciones de ingeniería de sistemas: (i) la Arquitectura de Recuperación Aumentada por Generación con Anclaje Estricto (Strict Grounded RAG) propuesta por Lewis et al. (2020), donde el agente tiene prohibido citar sentencias o normas fuera del corpus constitucional verificado en su base de conocimiento; (ii) la resiliencia sobre el protocolo criptográfico Signal (Noise_XX_25519_AESGCM_SHA256) en conexiones WebSockets multi-dispositivo (@whiskeysockets/baileys), incorporando un algoritmo de autorreparación atómica (Signal Auto-Healer) que intercepta errores de desincronización de pre-llaves (Bad MAC y MessageCounterError) y renegocia el túnel sin pérdida de sesión; y (iii) la ejecución isomórfica Cliente-Servidor, que permite que el motor de subsunción opere tanto en un servidor Node.js conectado a WhatsApp como al 100% dentro del navegador del usuario (legal-engine-browser.js) mediante interceptación transparente de la interfaz window.fetch.</w:t>
      </w:r>
    </w:p>
    <w:p>
      <w:pPr>
        <w:keepNext/>
        <w:spacing w:before="280" w:after="100"/>
      </w:pPr>
      <w:r>
        <w:rPr>
          <w:rFonts w:ascii="Arial" w:hAnsi="Arial"/>
          <w:b/>
          <w:color w:val="00843D"/>
          <w:sz w:val="25"/>
        </w:rPr>
        <w:t>1.2. Ciencia Jurídica, Dogmática Constitucional y Teoría Formal de la Subsunción</w:t>
      </w:r>
    </w:p>
    <w:p>
      <w:pPr>
        <w:spacing w:before="0" w:after="160" w:line="324" w:lineRule="auto"/>
        <w:jc w:val="both"/>
      </w:pPr>
      <w:r>
        <w:rPr>
          <w:rFonts w:ascii="Arial" w:hAnsi="Arial"/>
          <w:color w:val="1E293B"/>
          <w:sz w:val="22"/>
        </w:rPr>
        <w:t>Desde la teoría del derecho constitucional (Alexy, 2002; Bernal Pulido, 2014; Quinche Ramírez, 2020), la adjudicación y el litigio estratégico descansan sobre dos operaciones formales: la subsunción (determinación de que un supuesto de hecho concreto K encaja en el supuesto normativo abstracto H de una regla jurídica) y la ponderación (evaluación del grado de afectación de un principio iusfundamental frente a la urgencia y la vulnerabilidad del titular). Tradicionalmente, esta operación se realiza de manera intuitiva. En JusticIA WhatsApp, hemos formalizado matemáticamente la teoría del caso mediante la cuádrupla de subsunción constitucional:</w:t>
      </w:r>
    </w:p>
    <w:tbl>
      <w:tblPr>
        <w:tblW w:type="auto" w:w="0"/>
        <w:jc w:val="center"/>
        <w:tblLook w:firstColumn="1" w:firstRow="1" w:lastColumn="0" w:lastRow="0" w:noHBand="0" w:noVBand="1" w:val="04A0"/>
      </w:tblPr>
      <w:tblGrid>
        <w:gridCol w:w="9360"/>
      </w:tblGrid>
      <w:tr>
        <w:tc>
          <w:tcPr>
            <w:tcW w:type="dxa" w:w="9360"/>
            <w:shd w:fill="F4FBF7"/>
            <w:tcMar>
              <w:top w:w="160" w:type="dxa"/>
              <w:bottom w:w="160" w:type="dxa"/>
              <w:left w:w="220" w:type="dxa"/>
              <w:right w:w="200" w:type="dxa"/>
            </w:tcMar>
            <w:tcBorders>
              <w:left w:val="single" w:sz="24" w:space="0" w:color="00843D"/>
              <w:top w:val="single" w:sz="4" w:space="0" w:color="D1FAE5"/>
              <w:right w:val="single" w:sz="4" w:space="0" w:color="D1FAE5"/>
              <w:bottom w:val="single" w:sz="4" w:space="0" w:color="D1FAE5"/>
            </w:tcBorders>
          </w:tcPr>
          <w:p>
            <w:pPr>
              <w:spacing w:before="40" w:after="120"/>
            </w:pPr>
            <w:r>
              <w:rPr>
                <w:rFonts w:ascii="Arial" w:hAnsi="Arial"/>
                <w:b/>
                <w:color w:val="006B31"/>
                <w:sz w:val="22"/>
              </w:rPr>
              <w:t>FORMULACIÓN MATEMÁTICA DEL MOTOR DE SUBSUNCIÓN CONSTITUCIONAL S(K)</w:t>
            </w:r>
          </w:p>
          <w:p>
            <w:pPr>
              <w:spacing w:before="40" w:after="80" w:line="300" w:lineRule="auto"/>
            </w:pPr>
            <w:r>
              <w:rPr>
                <w:rFonts w:ascii="Arial" w:hAnsi="Arial"/>
                <w:color w:val="0F172A"/>
                <w:sz w:val="21"/>
              </w:rPr>
              <w:t>Sea K el relato y contexto fáctico del ciudadano. El operador de subsunción S(K) evalúa la cuádrupla:</w:t>
            </w:r>
          </w:p>
          <w:p>
            <w:pPr>
              <w:spacing w:before="40" w:after="80" w:line="300" w:lineRule="auto"/>
            </w:pPr>
            <w:r>
              <w:rPr>
                <w:rFonts w:ascii="Arial" w:hAnsi="Arial"/>
                <w:color w:val="0F172A"/>
                <w:sz w:val="21"/>
              </w:rPr>
              <w:t xml:space="preserve">    S(K) = &lt; H,  E,  T,  V &gt;</w:t>
            </w:r>
          </w:p>
          <w:p>
            <w:pPr>
              <w:spacing w:before="40" w:after="80" w:line="300" w:lineRule="auto"/>
            </w:pPr>
            <w:r>
              <w:rPr>
                <w:rFonts w:ascii="Arial" w:hAnsi="Arial"/>
                <w:color w:val="0F172A"/>
                <w:sz w:val="21"/>
              </w:rPr>
              <w:t>1. Hipótesis Normativa (H): Clasificación determinista sobre el espacio de 9 rutas constitucionales R = {TUTELA_SALUD, TUTELA_AGUA, TUTELA_EDUCACION, CANCELACION_ACADEMICA_SALUD, DERECHO_PETICION, SILENCIO_ADMINISTRATIVO, HABEAS_DATA, PROTECCION_CAMPESINA, NULIDAD_CPACA}.</w:t>
            </w:r>
          </w:p>
          <w:p>
            <w:pPr>
              <w:spacing w:before="40" w:after="80" w:line="300" w:lineRule="auto"/>
            </w:pPr>
            <w:r>
              <w:rPr>
                <w:rFonts w:ascii="Arial" w:hAnsi="Arial"/>
                <w:color w:val="0F172A"/>
                <w:sz w:val="21"/>
              </w:rPr>
              <w:t>2. Suficiencia Probatoria Ψ(E): Función escalar Ψ: E -&gt; [0, 100] anclada en la Presunción Constitucional de Buena Fe (Art. 83 C.P., base = 40 pts), incrementada por soportes documentales verificados (+18 pts c/u) y condición de sujeto de especial protección (+15 pts). Si Ψ(E) &lt; 75, el motor inyecta automáticamente el capítulo de Decreto de Pruebas de Oficio e Inversión de la Carga Probatoria (Arts. 19 y 21 Decreto 2591 de 1991; Sentencia T-760 de 2008).</w:t>
            </w:r>
          </w:p>
          <w:p>
            <w:pPr>
              <w:spacing w:before="40" w:after="80" w:line="300" w:lineRule="auto"/>
            </w:pPr>
            <w:r>
              <w:rPr>
                <w:rFonts w:ascii="Arial" w:hAnsi="Arial"/>
                <w:color w:val="0F172A"/>
                <w:sz w:val="21"/>
              </w:rPr>
              <w:t>3. Control de Términos y Caducidad (T): Matriz temporal de vencimiento legal (48 horas para Medida Provisional urgente del Art. 7 D.2591/91; 10 días hábiles para fallo de tutela; 15 días hábiles para Derecho de Petición según Ley 1755 de 2015; 4 meses de caducidad para Nulidad y Restablecimiento según Art. 138 CPACA).</w:t>
            </w:r>
          </w:p>
          <w:p>
            <w:pPr>
              <w:spacing w:before="40" w:after="80" w:line="300" w:lineRule="auto"/>
            </w:pPr>
            <w:r>
              <w:rPr>
                <w:rFonts w:ascii="Arial" w:hAnsi="Arial"/>
                <w:color w:val="0F172A"/>
                <w:sz w:val="21"/>
              </w:rPr>
              <w:t>4. Índice de Vulnerabilidad y Sujeto de Especial Protección (V): Vector ponderado que identifica adultos mayores, niños, niñas y adolescentes, pacientes oncológicos/crónicos, estudiantes con afectación emocional aguda (Ley 1616 de 2013) y población campesina (Acto Legislativo 01 de 2023).</w:t>
            </w:r>
          </w:p>
        </w:tc>
      </w:tr>
    </w:tbl>
    <w:p>
      <w:pPr>
        <w:spacing w:before="0" w:after="120"/>
      </w:pPr>
    </w:p>
    <w:p>
      <w:pPr>
        <w:keepNext/>
        <w:spacing w:before="280" w:after="100"/>
      </w:pPr>
      <w:r>
        <w:rPr>
          <w:rFonts w:ascii="Arial" w:hAnsi="Arial"/>
          <w:b/>
          <w:color w:val="00843D"/>
          <w:sz w:val="25"/>
        </w:rPr>
        <w:t>1.3. Comunicación Digital, Psicolingüística y Economía de la Atención Judicial</w:t>
      </w:r>
    </w:p>
    <w:p>
      <w:pPr>
        <w:spacing w:before="0" w:after="160" w:line="324" w:lineRule="auto"/>
        <w:jc w:val="both"/>
      </w:pPr>
      <w:r>
        <w:rPr>
          <w:rFonts w:ascii="Arial" w:hAnsi="Arial"/>
          <w:color w:val="1E293B"/>
          <w:sz w:val="22"/>
        </w:rPr>
        <w:t>El tercer pilar teórico articula la Comunicación Digital, la Psicolingüística Aplicada y los estudios de Lenguaje Claro (Plain Language) en la administración de justicia (Cassany, 2005; Carretero, 2019). Identificamos tres fenómenos comunicativos críticos que determinan el éxito o fracaso de una petición ciudadana o estudiantil:</w:t>
      </w:r>
    </w:p>
    <w:p>
      <w:pPr>
        <w:pStyle w:val="ListBullet"/>
        <w:spacing w:before="0" w:after="100" w:line="307" w:lineRule="auto"/>
        <w:jc w:val="both"/>
      </w:pPr>
      <w:r>
        <w:rPr>
          <w:rFonts w:ascii="Arial" w:hAnsi="Arial"/>
          <w:b/>
          <w:color w:val="006B31"/>
          <w:sz w:val="21"/>
        </w:rPr>
        <w:t xml:space="preserve">Curaduría Anti-Slop Sintáctico: </w:t>
      </w:r>
      <w:r>
        <w:rPr>
          <w:rFonts w:ascii="Arial" w:hAnsi="Arial"/>
          <w:color w:val="1E293B"/>
          <w:sz w:val="21"/>
        </w:rPr>
        <w:t>Los modelos de lenguaje generativos tienden a producir fórmulas retóricas vacías, pomposas y repetitivas ('en el marco de un Estado Social de Derecho resulta menester señalar...', 'es de vital importancia destacar...'), fenómeno denominado en lingüística computacional como AI Slop. Estas muletillas diluyen los hechos probatorios y generan rechazo inmediato en jueces y consejos de facultad. El módulo src/anti-ai-slop-filter.js aplica expresiones regulares léxico-sintácticas que depuran el texto hacia una prosa forense austera, directa y verificable.</w:t>
      </w:r>
    </w:p>
    <w:p>
      <w:pPr>
        <w:pStyle w:val="ListBullet"/>
        <w:spacing w:before="0" w:after="100" w:line="307" w:lineRule="auto"/>
        <w:jc w:val="both"/>
      </w:pPr>
      <w:r>
        <w:rPr>
          <w:rFonts w:ascii="Arial" w:hAnsi="Arial"/>
          <w:b/>
          <w:color w:val="006B31"/>
          <w:sz w:val="21"/>
        </w:rPr>
        <w:t xml:space="preserve">Desmedicalización y Léxico No Patologizante (Ley 1616 de 2013): </w:t>
      </w:r>
      <w:r>
        <w:rPr>
          <w:rFonts w:ascii="Arial" w:hAnsi="Arial"/>
          <w:color w:val="1E293B"/>
          <w:sz w:val="21"/>
        </w:rPr>
        <w:t>Desde la psicología clínica comunitaria y el enfoque de derechos humanos en salud mental, obligar a un estudiante universitario a exponerse mediante etiquetas psiquiátricas estigmatizantes ('trastorno depresivo mayor incapacitante', 'crisis psiquiátrica severa') ante órganos administrativos vulnera su intimidad (Art. 15 C.P.) y contraviene el artículo 6 de la Ley 1616 de 2013. El módulo src/non-pathologizing-lexicon.js transforma automáticamente dichos términos en categorías dignas y jurídicamente eficaces ('afectación transitoria de salud y bienestar emocional', 'acompañamiento terapéutico y psicológico'), acompañadas de un registro de autocrítica sincera y responsabilidad académica (src/remorse-tone-injector.js) y un validador que impide cláusulas de auto-suspensión (src/unconditioned-petition-validator.js).</w:t>
      </w:r>
    </w:p>
    <w:p>
      <w:pPr>
        <w:pStyle w:val="ListBullet"/>
        <w:spacing w:before="0" w:after="100" w:line="307" w:lineRule="auto"/>
        <w:jc w:val="both"/>
      </w:pPr>
      <w:r>
        <w:rPr>
          <w:rFonts w:ascii="Arial" w:hAnsi="Arial"/>
          <w:b/>
          <w:color w:val="006B31"/>
          <w:sz w:val="21"/>
        </w:rPr>
        <w:t xml:space="preserve">Economía de la Atención Judicial y Presupuesto de 3 Páginas: </w:t>
      </w:r>
      <w:r>
        <w:rPr>
          <w:rFonts w:ascii="Arial" w:hAnsi="Arial"/>
          <w:color w:val="1E293B"/>
          <w:sz w:val="21"/>
        </w:rPr>
        <w:t>Un juzgado promiscuo municipal o un Consejo de Facultad en Antioquia recibe cientos de solicitudes semanales. La teoría de la carga cognitiva (Sweller, 1988) demuestra que documentos extensos y redundantes reducen la probabilidad de lectura exhaustiva de las pretensiones urgentes. Por ello, src/page-budget-engine.js audita algorítmicamente que toda minuta generada tenga una extensión máxima estricta de 3.0 páginas (1.150 palabras).</w:t>
      </w:r>
    </w:p>
    <w:p>
      <w:pPr>
        <w:keepNext/>
        <w:spacing w:before="280" w:after="100"/>
      </w:pPr>
      <w:r>
        <w:rPr>
          <w:rFonts w:ascii="Arial" w:hAnsi="Arial"/>
          <w:b/>
          <w:color w:val="00843D"/>
          <w:sz w:val="25"/>
        </w:rPr>
        <w:t>1.4. Administración Pública, Costos de Transacción y Bienes Públicos Digitales</w:t>
      </w:r>
    </w:p>
    <w:p>
      <w:pPr>
        <w:spacing w:before="0" w:after="160" w:line="324" w:lineRule="auto"/>
        <w:jc w:val="both"/>
      </w:pPr>
      <w:r>
        <w:rPr>
          <w:rFonts w:ascii="Arial" w:hAnsi="Arial"/>
          <w:color w:val="1E293B"/>
          <w:sz w:val="22"/>
        </w:rPr>
        <w:t>Desde la teoría económica institucional (Coase, 1960; North, 1990), un derecho fundamental cuyo costo de transacción para ser exigido supera la capacidad de pago del ciudadano es un derecho nominalmente existente pero materialmente ilusorio. En las subregiones periféricas de Antioquia (Urabá, Bajo Cauca, Magdalena Medio, Nordeste, Occidente), contratar a un abogado particular para redactar una acción constitucional cuesta en promedio $650.000 COP, sumado a desplazamientos fluviales o terrestres de hasta 8 horas. Al reducir el Costo Total de Propiedad (TCO) y el costo marginal de procesamiento a $0.0057 USD ($24 COP) por expediente completo sobre WhatsApp —el canal de mensajería con 98.2% de penetración en telefonía móvil prepago y pospago en Colombia—, JusticIA actúa como un Bien Público Digital de costo transaccional prácticamente nulo.</w:t>
      </w:r>
    </w:p>
    <w:p>
      <w:pPr>
        <w:spacing w:before="160" w:after="80"/>
        <w:jc w:val="center"/>
      </w:pPr>
      <w:r>
        <w:drawing>
          <wp:inline xmlns:a="http://schemas.openxmlformats.org/drawingml/2006/main" xmlns:pic="http://schemas.openxmlformats.org/drawingml/2006/picture">
            <wp:extent cx="5806440" cy="2967736"/>
            <wp:docPr id="1" name="Picture 1"/>
            <wp:cNvGraphicFramePr>
              <a:graphicFrameLocks noChangeAspect="1"/>
            </wp:cNvGraphicFramePr>
            <a:graphic>
              <a:graphicData uri="http://schemas.openxmlformats.org/drawingml/2006/picture">
                <pic:pic>
                  <pic:nvPicPr>
                    <pic:cNvPr id="0" name="fig1_arquitectura_harness_sk.png"/>
                    <pic:cNvPicPr/>
                  </pic:nvPicPr>
                  <pic:blipFill>
                    <a:blip r:embed="rId11"/>
                    <a:stretch>
                      <a:fillRect/>
                    </a:stretch>
                  </pic:blipFill>
                  <pic:spPr>
                    <a:xfrm>
                      <a:off x="0" y="0"/>
                      <a:ext cx="5806440" cy="2967736"/>
                    </a:xfrm>
                    <a:prstGeom prst="rect"/>
                  </pic:spPr>
                </pic:pic>
              </a:graphicData>
            </a:graphic>
          </wp:inline>
        </w:drawing>
      </w:r>
    </w:p>
    <w:p>
      <w:pPr>
        <w:spacing w:after="240"/>
        <w:jc w:val="center"/>
      </w:pPr>
      <w:r>
        <w:rPr>
          <w:rFonts w:ascii="Arial" w:hAnsi="Arial"/>
          <w:i/>
          <w:color w:val="64748B"/>
          <w:sz w:val="18"/>
        </w:rPr>
        <w:t>Figura 1. Arquitectura interdisciplinaria del Harness Agéntico JusticIA v2.5 y Pipeline Determinista de 7 Estaciones. Fuente: Elaboración propia del equipo interdisciplinario Cátedra G8 (2026).</w:t>
      </w:r>
    </w:p>
    <w:p>
      <w:pPr>
        <w:keepNext/>
        <w:spacing w:before="360" w:after="160"/>
        <w:pBdr>
          <w:bottom w:val="single" w:sz="12" w:space="4" w:color="00843D"/>
        </w:pBdr>
      </w:pPr>
      <w:r>
        <w:rPr>
          <w:rFonts w:ascii="Arial" w:hAnsi="Arial"/>
          <w:b/>
          <w:color w:val="041F13"/>
          <w:sz w:val="30"/>
        </w:rPr>
        <w:t>2. Evidencia de Investigación Formativa: Revisión de Literatura y Benchmarking</w:t>
      </w:r>
    </w:p>
    <w:p>
      <w:pPr>
        <w:spacing w:before="0" w:after="160" w:line="324" w:lineRule="auto"/>
        <w:jc w:val="both"/>
      </w:pPr>
      <w:r>
        <w:rPr>
          <w:rFonts w:ascii="Arial" w:hAnsi="Arial"/>
          <w:color w:val="1E293B"/>
          <w:sz w:val="22"/>
        </w:rPr>
        <w:t>El proceso de investigación formativa desarrollado por el equipo interdisciplinario siguió la metodología de Investigación Basada en Diseño (Design Science Research — Hevner et al., 2004), combinando revisión sistemática de literatura jurídica y computacional, benchmarking empírico de componentes tecnológicos y refinamiento iterativo con casos piloto reales en instituciones de la Alianza G8.</w:t>
      </w:r>
    </w:p>
    <w:p>
      <w:pPr>
        <w:keepNext/>
        <w:spacing w:before="280" w:after="100"/>
      </w:pPr>
      <w:r>
        <w:rPr>
          <w:rFonts w:ascii="Arial" w:hAnsi="Arial"/>
          <w:b/>
          <w:color w:val="00843D"/>
          <w:sz w:val="25"/>
        </w:rPr>
        <w:t>2.1. Síntesis de la Revisión de Literatura y Corpus Jurisprudencial</w:t>
      </w:r>
    </w:p>
    <w:p>
      <w:pPr>
        <w:spacing w:before="0" w:after="160" w:line="324" w:lineRule="auto"/>
        <w:jc w:val="both"/>
      </w:pPr>
      <w:r>
        <w:rPr>
          <w:rFonts w:ascii="Arial" w:hAnsi="Arial"/>
          <w:color w:val="1E293B"/>
          <w:sz w:val="22"/>
        </w:rPr>
        <w:t>Se consolidó un corpus normativo y doctrinal de 26 fuentes primarias y secundarias divididas en tres ejes: (a) Doctrina Constitucional Colombiana sobre salud, mínimo vital, debido proceso administrativo, protección campesina y salud mental universitaria (Sentencias T-760 de 2008, T-546 de 2009, T-740 de 2011, T-441 de 2012, T-574 de 2017, T-118 de 2018, SU-508 de 2020, SU-092 de 2021, T-310 de 2021, T-173 de 2023 y T-238 de 2024); (b) Literatura de Ingeniería de IA sobre arquitecturas RAG, agentes deterministas y evaluación de alucinaciones en dominios legales (Lewis et al., 2020; Dahl et al., 2024; Yao et al., 2023); y (c) Marcos regulatorios y éticos de IA y gobernanza de datos (Floridi &amp; Cowls, 2019; UNESCO, 2021; Ley Estatutaria 1581 de 2012; CONPES 3975 de 2019 y CONPES 4144 de 2025).</w:t>
      </w:r>
    </w:p>
    <w:p>
      <w:pPr>
        <w:keepNext/>
        <w:spacing w:before="280" w:after="100"/>
      </w:pPr>
      <w:r>
        <w:rPr>
          <w:rFonts w:ascii="Arial" w:hAnsi="Arial"/>
          <w:b/>
          <w:color w:val="00843D"/>
          <w:sz w:val="25"/>
        </w:rPr>
        <w:t>2.2. Benchmarking Comparativo frente al Estado del Arte (SOTA)</w:t>
      </w:r>
    </w:p>
    <w:p>
      <w:pPr>
        <w:spacing w:before="0" w:after="160" w:line="324" w:lineRule="auto"/>
        <w:jc w:val="both"/>
      </w:pPr>
      <w:r>
        <w:rPr>
          <w:rFonts w:ascii="Arial" w:hAnsi="Arial"/>
          <w:color w:val="1E293B"/>
          <w:sz w:val="22"/>
        </w:rPr>
        <w:t>El estudio de Dahl et al. (2024) en el Journal of Legal Analysis demostró que los LLMs de propósito general (incluidos GPT-4, Claude y PaLM) alucinan entre el 58% y el 82% de las citas jurisprudenciales cuando se les consulta sin un grafo determinista de verificación. Para superar esta barrera y optimizar la relación costo-beneficio en territorios rurales, realizamos un benchmarking experimental comparando cuatro alternativas tecnológicas: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872"/>
        <w:gridCol w:w="1872"/>
        <w:gridCol w:w="1872"/>
        <w:gridCol w:w="1872"/>
        <w:gridCol w:w="1872"/>
      </w:tblGrid>
      <w:tr>
        <w:tc>
          <w:tcPr>
            <w:tcW w:type="dxa" w:w="1872"/>
            <w:vAlign w:val="center"/>
            <w:shd w:fill="041F13"/>
            <w:tcMar>
              <w:top w:w="140" w:type="dxa"/>
              <w:bottom w:w="140" w:type="dxa"/>
              <w:left w:w="140" w:type="dxa"/>
              <w:right w:w="140" w:type="dxa"/>
            </w:tcMar>
          </w:tcPr>
          <w:p>
            <w:pPr>
              <w:spacing w:before="0" w:after="0"/>
            </w:pPr>
            <w:r>
              <w:rPr>
                <w:rFonts w:ascii="Arial" w:hAnsi="Arial"/>
                <w:b/>
                <w:color w:val="FFFFFF"/>
                <w:sz w:val="19"/>
              </w:rPr>
              <w:t>Dimensión Evaluada</w:t>
            </w:r>
          </w:p>
        </w:tc>
        <w:tc>
          <w:tcPr>
            <w:tcW w:type="dxa" w:w="1872"/>
            <w:vAlign w:val="center"/>
            <w:shd w:fill="041F13"/>
            <w:tcMar>
              <w:top w:w="140" w:type="dxa"/>
              <w:bottom w:w="140" w:type="dxa"/>
              <w:left w:w="140" w:type="dxa"/>
              <w:right w:w="140" w:type="dxa"/>
            </w:tcMar>
          </w:tcPr>
          <w:p>
            <w:pPr>
              <w:spacing w:before="0" w:after="0"/>
            </w:pPr>
            <w:r>
              <w:rPr>
                <w:rFonts w:ascii="Arial" w:hAnsi="Arial"/>
                <w:b/>
                <w:color w:val="FFFFFF"/>
                <w:sz w:val="19"/>
              </w:rPr>
              <w:t>Consultoría Jurídica Tradicional</w:t>
            </w:r>
          </w:p>
        </w:tc>
        <w:tc>
          <w:tcPr>
            <w:tcW w:type="dxa" w:w="1872"/>
            <w:vAlign w:val="center"/>
            <w:shd w:fill="041F13"/>
            <w:tcMar>
              <w:top w:w="140" w:type="dxa"/>
              <w:bottom w:w="140" w:type="dxa"/>
              <w:left w:w="140" w:type="dxa"/>
              <w:right w:w="140" w:type="dxa"/>
            </w:tcMar>
          </w:tcPr>
          <w:p>
            <w:pPr>
              <w:spacing w:before="0" w:after="0"/>
            </w:pPr>
            <w:r>
              <w:rPr>
                <w:rFonts w:ascii="Arial" w:hAnsi="Arial"/>
                <w:b/>
                <w:color w:val="FFFFFF"/>
                <w:sz w:val="19"/>
              </w:rPr>
              <w:t>Chatbots LLM Zero-Shot (GPT-4 / DoNotPay)</w:t>
            </w:r>
          </w:p>
        </w:tc>
        <w:tc>
          <w:tcPr>
            <w:tcW w:type="dxa" w:w="1872"/>
            <w:vAlign w:val="center"/>
            <w:shd w:fill="041F13"/>
            <w:tcMar>
              <w:top w:w="140" w:type="dxa"/>
              <w:bottom w:w="140" w:type="dxa"/>
              <w:left w:w="140" w:type="dxa"/>
              <w:right w:w="140" w:type="dxa"/>
            </w:tcMar>
          </w:tcPr>
          <w:p>
            <w:pPr>
              <w:spacing w:before="0" w:after="0"/>
            </w:pPr>
            <w:r>
              <w:rPr>
                <w:rFonts w:ascii="Arial" w:hAnsi="Arial"/>
                <w:b/>
                <w:color w:val="FFFFFF"/>
                <w:sz w:val="19"/>
              </w:rPr>
              <w:t>SaaS LegalTech Comercial (Twilio + Cloud)</w:t>
            </w:r>
          </w:p>
        </w:tc>
        <w:tc>
          <w:tcPr>
            <w:tcW w:type="dxa" w:w="1872"/>
            <w:vAlign w:val="center"/>
            <w:shd w:fill="041F13"/>
            <w:tcMar>
              <w:top w:w="140" w:type="dxa"/>
              <w:bottom w:w="140" w:type="dxa"/>
              <w:left w:w="140" w:type="dxa"/>
              <w:right w:w="140" w:type="dxa"/>
            </w:tcMar>
          </w:tcPr>
          <w:p>
            <w:pPr>
              <w:spacing w:before="0" w:after="0"/>
            </w:pPr>
            <w:r>
              <w:rPr>
                <w:rFonts w:ascii="Arial" w:hAnsi="Arial"/>
                <w:b/>
                <w:color w:val="FFFFFF"/>
                <w:sz w:val="19"/>
              </w:rPr>
              <w:t>JusticIA WhatsApp v2.5 (Harness Antioquia 2040)</w:t>
            </w:r>
          </w:p>
        </w:tc>
      </w:tr>
      <w:tr>
        <w:tc>
          <w:tcPr>
            <w:tcW w:type="dxa" w:w="1872"/>
            <w:vAlign w:val="center"/>
            <w:shd w:fill="FFFFFF"/>
            <w:tcMar>
              <w:top w:w="110" w:type="dxa"/>
              <w:bottom w:w="110" w:type="dxa"/>
              <w:left w:w="140" w:type="dxa"/>
              <w:right w:w="140" w:type="dxa"/>
            </w:tcMar>
          </w:tcPr>
          <w:p>
            <w:pPr>
              <w:spacing w:before="0" w:after="0" w:line="283" w:lineRule="auto"/>
            </w:pPr>
            <w:r>
              <w:rPr>
                <w:rFonts w:ascii="Arial" w:hAnsi="Arial"/>
                <w:b/>
                <w:color w:val="061A11"/>
                <w:sz w:val="19"/>
              </w:rPr>
              <w:t>Arquitectura de Razonamiento</w:t>
            </w:r>
          </w:p>
        </w:tc>
        <w:tc>
          <w:tcPr>
            <w:tcW w:type="dxa" w:w="1872"/>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Manual / Artesanal humano</w:t>
            </w:r>
          </w:p>
        </w:tc>
        <w:tc>
          <w:tcPr>
            <w:tcW w:type="dxa" w:w="1872"/>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Generación libre probabilística sin estado fijo</w:t>
            </w:r>
          </w:p>
        </w:tc>
        <w:tc>
          <w:tcPr>
            <w:tcW w:type="dxa" w:w="1872"/>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Flujo rígido de formularios web de escritorio</w:t>
            </w:r>
          </w:p>
        </w:tc>
        <w:tc>
          <w:tcPr>
            <w:tcW w:type="dxa" w:w="1872"/>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Grafo Determinista de 7 Estaciones + Subsunción S(K)=&lt;H,E,T,V&gt;</w:t>
            </w:r>
          </w:p>
        </w:tc>
      </w:tr>
      <w:tr>
        <w:tc>
          <w:tcPr>
            <w:tcW w:type="dxa" w:w="1872"/>
            <w:vAlign w:val="center"/>
            <w:shd w:fill="F5F9F7"/>
            <w:tcMar>
              <w:top w:w="110" w:type="dxa"/>
              <w:bottom w:w="110" w:type="dxa"/>
              <w:left w:w="140" w:type="dxa"/>
              <w:right w:w="140" w:type="dxa"/>
            </w:tcMar>
          </w:tcPr>
          <w:p>
            <w:pPr>
              <w:spacing w:before="0" w:after="0" w:line="283" w:lineRule="auto"/>
            </w:pPr>
            <w:r>
              <w:rPr>
                <w:rFonts w:ascii="Arial" w:hAnsi="Arial"/>
                <w:b/>
                <w:color w:val="061A11"/>
                <w:sz w:val="19"/>
              </w:rPr>
              <w:t>Fidelidad Jurisprudencial (No-Alucinación)</w:t>
            </w:r>
          </w:p>
        </w:tc>
        <w:tc>
          <w:tcPr>
            <w:tcW w:type="dxa" w:w="1872"/>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Alta (sujeta a actualización del abogado)</w:t>
            </w:r>
          </w:p>
        </w:tc>
        <w:tc>
          <w:tcPr>
            <w:tcW w:type="dxa" w:w="1872"/>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Baja (42%–58% de citas válidas; inventa radicados)</w:t>
            </w:r>
          </w:p>
        </w:tc>
        <w:tc>
          <w:tcPr>
            <w:tcW w:type="dxa" w:w="1872"/>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Media (78% en plantillas estáticas genéricas)</w:t>
            </w:r>
          </w:p>
        </w:tc>
        <w:tc>
          <w:tcPr>
            <w:tcW w:type="dxa" w:w="1872"/>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100% Verificada (Catálogo cerrado de precedentes de la Corte Constitucional)</w:t>
            </w:r>
          </w:p>
        </w:tc>
      </w:tr>
      <w:tr>
        <w:tc>
          <w:tcPr>
            <w:tcW w:type="dxa" w:w="1872"/>
            <w:vAlign w:val="center"/>
            <w:shd w:fill="FFFFFF"/>
            <w:tcMar>
              <w:top w:w="110" w:type="dxa"/>
              <w:bottom w:w="110" w:type="dxa"/>
              <w:left w:w="140" w:type="dxa"/>
              <w:right w:w="140" w:type="dxa"/>
            </w:tcMar>
          </w:tcPr>
          <w:p>
            <w:pPr>
              <w:spacing w:before="0" w:after="0" w:line="283" w:lineRule="auto"/>
            </w:pPr>
            <w:r>
              <w:rPr>
                <w:rFonts w:ascii="Arial" w:hAnsi="Arial"/>
                <w:b/>
                <w:color w:val="061A11"/>
                <w:sz w:val="19"/>
              </w:rPr>
              <w:t>Gestión de Déficit Probatorio Ψ(E)</w:t>
            </w:r>
          </w:p>
        </w:tc>
        <w:tc>
          <w:tcPr>
            <w:tcW w:type="dxa" w:w="1872"/>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Solicita documentos físicamente (demora días)</w:t>
            </w:r>
          </w:p>
        </w:tc>
        <w:tc>
          <w:tcPr>
            <w:tcW w:type="dxa" w:w="1872"/>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Nula (redacta sin advertir falta de pruebas)</w:t>
            </w:r>
          </w:p>
        </w:tc>
        <w:tc>
          <w:tcPr>
            <w:tcW w:type="dxa" w:w="1872"/>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Bloquea el formulario si falta un archivo PDF</w:t>
            </w:r>
          </w:p>
        </w:tc>
        <w:tc>
          <w:tcPr>
            <w:tcW w:type="dxa" w:w="1872"/>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Activa Bucle Probatorio + Capítulo de Pruebas de Oficio (Art. 19 D.2591/91)</w:t>
            </w:r>
          </w:p>
        </w:tc>
      </w:tr>
      <w:tr>
        <w:tc>
          <w:tcPr>
            <w:tcW w:type="dxa" w:w="1872"/>
            <w:vAlign w:val="center"/>
            <w:shd w:fill="F5F9F7"/>
            <w:tcMar>
              <w:top w:w="110" w:type="dxa"/>
              <w:bottom w:w="110" w:type="dxa"/>
              <w:left w:w="140" w:type="dxa"/>
              <w:right w:w="140" w:type="dxa"/>
            </w:tcMar>
          </w:tcPr>
          <w:p>
            <w:pPr>
              <w:spacing w:before="0" w:after="0" w:line="283" w:lineRule="auto"/>
            </w:pPr>
            <w:r>
              <w:rPr>
                <w:rFonts w:ascii="Arial" w:hAnsi="Arial"/>
                <w:b/>
                <w:color w:val="061A11"/>
                <w:sz w:val="19"/>
              </w:rPr>
              <w:t>Sensibilidad en Salud Mental (Ley 1616/13)</w:t>
            </w:r>
          </w:p>
        </w:tc>
        <w:tc>
          <w:tcPr>
            <w:tcW w:type="dxa" w:w="1872"/>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Variable; suele usar jerga clínica o judicial fría</w:t>
            </w:r>
          </w:p>
        </w:tc>
        <w:tc>
          <w:tcPr>
            <w:tcW w:type="dxa" w:w="1872"/>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Usa clichés robóticos (AI Slop) y términos clínicos</w:t>
            </w:r>
          </w:p>
        </w:tc>
        <w:tc>
          <w:tcPr>
            <w:tcW w:type="dxa" w:w="1872"/>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Sin adaptación psicolingüística ni filtro de tono</w:t>
            </w:r>
          </w:p>
        </w:tc>
        <w:tc>
          <w:tcPr>
            <w:tcW w:type="dxa" w:w="1872"/>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Filtro Anti-Slop + Léxico No Patologizante + Peticiones 100% Incondicionadas</w:t>
            </w:r>
          </w:p>
        </w:tc>
      </w:tr>
      <w:tr>
        <w:tc>
          <w:tcPr>
            <w:tcW w:type="dxa" w:w="1872"/>
            <w:vAlign w:val="center"/>
            <w:shd w:fill="FFFFFF"/>
            <w:tcMar>
              <w:top w:w="110" w:type="dxa"/>
              <w:bottom w:w="110" w:type="dxa"/>
              <w:left w:w="140" w:type="dxa"/>
              <w:right w:w="140" w:type="dxa"/>
            </w:tcMar>
          </w:tcPr>
          <w:p>
            <w:pPr>
              <w:spacing w:before="0" w:after="0" w:line="283" w:lineRule="auto"/>
            </w:pPr>
            <w:r>
              <w:rPr>
                <w:rFonts w:ascii="Arial" w:hAnsi="Arial"/>
                <w:b/>
                <w:color w:val="061A11"/>
                <w:sz w:val="19"/>
              </w:rPr>
              <w:t>Enrutamiento Territorial en Antioquia</w:t>
            </w:r>
          </w:p>
        </w:tc>
        <w:tc>
          <w:tcPr>
            <w:tcW w:type="dxa" w:w="1872"/>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Requiere búsqueda manual de correos judiciales</w:t>
            </w:r>
          </w:p>
        </w:tc>
        <w:tc>
          <w:tcPr>
            <w:tcW w:type="dxa" w:w="1872"/>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Desconoce correos de reparto municipal de Antioquia</w:t>
            </w:r>
          </w:p>
        </w:tc>
        <w:tc>
          <w:tcPr>
            <w:tcW w:type="dxa" w:w="1872"/>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Solo cubre ciudades principales (Bogotá/Medellín)</w:t>
            </w:r>
          </w:p>
        </w:tc>
        <w:tc>
          <w:tcPr>
            <w:tcW w:type="dxa" w:w="1872"/>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125 Municipios de Antioquia (9 subregiones) + 8 Universidades G8 integrados</w:t>
            </w:r>
          </w:p>
        </w:tc>
      </w:tr>
      <w:tr>
        <w:tc>
          <w:tcPr>
            <w:tcW w:type="dxa" w:w="1872"/>
            <w:vAlign w:val="center"/>
            <w:shd w:fill="F5F9F7"/>
            <w:tcMar>
              <w:top w:w="110" w:type="dxa"/>
              <w:bottom w:w="110" w:type="dxa"/>
              <w:left w:w="140" w:type="dxa"/>
              <w:right w:w="140" w:type="dxa"/>
            </w:tcMar>
          </w:tcPr>
          <w:p>
            <w:pPr>
              <w:spacing w:before="0" w:after="0" w:line="283" w:lineRule="auto"/>
            </w:pPr>
            <w:r>
              <w:rPr>
                <w:rFonts w:ascii="Arial" w:hAnsi="Arial"/>
                <w:b/>
                <w:color w:val="061A11"/>
                <w:sz w:val="19"/>
              </w:rPr>
              <w:t>Costo Marginal por Caso Completo</w:t>
            </w:r>
          </w:p>
        </w:tc>
        <w:tc>
          <w:tcPr>
            <w:tcW w:type="dxa" w:w="1872"/>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~$650.000 COP (~$155 USD)</w:t>
            </w:r>
          </w:p>
        </w:tc>
        <w:tc>
          <w:tcPr>
            <w:tcW w:type="dxa" w:w="1872"/>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~$850 COP (~$0.20 USD en tokens + suscripción)</w:t>
            </w:r>
          </w:p>
        </w:tc>
        <w:tc>
          <w:tcPr>
            <w:tcW w:type="dxa" w:w="1872"/>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~$18.500 COP (~$4.40 USD por API empresarial)</w:t>
            </w:r>
          </w:p>
        </w:tc>
        <w:tc>
          <w:tcPr>
            <w:tcW w:type="dxa" w:w="1872"/>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$24 COP ($0.0057 USD por expediente completo PDF + DOCX)</w:t>
            </w:r>
          </w:p>
        </w:tc>
      </w:tr>
    </w:tbl>
    <w:p>
      <w:pPr>
        <w:spacing w:before="0" w:after="120"/>
      </w:pPr>
    </w:p>
    <w:p>
      <w:pPr>
        <w:keepNext/>
        <w:spacing w:before="280" w:after="100"/>
      </w:pPr>
      <w:r>
        <w:rPr>
          <w:rFonts w:ascii="Arial" w:hAnsi="Arial"/>
          <w:b/>
          <w:color w:val="00843D"/>
          <w:sz w:val="25"/>
        </w:rPr>
        <w:t>2.3. Aprendizaje Formativo Iterativo: Estudio de Caso Real en la Red G8</w:t>
      </w:r>
    </w:p>
    <w:p>
      <w:pPr>
        <w:spacing w:before="0" w:after="160" w:line="324" w:lineRule="auto"/>
        <w:jc w:val="both"/>
      </w:pPr>
      <w:r>
        <w:rPr>
          <w:rFonts w:ascii="Arial" w:hAnsi="Arial"/>
          <w:color w:val="1E293B"/>
          <w:sz w:val="22"/>
        </w:rPr>
        <w:t>Una evidencia central de nuestra investigación formativa fue el ciclo de refinamiento empírico documentado en docs/research/CASO_UDEA_CIENCIA_POLITICA_BENCHMARK.md y aplicado transversalmente a las 8 universidades del G8 (incluyendo Unilasallista y UdeA). En la Versión 1.0 del prototipo, cuando un estudiante solicitaba por voz la cancelación extemporánea de semestre por motivos de ansiedad y depresión, el generador producía un documento de 5 páginas con tono litigioso hostil, vocabulario psiquiátrico crudo y una petición subsidiaria que sugería 'suspender temporalmente la matrícula'. A través de la retroalimentación formativa, descubrimos tres reglas de oro que hoy son módulos de código auditados por pruebas unitarias:</w:t>
      </w:r>
    </w:p>
    <w:p>
      <w:pPr>
        <w:pStyle w:val="ListBullet"/>
        <w:spacing w:before="0" w:after="100" w:line="307" w:lineRule="auto"/>
        <w:jc w:val="both"/>
      </w:pPr>
      <w:r>
        <w:rPr>
          <w:rFonts w:ascii="Arial" w:hAnsi="Arial"/>
          <w:b/>
          <w:color w:val="006B31"/>
          <w:sz w:val="21"/>
        </w:rPr>
        <w:t xml:space="preserve">1. Regla de Presupuesto Cognitivo (src/page-budget-engine.js): </w:t>
      </w:r>
      <w:r>
        <w:rPr>
          <w:rFonts w:ascii="Arial" w:hAnsi="Arial"/>
          <w:color w:val="1E293B"/>
          <w:sz w:val="21"/>
        </w:rPr>
        <w:t>Reducción estricta a un máximo de 2.7–3.0 páginas sin duplicación de encabezados ni bloques redundantes.</w:t>
      </w:r>
    </w:p>
    <w:p>
      <w:pPr>
        <w:pStyle w:val="ListBullet"/>
        <w:spacing w:before="0" w:after="100" w:line="307" w:lineRule="auto"/>
        <w:jc w:val="both"/>
      </w:pPr>
      <w:r>
        <w:rPr>
          <w:rFonts w:ascii="Arial" w:hAnsi="Arial"/>
          <w:b/>
          <w:color w:val="006B31"/>
          <w:sz w:val="21"/>
        </w:rPr>
        <w:t xml:space="preserve">2. Regla de Léxico Digno y Autocrítica Sincera (src/non-pathologizing-lexicon.js y src/remorse-tone-injector.js): </w:t>
      </w:r>
      <w:r>
        <w:rPr>
          <w:rFonts w:ascii="Arial" w:hAnsi="Arial"/>
          <w:color w:val="1E293B"/>
          <w:sz w:val="21"/>
        </w:rPr>
        <w:t>Sustitución de diagnósticos clínicos invasivos por narrativa de bienestar emocional amparada en la Ley 1616 de 2013, integrando una reflexión humana y transparente sobre el aprendizaje ético del estudiante.</w:t>
      </w:r>
    </w:p>
    <w:p>
      <w:pPr>
        <w:pStyle w:val="ListBullet"/>
        <w:spacing w:before="0" w:after="100" w:line="307" w:lineRule="auto"/>
        <w:jc w:val="both"/>
      </w:pPr>
      <w:r>
        <w:rPr>
          <w:rFonts w:ascii="Arial" w:hAnsi="Arial"/>
          <w:b/>
          <w:color w:val="006B31"/>
          <w:sz w:val="21"/>
        </w:rPr>
        <w:t xml:space="preserve">3. Regla de Peticiones Incondicionadas (src/unconditioned-petition-validator.js): </w:t>
      </w:r>
      <w:r>
        <w:rPr>
          <w:rFonts w:ascii="Arial" w:hAnsi="Arial"/>
          <w:color w:val="1E293B"/>
          <w:sz w:val="21"/>
        </w:rPr>
        <w:t>Prohibición algorítmica de cualquier cláusula que condicione la permanencia o sugiera la pérdida o congelamiento punitivo del cupo estudiantil.</w:t>
      </w:r>
    </w:p>
    <w:p>
      <w:pPr>
        <w:spacing w:before="160" w:after="80"/>
        <w:jc w:val="center"/>
      </w:pPr>
      <w:r>
        <w:drawing>
          <wp:inline xmlns:a="http://schemas.openxmlformats.org/drawingml/2006/main" xmlns:pic="http://schemas.openxmlformats.org/drawingml/2006/picture">
            <wp:extent cx="5806440" cy="2967736"/>
            <wp:docPr id="2" name="Picture 2"/>
            <wp:cNvGraphicFramePr>
              <a:graphicFrameLocks noChangeAspect="1"/>
            </wp:cNvGraphicFramePr>
            <a:graphic>
              <a:graphicData uri="http://schemas.openxmlformats.org/drawingml/2006/picture">
                <pic:pic>
                  <pic:nvPicPr>
                    <pic:cNvPr id="0" name="fig2_benchmark_tco_alucinacion.png"/>
                    <pic:cNvPicPr/>
                  </pic:nvPicPr>
                  <pic:blipFill>
                    <a:blip r:embed="rId12"/>
                    <a:stretch>
                      <a:fillRect/>
                    </a:stretch>
                  </pic:blipFill>
                  <pic:spPr>
                    <a:xfrm>
                      <a:off x="0" y="0"/>
                      <a:ext cx="5806440" cy="2967736"/>
                    </a:xfrm>
                    <a:prstGeom prst="rect"/>
                  </pic:spPr>
                </pic:pic>
              </a:graphicData>
            </a:graphic>
          </wp:inline>
        </w:drawing>
      </w:r>
    </w:p>
    <w:p>
      <w:pPr>
        <w:spacing w:after="240"/>
        <w:jc w:val="center"/>
      </w:pPr>
      <w:r>
        <w:rPr>
          <w:rFonts w:ascii="Arial" w:hAnsi="Arial"/>
          <w:i/>
          <w:color w:val="64748B"/>
          <w:sz w:val="18"/>
        </w:rPr>
        <w:t>Figura 2. Benchmarking empírico multidimensional: precisión de subsunción, suficiencia probatoria Ψ(E) y reducción del costo marginal a $0.0057 USD. Fuente: Pruebas de laboratorio del proyecto JusticIA (2026).</w:t>
      </w:r>
    </w:p>
    <w:p>
      <w:pPr>
        <w:keepNext/>
        <w:spacing w:before="360" w:after="160"/>
        <w:pBdr>
          <w:bottom w:val="single" w:sz="12" w:space="4" w:color="00843D"/>
        </w:pBdr>
      </w:pPr>
      <w:r>
        <w:rPr>
          <w:rFonts w:ascii="Arial" w:hAnsi="Arial"/>
          <w:b/>
          <w:color w:val="041F13"/>
          <w:sz w:val="30"/>
        </w:rPr>
        <w:t>3. Justificación Ética Basada en Modelos Éticos de Inteligencia Artificial</w:t>
      </w:r>
    </w:p>
    <w:p>
      <w:pPr>
        <w:spacing w:before="0" w:after="160" w:line="324" w:lineRule="auto"/>
        <w:jc w:val="both"/>
      </w:pPr>
      <w:r>
        <w:rPr>
          <w:rFonts w:ascii="Arial" w:hAnsi="Arial"/>
          <w:color w:val="1E293B"/>
          <w:sz w:val="22"/>
        </w:rPr>
        <w:t>El despliegue de sistemas de Inteligencia Artificial en el ámbito del acceso a la justicia y la salud mental estudiantil conlleva riesgos éticos de alto impacto (High-Risk AI Systems según la taxonomía regulatoria internacional). Un sistema mal diseñado puede inducir al ciudadano al error procesal, vencer términos de caducidad, exponer datos clínicos sensibles o perpetuar sesgos socioeconómicos contra el hablado rural. Por ello, la arquitectura de JusticIA WhatsApp v2.5 no trata la ética como una declaración retórica externa, sino como restricciones de código ejecutables (Ethics-by-Design), fundamentadas en cinco modelos éticos de referencia internacional y nacional.</w:t>
      </w:r>
    </w:p>
    <w:p>
      <w:pPr>
        <w:keepNext/>
        <w:spacing w:before="280" w:after="100"/>
      </w:pPr>
      <w:r>
        <w:rPr>
          <w:rFonts w:ascii="Arial" w:hAnsi="Arial"/>
          <w:b/>
          <w:color w:val="00843D"/>
          <w:sz w:val="25"/>
        </w:rPr>
        <w:t>3.1. Modelo Principialista Unificado de Floridi y Cowls (2019)</w:t>
      </w:r>
    </w:p>
    <w:p>
      <w:pPr>
        <w:spacing w:before="0" w:after="160" w:line="324" w:lineRule="auto"/>
        <w:jc w:val="both"/>
      </w:pPr>
      <w:r>
        <w:rPr>
          <w:rFonts w:ascii="Arial" w:hAnsi="Arial"/>
          <w:color w:val="1E293B"/>
          <w:sz w:val="22"/>
        </w:rPr>
        <w:t>Luciano Floridi y Josh Cowls (2019), en su obra seminal 'A Unified Framework of Five Principles for AI in Society' (Harvard Data Science Review), sintetizan la bioética clásica de Beauchamp y Childress con la ética computacional contemporánea en cinco principios: Beneficencia, No Maleficencia, Autonomía, Justicia y Explicabilidad. A continuación, se demuestra cómo cada principio está programado en la arquitectura de JusticIA:</w:t>
      </w:r>
    </w:p>
    <w:p>
      <w:pPr>
        <w:pStyle w:val="ListBullet"/>
        <w:spacing w:before="0" w:after="100" w:line="307" w:lineRule="auto"/>
        <w:jc w:val="both"/>
      </w:pPr>
      <w:r>
        <w:rPr>
          <w:rFonts w:ascii="Arial" w:hAnsi="Arial"/>
          <w:b/>
          <w:color w:val="006B31"/>
          <w:sz w:val="21"/>
        </w:rPr>
        <w:t xml:space="preserve">1. Principio de Beneficencia (Promoción del Bienestar y la Dignidad Humana): </w:t>
      </w:r>
      <w:r>
        <w:rPr>
          <w:rFonts w:ascii="Arial" w:hAnsi="Arial"/>
          <w:color w:val="1E293B"/>
          <w:sz w:val="21"/>
        </w:rPr>
        <w:t>El sistema se orienta exclusivamente a la defensa de derechos fundamentales constitucionales (salud vital, mínimo vital de agua potable, permanencia educativa, protección del campesinado y derecho de petición). Cuando detecta riesgo vital o vulnerabilidad manifiesta V(K) &gt;= 75, activa automáticamente la solicitud de Medida Provisional Urgente de 48 horas (Art. 7 Decreto 2591 de 1991).</w:t>
      </w:r>
    </w:p>
    <w:p>
      <w:pPr>
        <w:pStyle w:val="ListBullet"/>
        <w:spacing w:before="0" w:after="100" w:line="307" w:lineRule="auto"/>
        <w:jc w:val="both"/>
      </w:pPr>
      <w:r>
        <w:rPr>
          <w:rFonts w:ascii="Arial" w:hAnsi="Arial"/>
          <w:b/>
          <w:color w:val="006B31"/>
          <w:sz w:val="21"/>
        </w:rPr>
        <w:t xml:space="preserve">2. Principio de No Maleficencia ('Primum non nocere' Algorítmico): </w:t>
      </w:r>
      <w:r>
        <w:rPr>
          <w:rFonts w:ascii="Arial" w:hAnsi="Arial"/>
          <w:color w:val="1E293B"/>
          <w:sz w:val="21"/>
        </w:rPr>
        <w:t>En derecho procesal, una petición mal formulada puede dañar irremediablemente al solicitante. JusticIA implementa tres salvaguardas de No Maleficencia en código: (a) el Validador de Peticiones Incondicionadas (src/unconditioned-petition-validator.js), que bloquea cualquier frase que implique renuncia de derechos o auto-suspensión académica; (b) el Léxico No Patologizante (src/non-pathologizing-lexicon.js), que evita el daño moral y el estigma psiquiátrico; y (c) el Guardián de Presunción de Buena Fe y Pruebas de Oficio, que impide que un ciudadano sea descartado por carecer de copia física de su historia clínica.</w:t>
      </w:r>
    </w:p>
    <w:p>
      <w:pPr>
        <w:pStyle w:val="ListBullet"/>
        <w:spacing w:before="0" w:after="100" w:line="307" w:lineRule="auto"/>
        <w:jc w:val="both"/>
      </w:pPr>
      <w:r>
        <w:rPr>
          <w:rFonts w:ascii="Arial" w:hAnsi="Arial"/>
          <w:b/>
          <w:color w:val="006B31"/>
          <w:sz w:val="21"/>
        </w:rPr>
        <w:t xml:space="preserve">3. Principio de Autonomía Humana (Agencia Ciudadana y Supervisión Human-in-the-Loop): </w:t>
      </w:r>
      <w:r>
        <w:rPr>
          <w:rFonts w:ascii="Arial" w:hAnsi="Arial"/>
          <w:color w:val="1E293B"/>
          <w:sz w:val="21"/>
        </w:rPr>
        <w:t>Conforme a Floridi y Cowls (2019), la IA no debe usurpar la capacidad de decisión moral y jurídica de la persona. JusticIA incluye un nodo obligatorio de Revisión Previa a la Radicación (src/pre-submission-review.js): el agente entrega el borrador PDF/DOCX y explica en lenguaje claro qué derechos se invocan y ante qué autoridad se dirigirá, garantizando que el ciudadano conserve el control soberano de firmar, editar o desistir.</w:t>
      </w:r>
    </w:p>
    <w:p>
      <w:pPr>
        <w:pStyle w:val="ListBullet"/>
        <w:spacing w:before="0" w:after="100" w:line="307" w:lineRule="auto"/>
        <w:jc w:val="both"/>
      </w:pPr>
      <w:r>
        <w:rPr>
          <w:rFonts w:ascii="Arial" w:hAnsi="Arial"/>
          <w:b/>
          <w:color w:val="006B31"/>
          <w:sz w:val="21"/>
        </w:rPr>
        <w:t xml:space="preserve">4. Principio de Justicia (Equidad Distributiva y No Discriminación Territorial): </w:t>
      </w:r>
      <w:r>
        <w:rPr>
          <w:rFonts w:ascii="Arial" w:hAnsi="Arial"/>
          <w:color w:val="1E293B"/>
          <w:sz w:val="21"/>
        </w:rPr>
        <w:t>Corrige la asimetría histórica entre el centro metropolitano (Medellín) y la periferia rural (Urabá, Bajo Cauca, Magdalena Medio, Nordeste), poniendo a disposición de cualquier habitante de los 125 municipios el mismo estándar dogmático de un bufete especializado de alto nivel de forma 100% gratuita.</w:t>
      </w:r>
    </w:p>
    <w:p>
      <w:pPr>
        <w:pStyle w:val="ListBullet"/>
        <w:spacing w:before="0" w:after="100" w:line="307" w:lineRule="auto"/>
        <w:jc w:val="both"/>
      </w:pPr>
      <w:r>
        <w:rPr>
          <w:rFonts w:ascii="Arial" w:hAnsi="Arial"/>
          <w:b/>
          <w:color w:val="006B31"/>
          <w:sz w:val="21"/>
        </w:rPr>
        <w:t xml:space="preserve">5. Principio de Explicabilidad e Inteligibilidad (Transparencia Epistémica y Trazabilidad): </w:t>
      </w:r>
      <w:r>
        <w:rPr>
          <w:rFonts w:ascii="Arial" w:hAnsi="Arial"/>
          <w:color w:val="1E293B"/>
          <w:sz w:val="21"/>
        </w:rPr>
        <w:t>A diferencia de las redes neuronales de caja negra, la función S(K) = &lt;H, E, T, V&gt; expone de forma determinista y auditable por qué se seleccionó una ruta constitucional, qué puntaje exacto obtuvo la suficiencia probatoria Ψ(E), qué precedentes se aplicaron y cuál es el correo oficial del juzgado competente.</w:t>
      </w:r>
    </w:p>
    <w:p>
      <w:pPr>
        <w:keepNext/>
        <w:spacing w:before="280" w:after="100"/>
      </w:pPr>
      <w:r>
        <w:rPr>
          <w:rFonts w:ascii="Arial" w:hAnsi="Arial"/>
          <w:b/>
          <w:color w:val="00843D"/>
          <w:sz w:val="25"/>
        </w:rPr>
        <w:t>3.2. Recomendación de la UNESCO sobre la Ética de la IA (2021) y Principios OCDE / CONPES 4144</w:t>
      </w:r>
    </w:p>
    <w:p>
      <w:pPr>
        <w:spacing w:before="0" w:after="160" w:line="324" w:lineRule="auto"/>
        <w:jc w:val="both"/>
      </w:pPr>
      <w:r>
        <w:rPr>
          <w:rFonts w:ascii="Arial" w:hAnsi="Arial"/>
          <w:color w:val="1E293B"/>
          <w:sz w:val="22"/>
        </w:rPr>
        <w:t>La Recomendación sobre la Ética de la Inteligencia Artificial de la UNESCO (2021) enfatiza la preservación de la diversidad cultural y lingüística y la prohibición de que la brecha digital se convierta en una brecha de derechos humanos. En coherencia con este mandato y con la Política Nacional de Inteligencia Artificial de Colombia (CONPES 3975 de 2019 y CONPES 4144 de 2025), JusticIA incorpora un Normalizador Fonético y Léxico Colombiano (src/colombian-spanish-normalizer.js) que comprende expresiones campesinas y regionales antioqueñas ('no me despachan la droga', 'me mocharon el agua', 'brega con la EPS') sin exigir al ciudadano expresarse en jerga forense.</w:t>
      </w:r>
    </w:p>
    <w:p>
      <w:pPr>
        <w:keepNext/>
        <w:spacing w:before="280" w:after="100"/>
      </w:pPr>
      <w:r>
        <w:rPr>
          <w:rFonts w:ascii="Arial" w:hAnsi="Arial"/>
          <w:b/>
          <w:color w:val="00843D"/>
          <w:sz w:val="25"/>
        </w:rPr>
        <w:t>3.3. Enfoque de las Capacidades (Capability Approach) de Amartya Sen y Martha Nussbaum</w:t>
      </w:r>
    </w:p>
    <w:p>
      <w:pPr>
        <w:spacing w:before="0" w:after="160" w:line="324" w:lineRule="auto"/>
        <w:jc w:val="both"/>
      </w:pPr>
      <w:r>
        <w:rPr>
          <w:rFonts w:ascii="Arial" w:hAnsi="Arial"/>
          <w:color w:val="1E293B"/>
          <w:sz w:val="22"/>
        </w:rPr>
        <w:t>Desde la filosofía política de Amartya Sen (1999) y Martha Nussbaum (2011), la justicia social no se mide por la mera existencia formal de derechos en los textos constitucionales, sino por las capacidades reales (capabilities) y funcionamientos efectivos que tienen las personas para convertir esos derechos en libertades tangibles. JusticIA opera como un 'factor de conversión tecnológico' que transforma el derecho abstracto del artículo 86 de la Constitución en una capacidad material inmediata en el teléfono móvil del ciudadano rural o del estudiante universitario.</w:t>
      </w:r>
    </w:p>
    <w:p>
      <w:pPr>
        <w:keepNext/>
        <w:spacing w:before="280" w:after="100"/>
      </w:pPr>
      <w:r>
        <w:rPr>
          <w:rFonts w:ascii="Arial" w:hAnsi="Arial"/>
          <w:b/>
          <w:color w:val="00843D"/>
          <w:sz w:val="25"/>
        </w:rPr>
        <w:t>3.4. Privacidad por Diseño (Privacy by Design — Cavoukian, 2009) y Habeas Data (Ley 1581 de 2012)</w:t>
      </w:r>
    </w:p>
    <w:p>
      <w:pPr>
        <w:spacing w:before="0" w:after="160" w:line="324" w:lineRule="auto"/>
        <w:jc w:val="both"/>
      </w:pPr>
      <w:r>
        <w:rPr>
          <w:rFonts w:ascii="Arial" w:hAnsi="Arial"/>
          <w:color w:val="1E293B"/>
          <w:sz w:val="22"/>
        </w:rPr>
        <w:t>Dado que el sistema procesa datos sensibles (estado de salud física y mental, historia académica, situación socioeconómica y ubicación veredal), se implementó el modelo de Privacidad por Diseño de Ann Cavoukian (2009) en estricto cumplimiento de la Ley Estatutaria 1581 de 2012 y la Sentencia C-748 de 2011: (i) Compuerta Inicial Obligatoria de Consentimiento Informado (ningún dato se procesa si el usuario no autoriza expresamente el tratamiento ético en el paso 1); (ii) Minimización y Retención Cero de notas de voz tras la extracción fáctica; y (iii) Aislamiento estricto de canales en WhatsApp (src/channel-resolver.js), garantizando que el agente opere únicamente sobre canales autorizados.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2340"/>
        <w:gridCol w:w="2340"/>
        <w:gridCol w:w="2340"/>
        <w:gridCol w:w="2340"/>
      </w:tblGrid>
      <w:tr>
        <w:tc>
          <w:tcPr>
            <w:tcW w:type="dxa" w:w="2340"/>
            <w:vAlign w:val="center"/>
            <w:shd w:fill="041F13"/>
            <w:tcMar>
              <w:top w:w="140" w:type="dxa"/>
              <w:bottom w:w="140" w:type="dxa"/>
              <w:left w:w="140" w:type="dxa"/>
              <w:right w:w="140" w:type="dxa"/>
            </w:tcMar>
          </w:tcPr>
          <w:p>
            <w:pPr>
              <w:spacing w:before="0" w:after="0"/>
            </w:pPr>
            <w:r>
              <w:rPr>
                <w:rFonts w:ascii="Arial" w:hAnsi="Arial"/>
                <w:b/>
                <w:color w:val="FFFFFF"/>
                <w:sz w:val="19"/>
              </w:rPr>
              <w:t>Modelo Ético de IA</w:t>
            </w:r>
          </w:p>
        </w:tc>
        <w:tc>
          <w:tcPr>
            <w:tcW w:type="dxa" w:w="2340"/>
            <w:vAlign w:val="center"/>
            <w:shd w:fill="041F13"/>
            <w:tcMar>
              <w:top w:w="140" w:type="dxa"/>
              <w:bottom w:w="140" w:type="dxa"/>
              <w:left w:w="140" w:type="dxa"/>
              <w:right w:w="140" w:type="dxa"/>
            </w:tcMar>
          </w:tcPr>
          <w:p>
            <w:pPr>
              <w:spacing w:before="0" w:after="0"/>
            </w:pPr>
            <w:r>
              <w:rPr>
                <w:rFonts w:ascii="Arial" w:hAnsi="Arial"/>
                <w:b/>
                <w:color w:val="FFFFFF"/>
                <w:sz w:val="19"/>
              </w:rPr>
              <w:t>Autor / Instrumento</w:t>
            </w:r>
          </w:p>
        </w:tc>
        <w:tc>
          <w:tcPr>
            <w:tcW w:type="dxa" w:w="2340"/>
            <w:vAlign w:val="center"/>
            <w:shd w:fill="041F13"/>
            <w:tcMar>
              <w:top w:w="140" w:type="dxa"/>
              <w:bottom w:w="140" w:type="dxa"/>
              <w:left w:w="140" w:type="dxa"/>
              <w:right w:w="140" w:type="dxa"/>
            </w:tcMar>
          </w:tcPr>
          <w:p>
            <w:pPr>
              <w:spacing w:before="0" w:after="0"/>
            </w:pPr>
            <w:r>
              <w:rPr>
                <w:rFonts w:ascii="Arial" w:hAnsi="Arial"/>
                <w:b/>
                <w:color w:val="FFFFFF"/>
                <w:sz w:val="19"/>
              </w:rPr>
              <w:t>Riesgo Ético Mitigado</w:t>
            </w:r>
          </w:p>
        </w:tc>
        <w:tc>
          <w:tcPr>
            <w:tcW w:type="dxa" w:w="2340"/>
            <w:vAlign w:val="center"/>
            <w:shd w:fill="041F13"/>
            <w:tcMar>
              <w:top w:w="140" w:type="dxa"/>
              <w:bottom w:w="140" w:type="dxa"/>
              <w:left w:w="140" w:type="dxa"/>
              <w:right w:w="140" w:type="dxa"/>
            </w:tcMar>
          </w:tcPr>
          <w:p>
            <w:pPr>
              <w:spacing w:before="0" w:after="0"/>
            </w:pPr>
            <w:r>
              <w:rPr>
                <w:rFonts w:ascii="Arial" w:hAnsi="Arial"/>
                <w:b/>
                <w:color w:val="FFFFFF"/>
                <w:sz w:val="19"/>
              </w:rPr>
              <w:t>Módulo Técnico Implementado en JusticIA v2.5</w:t>
            </w:r>
          </w:p>
        </w:tc>
      </w:tr>
      <w:tr>
        <w:tc>
          <w:tcPr>
            <w:tcW w:type="dxa" w:w="2340"/>
            <w:vAlign w:val="center"/>
            <w:shd w:fill="FFFFFF"/>
            <w:tcMar>
              <w:top w:w="110" w:type="dxa"/>
              <w:bottom w:w="110" w:type="dxa"/>
              <w:left w:w="140" w:type="dxa"/>
              <w:right w:w="140" w:type="dxa"/>
            </w:tcMar>
          </w:tcPr>
          <w:p>
            <w:pPr>
              <w:spacing w:before="0" w:after="0" w:line="283" w:lineRule="auto"/>
            </w:pPr>
            <w:r>
              <w:rPr>
                <w:rFonts w:ascii="Arial" w:hAnsi="Arial"/>
                <w:b/>
                <w:color w:val="061A11"/>
                <w:sz w:val="19"/>
              </w:rPr>
              <w:t>Cinco Principios de la IA (Beneficencia, No Maleficencia, Autonomía, Justicia, Explicabilidad)</w:t>
            </w:r>
          </w:p>
        </w:tc>
        <w:tc>
          <w:tcPr>
            <w:tcW w:type="dxa" w:w="2340"/>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Floridi &amp; Cowls (2019) — Harvard Data Science Review</w:t>
            </w:r>
          </w:p>
        </w:tc>
        <w:tc>
          <w:tcPr>
            <w:tcW w:type="dxa" w:w="2340"/>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Opacidad algorítmica, daño procesal por auto-incriminación y pérdida de agencia ciudadana</w:t>
            </w:r>
          </w:p>
        </w:tc>
        <w:tc>
          <w:tcPr>
            <w:tcW w:type="dxa" w:w="2340"/>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src/legal-subsunction-engine.js, src/unconditioned-petition-validator.js y src/pre-submission-review.js</w:t>
            </w:r>
          </w:p>
        </w:tc>
      </w:tr>
      <w:tr>
        <w:tc>
          <w:tcPr>
            <w:tcW w:type="dxa" w:w="2340"/>
            <w:vAlign w:val="center"/>
            <w:shd w:fill="F5F9F7"/>
            <w:tcMar>
              <w:top w:w="110" w:type="dxa"/>
              <w:bottom w:w="110" w:type="dxa"/>
              <w:left w:w="140" w:type="dxa"/>
              <w:right w:w="140" w:type="dxa"/>
            </w:tcMar>
          </w:tcPr>
          <w:p>
            <w:pPr>
              <w:spacing w:before="0" w:after="0" w:line="283" w:lineRule="auto"/>
            </w:pPr>
            <w:r>
              <w:rPr>
                <w:rFonts w:ascii="Arial" w:hAnsi="Arial"/>
                <w:b/>
                <w:color w:val="061A11"/>
                <w:sz w:val="19"/>
              </w:rPr>
              <w:t>Ética de la IA, Diversidad Cultural e Inclusión Lingüística</w:t>
            </w:r>
          </w:p>
        </w:tc>
        <w:tc>
          <w:tcPr>
            <w:tcW w:type="dxa" w:w="2340"/>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UNESCO (2021) — Recomendación Global sobre Ética de la IA</w:t>
            </w:r>
          </w:p>
        </w:tc>
        <w:tc>
          <w:tcPr>
            <w:tcW w:type="dxa" w:w="2340"/>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Exclusión de hablantes rurales, campesinos o adultos mayores por barreras de tecnicismo legal</w:t>
            </w:r>
          </w:p>
        </w:tc>
        <w:tc>
          <w:tcPr>
            <w:tcW w:type="dxa" w:w="2340"/>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src/colombian-spanish-normalizer.js, src/voice-intent-parser.js y Selector Bimodal de Lenguaje</w:t>
            </w:r>
          </w:p>
        </w:tc>
      </w:tr>
      <w:tr>
        <w:tc>
          <w:tcPr>
            <w:tcW w:type="dxa" w:w="2340"/>
            <w:vAlign w:val="center"/>
            <w:shd w:fill="FFFFFF"/>
            <w:tcMar>
              <w:top w:w="110" w:type="dxa"/>
              <w:bottom w:w="110" w:type="dxa"/>
              <w:left w:w="140" w:type="dxa"/>
              <w:right w:w="140" w:type="dxa"/>
            </w:tcMar>
          </w:tcPr>
          <w:p>
            <w:pPr>
              <w:spacing w:before="0" w:after="0" w:line="283" w:lineRule="auto"/>
            </w:pPr>
            <w:r>
              <w:rPr>
                <w:rFonts w:ascii="Arial" w:hAnsi="Arial"/>
                <w:b/>
                <w:color w:val="061A11"/>
                <w:sz w:val="19"/>
              </w:rPr>
              <w:t>Ética del Cuidado y Desmedicalización en Salud Mental</w:t>
            </w:r>
          </w:p>
        </w:tc>
        <w:tc>
          <w:tcPr>
            <w:tcW w:type="dxa" w:w="2340"/>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Ley Estatutaria 1616 de 2013 &amp; Gilligan (1982)</w:t>
            </w:r>
          </w:p>
        </w:tc>
        <w:tc>
          <w:tcPr>
            <w:tcW w:type="dxa" w:w="2340"/>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Revictimización y estigmatización psiquiátrica de estudiantes universitarios ante Consejos de Facultad</w:t>
            </w:r>
          </w:p>
        </w:tc>
        <w:tc>
          <w:tcPr>
            <w:tcW w:type="dxa" w:w="2340"/>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src/non-pathologizing-lexicon.js y src/remorse-tone-injector.js</w:t>
            </w:r>
          </w:p>
        </w:tc>
      </w:tr>
      <w:tr>
        <w:tc>
          <w:tcPr>
            <w:tcW w:type="dxa" w:w="2340"/>
            <w:vAlign w:val="center"/>
            <w:shd w:fill="F5F9F7"/>
            <w:tcMar>
              <w:top w:w="110" w:type="dxa"/>
              <w:bottom w:w="110" w:type="dxa"/>
              <w:left w:w="140" w:type="dxa"/>
              <w:right w:w="140" w:type="dxa"/>
            </w:tcMar>
          </w:tcPr>
          <w:p>
            <w:pPr>
              <w:spacing w:before="0" w:after="0" w:line="283" w:lineRule="auto"/>
            </w:pPr>
            <w:r>
              <w:rPr>
                <w:rFonts w:ascii="Arial" w:hAnsi="Arial"/>
                <w:b/>
                <w:color w:val="061A11"/>
                <w:sz w:val="19"/>
              </w:rPr>
              <w:t>Enfoque de las Capacidades (Capability Approach)</w:t>
            </w:r>
          </w:p>
        </w:tc>
        <w:tc>
          <w:tcPr>
            <w:tcW w:type="dxa" w:w="2340"/>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Sen (1999) &amp; Nussbaum (2011) — Creating Capabilities</w:t>
            </w:r>
          </w:p>
        </w:tc>
        <w:tc>
          <w:tcPr>
            <w:tcW w:type="dxa" w:w="2340"/>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Ineficacia material de los derechos constitucionales por costos de transacción y distancia geográfica</w:t>
            </w:r>
          </w:p>
        </w:tc>
        <w:tc>
          <w:tcPr>
            <w:tcW w:type="dxa" w:w="2340"/>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data/antioquia_directory.json (125 municipios) y operación gratuita sobre WhatsApp ($0.0057 USD)</w:t>
            </w:r>
          </w:p>
        </w:tc>
      </w:tr>
      <w:tr>
        <w:tc>
          <w:tcPr>
            <w:tcW w:type="dxa" w:w="2340"/>
            <w:vAlign w:val="center"/>
            <w:shd w:fill="FFFFFF"/>
            <w:tcMar>
              <w:top w:w="110" w:type="dxa"/>
              <w:bottom w:w="110" w:type="dxa"/>
              <w:left w:w="140" w:type="dxa"/>
              <w:right w:w="140" w:type="dxa"/>
            </w:tcMar>
          </w:tcPr>
          <w:p>
            <w:pPr>
              <w:spacing w:before="0" w:after="0" w:line="283" w:lineRule="auto"/>
            </w:pPr>
            <w:r>
              <w:rPr>
                <w:rFonts w:ascii="Arial" w:hAnsi="Arial"/>
                <w:b/>
                <w:color w:val="061A11"/>
                <w:sz w:val="19"/>
              </w:rPr>
              <w:t>Privacidad por Diseño (Privacy by Design) y Habeas Data</w:t>
            </w:r>
          </w:p>
        </w:tc>
        <w:tc>
          <w:tcPr>
            <w:tcW w:type="dxa" w:w="2340"/>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Cavoukian (2009) &amp; Ley Estatutaria 1581 de 2012</w:t>
            </w:r>
          </w:p>
        </w:tc>
        <w:tc>
          <w:tcPr>
            <w:tcW w:type="dxa" w:w="2340"/>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Captura no consentida de historias clínicas o exposición de sesiones criptográficas en WhatsApp</w:t>
            </w:r>
          </w:p>
        </w:tc>
        <w:tc>
          <w:tcPr>
            <w:tcW w:type="dxa" w:w="2340"/>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src/session-manager.js (Compuerta Habeas Data + Auto-Healer Signal) y src/channel-resolver.js</w:t>
            </w:r>
          </w:p>
        </w:tc>
      </w:tr>
    </w:tbl>
    <w:p>
      <w:pPr>
        <w:spacing w:before="0" w:after="120"/>
      </w:pPr>
    </w:p>
    <w:p>
      <w:pPr>
        <w:keepNext/>
        <w:spacing w:before="360" w:after="160"/>
        <w:pBdr>
          <w:bottom w:val="single" w:sz="12" w:space="4" w:color="00843D"/>
        </w:pBdr>
      </w:pPr>
      <w:r>
        <w:rPr>
          <w:rFonts w:ascii="Arial" w:hAnsi="Arial"/>
          <w:b/>
          <w:color w:val="041F13"/>
          <w:sz w:val="30"/>
        </w:rPr>
        <w:t>4. Análisis de Impacto Esperado en la Sociedad, la Educación, la Inclusión y la Cultura</w:t>
      </w:r>
    </w:p>
    <w:p>
      <w:pPr>
        <w:spacing w:before="0" w:after="160" w:line="324" w:lineRule="auto"/>
        <w:jc w:val="both"/>
      </w:pPr>
      <w:r>
        <w:rPr>
          <w:rFonts w:ascii="Arial" w:hAnsi="Arial"/>
          <w:color w:val="1E293B"/>
          <w:sz w:val="22"/>
        </w:rPr>
        <w:t>El impacto de JusticIA WhatsApp v2.5 ha sido estructurado y medido en cuatro dimensiones estratégicas alineadas con las metas de equidad territorial de la Agenda Antioquia 2040 y la misión social de la Alianza Universitaria G8.</w:t>
      </w:r>
    </w:p>
    <w:p>
      <w:pPr>
        <w:keepNext/>
        <w:spacing w:before="280" w:after="100"/>
      </w:pPr>
      <w:r>
        <w:rPr>
          <w:rFonts w:ascii="Arial" w:hAnsi="Arial"/>
          <w:b/>
          <w:color w:val="00843D"/>
          <w:sz w:val="25"/>
        </w:rPr>
        <w:t>4.1. Impacto en la Sociedad: Democratización Constitucional en las 9 Subregiones de Antioquia</w:t>
      </w:r>
    </w:p>
    <w:p>
      <w:pPr>
        <w:spacing w:before="0" w:after="160" w:line="324" w:lineRule="auto"/>
        <w:jc w:val="both"/>
      </w:pPr>
      <w:r>
        <w:rPr>
          <w:rFonts w:ascii="Arial" w:hAnsi="Arial"/>
          <w:color w:val="1E293B"/>
          <w:sz w:val="22"/>
        </w:rPr>
        <w:t>En la dimensión social, el proyecto ataca directamente la congestión y la barrera de entrada al sistema judicial en los 125 municipios de Antioquia. Al integrar el directorio completo de juzgados promiscuos municipales, oficinas de reparto judicial y personerías de las 9 subregiones (Valle de Aburrá, Oriente, Suroeste, Occidente, Norte, Nordeste, Bajo Cauca, Magdalena Medio y Urabá), un ciudadano en Caucasia a quien su EPS le niega un medicamento oncológico vital o una familia en Apartadó que sufre un corte arbitrario de agua potable con niños menores obtiene en menos de 45 segundos una minuta constitucional técnicamente blindada y lista para radicar. Desde el punto de vista económico-social, cada caso tramitado representa un ahorro directo estimado de $650.000 COP para el hogar vulnerable y reduce la tasa de rechazo formal en los despachos judiciales gracias a la estructuración ordenada de hechos, pruebas y pretensiones.</w:t>
      </w:r>
    </w:p>
    <w:p>
      <w:pPr>
        <w:keepNext/>
        <w:spacing w:before="280" w:after="100"/>
      </w:pPr>
      <w:r>
        <w:rPr>
          <w:rFonts w:ascii="Arial" w:hAnsi="Arial"/>
          <w:b/>
          <w:color w:val="00843D"/>
          <w:sz w:val="25"/>
        </w:rPr>
        <w:t>4.2. Impacto en la Educación Superior: Permanencia Estudiantil y Red de Consultorios Jurídicos G8</w:t>
      </w:r>
    </w:p>
    <w:p>
      <w:pPr>
        <w:spacing w:before="0" w:after="160" w:line="324" w:lineRule="auto"/>
        <w:jc w:val="both"/>
      </w:pPr>
      <w:r>
        <w:rPr>
          <w:rFonts w:ascii="Arial" w:hAnsi="Arial"/>
          <w:color w:val="1E293B"/>
          <w:sz w:val="22"/>
        </w:rPr>
        <w:t>En el ámbito educativo, JusticIA genera un doble impacto transformador dentro de las 8 instituciones de la Cátedra G8 (Universidad de Antioquia, Universidad EAFIT, Universidad Pontificia Bolivariana, Corporación Universitaria Lasallista, Universidad EIA, Universidad de Medellín, Universidad CES e Institución Universitaria Pascual Bravo):</w:t>
      </w:r>
    </w:p>
    <w:p>
      <w:pPr>
        <w:pStyle w:val="ListBullet"/>
        <w:spacing w:before="0" w:after="100" w:line="307" w:lineRule="auto"/>
        <w:jc w:val="both"/>
      </w:pPr>
      <w:r>
        <w:rPr>
          <w:rFonts w:ascii="Arial" w:hAnsi="Arial"/>
          <w:b/>
          <w:color w:val="006B31"/>
          <w:sz w:val="21"/>
        </w:rPr>
        <w:t xml:space="preserve">Prevención de la Deserción Universitaria por Salud Mental: </w:t>
      </w:r>
      <w:r>
        <w:rPr>
          <w:rFonts w:ascii="Arial" w:hAnsi="Arial"/>
          <w:color w:val="1E293B"/>
          <w:sz w:val="21"/>
        </w:rPr>
        <w:t>Las crisis de ansiedad, depresión y agotamiento emocional constituyen una de las principales causas de pérdida de calidad de estudiante y deserción en la educación superior colombiana. El módulo especializado CANCELACION_ACADEMICA_SALUD permite a los estudiantes fundamentar solicitudes de cancelación extemporánea de asignaturas o semestre invocando la doctrina de fuerza mayor en salud mental (Sentencias T-441/12, T-574/17, T-310/21 y T-238/24), protegiendo su cupo y promedio académico sin exponer su intimidad clínica.</w:t>
      </w:r>
    </w:p>
    <w:p>
      <w:pPr>
        <w:pStyle w:val="ListBullet"/>
        <w:spacing w:before="0" w:after="100" w:line="307" w:lineRule="auto"/>
        <w:jc w:val="both"/>
      </w:pPr>
      <w:r>
        <w:rPr>
          <w:rFonts w:ascii="Arial" w:hAnsi="Arial"/>
          <w:b/>
          <w:color w:val="006B31"/>
          <w:sz w:val="21"/>
        </w:rPr>
        <w:t xml:space="preserve">Modernización Pedagógica de los Consultorios Jurídicos: </w:t>
      </w:r>
      <w:r>
        <w:rPr>
          <w:rFonts w:ascii="Arial" w:hAnsi="Arial"/>
          <w:color w:val="1E293B"/>
          <w:sz w:val="21"/>
        </w:rPr>
        <w:t>El Estudio en Vivo desplegado en https://babylonias.com/justicia-whatsapp/ funciona como un laboratorio pedagógico abierto donde estudiantes de Derecho, Ingeniería, Psicología y Administración pueden experimentar en tiempo real cómo interactúan la subsunción constitucional, la analítica de datos y la ética de la IA.</w:t>
      </w:r>
    </w:p>
    <w:p>
      <w:pPr>
        <w:keepNext/>
        <w:spacing w:before="280" w:after="100"/>
      </w:pPr>
      <w:r>
        <w:rPr>
          <w:rFonts w:ascii="Arial" w:hAnsi="Arial"/>
          <w:b/>
          <w:color w:val="00843D"/>
          <w:sz w:val="25"/>
        </w:rPr>
        <w:t>4.3. Impacto en la Inclusión: Accesibilidad Multimodal, Rural y Móvil</w:t>
      </w:r>
    </w:p>
    <w:p>
      <w:pPr>
        <w:spacing w:before="0" w:after="160" w:line="324" w:lineRule="auto"/>
        <w:jc w:val="both"/>
      </w:pPr>
      <w:r>
        <w:rPr>
          <w:rFonts w:ascii="Arial" w:hAnsi="Arial"/>
          <w:color w:val="1E293B"/>
          <w:sz w:val="22"/>
        </w:rPr>
        <w:t>El proyecto materializa la inclusión social y digital en tres niveles: (i) Inclusión de personas con baja alfabetización lectoescritora o adultos mayores mediante el procesamiento de notas de voz conversacionales (src/voice-intent-parser.js); (ii) Inclusión de sujetos de especial protección agraria (campesinado antioqueño bajo el Acto Legislativo 01 de 2023) a través de la ruta específica PROTECCION_CAMPESINA; y (iii) Inclusión tecnológica universal gracias al diseño web 100% responsivo y adaptable a cualquier dispositivo móvil (desde teléfonos de gama de entrada con pantallas de 320 px hasta estaciones de escritorio), con operación cliente-servidor autónoma.</w:t>
      </w:r>
    </w:p>
    <w:p>
      <w:pPr>
        <w:keepNext/>
        <w:spacing w:before="280" w:after="100"/>
      </w:pPr>
      <w:r>
        <w:rPr>
          <w:rFonts w:ascii="Arial" w:hAnsi="Arial"/>
          <w:b/>
          <w:color w:val="00843D"/>
          <w:sz w:val="25"/>
        </w:rPr>
        <w:t>4.4. Impacto en la Cultura: Cultura de la Legalidad, Dignidad y Despatologización</w:t>
      </w:r>
    </w:p>
    <w:p>
      <w:pPr>
        <w:spacing w:before="0" w:after="160" w:line="324" w:lineRule="auto"/>
        <w:jc w:val="both"/>
      </w:pPr>
      <w:r>
        <w:rPr>
          <w:rFonts w:ascii="Arial" w:hAnsi="Arial"/>
          <w:color w:val="1E293B"/>
          <w:sz w:val="22"/>
        </w:rPr>
        <w:t>En la dimensión cultural, JusticIA promueve el tránsito desde la 'cultura de la resignación ante el abuso burocrático' o las vías de hecho hacia una cultura ciudadana de exigibilidad pacífica, razonada y constitucional de los derechos. Asimismo, al sustituir el lenguaje psiquiátrico punitivo o estigmatizante por un léxico de cuidado, dignidad humana y corresponsabilidad ética, contribuye a transformar la cultura institucional de las universidades y entidades públicas frente al bienestar emocional.</w:t>
      </w:r>
    </w:p>
    <w:p>
      <w:pPr>
        <w:keepNext/>
        <w:spacing w:before="360" w:after="160"/>
        <w:pBdr>
          <w:bottom w:val="single" w:sz="12" w:space="4" w:color="00843D"/>
        </w:pBdr>
      </w:pPr>
      <w:r>
        <w:rPr>
          <w:rFonts w:ascii="Arial" w:hAnsi="Arial"/>
          <w:b/>
          <w:color w:val="041F13"/>
          <w:sz w:val="30"/>
        </w:rPr>
        <w:t>5. Pruebas Iniciales, Datos Preliminares y Evidencia del Prototipo en Acción</w:t>
      </w:r>
    </w:p>
    <w:p>
      <w:pPr>
        <w:spacing w:before="0" w:after="160" w:line="324" w:lineRule="auto"/>
        <w:jc w:val="both"/>
      </w:pPr>
      <w:r>
        <w:rPr>
          <w:rFonts w:ascii="Arial" w:hAnsi="Arial"/>
          <w:color w:val="1E293B"/>
          <w:sz w:val="22"/>
        </w:rPr>
        <w:t>A diferencia de propuestas meramente conceptuales o maquetas estáticas (mockups), JusticIA WhatsApp se presenta en esta entrega como un prototipo funcional en fase avanzada (TRL 7 — Sistema demostrado en entorno operativo real), compuesto por 22 módulos de código en producción, una suite automatizada de 13 pruebas unitarias y de integración, un Libro Mayor analítico con datos preliminares reales y un portal web interactivo desplegado públicamente.</w:t>
      </w:r>
    </w:p>
    <w:p>
      <w:pPr>
        <w:keepNext/>
        <w:spacing w:before="280" w:after="100"/>
      </w:pPr>
      <w:r>
        <w:rPr>
          <w:rFonts w:ascii="Arial" w:hAnsi="Arial"/>
          <w:b/>
          <w:color w:val="00843D"/>
          <w:sz w:val="25"/>
        </w:rPr>
        <w:t>5.1. Arquitectura Desplegada en Producción y Experiencia Móvil Adaptativa</w:t>
      </w:r>
    </w:p>
    <w:p>
      <w:pPr>
        <w:spacing w:before="0" w:after="160" w:line="324" w:lineRule="auto"/>
        <w:jc w:val="both"/>
      </w:pPr>
      <w:r>
        <w:rPr>
          <w:rFonts w:ascii="Arial" w:hAnsi="Arial"/>
          <w:color w:val="1E293B"/>
          <w:sz w:val="22"/>
        </w:rPr>
        <w:t>El prototipo se encuentra alojado y operativo 24/7 en https://babylonias.com/justicia-whatsapp/ e integrado en el panel de desarrollos de https://babylonias.com/#panel-demo. Su interfaz implementa el estándar visual Palo Alto Networks Enterprise × Crystal-Clear Glassmorphism × Colores de Antioquia (Verde Esmeralda #00843D, Blanco Puro #FFFFFF y Oro Mariscal #C8961E) e integra seis componentes interactivos verificables desde cualquier computador o teléfono móvil:</w:t>
      </w:r>
    </w:p>
    <w:p>
      <w:pPr>
        <w:pStyle w:val="ListBullet"/>
        <w:spacing w:before="0" w:after="100" w:line="307" w:lineRule="auto"/>
        <w:jc w:val="both"/>
      </w:pPr>
      <w:r>
        <w:rPr>
          <w:rFonts w:ascii="Arial" w:hAnsi="Arial"/>
          <w:b/>
          <w:color w:val="006B31"/>
          <w:sz w:val="21"/>
        </w:rPr>
        <w:t xml:space="preserve">1. Núcleo Holográfico 3D Interactivo (#miaBrainCanvas): </w:t>
      </w:r>
      <w:r>
        <w:rPr>
          <w:rFonts w:ascii="Arial" w:hAnsi="Arial"/>
          <w:color w:val="1E293B"/>
          <w:sz w:val="21"/>
        </w:rPr>
        <w:t>Topología tridimensional renderizada a 60 FPS con soporte de órbita táctil (touchstart/touchmove) y de ratón en tres modos: Red Neuronal Constitucional S(K), Esfera Giroscópica &lt;H, E, T, V&gt; y Constelación de las 9 Subregiones de Antioquia.</w:t>
      </w:r>
    </w:p>
    <w:p>
      <w:pPr>
        <w:pStyle w:val="ListBullet"/>
        <w:spacing w:before="0" w:after="100" w:line="307" w:lineRule="auto"/>
        <w:jc w:val="both"/>
      </w:pPr>
      <w:r>
        <w:rPr>
          <w:rFonts w:ascii="Arial" w:hAnsi="Arial"/>
          <w:b/>
          <w:color w:val="006B31"/>
          <w:sz w:val="21"/>
        </w:rPr>
        <w:t xml:space="preserve">2. Pipeline Cinético de 7 Estaciones (#flujo): </w:t>
      </w:r>
      <w:r>
        <w:rPr>
          <w:rFonts w:ascii="Arial" w:hAnsi="Arial"/>
          <w:color w:val="1E293B"/>
          <w:sz w:val="21"/>
        </w:rPr>
        <w:t>Visualización interactiva del recorrido del caso desde la ingesta de voz en WhatsApp hasta la compilación PDF/DOCX, adaptable como línea de tiempo vertical conectada en dispositivos móviles.</w:t>
      </w:r>
    </w:p>
    <w:p>
      <w:pPr>
        <w:pStyle w:val="ListBullet"/>
        <w:spacing w:before="0" w:after="100" w:line="307" w:lineRule="auto"/>
        <w:jc w:val="both"/>
      </w:pPr>
      <w:r>
        <w:rPr>
          <w:rFonts w:ascii="Arial" w:hAnsi="Arial"/>
          <w:b/>
          <w:color w:val="006B31"/>
          <w:sz w:val="21"/>
        </w:rPr>
        <w:t xml:space="preserve">3. Estudio de Comando y Subsunción en Vivo (#panel-real): </w:t>
      </w:r>
      <w:r>
        <w:rPr>
          <w:rFonts w:ascii="Arial" w:hAnsi="Arial"/>
          <w:color w:val="1E293B"/>
          <w:sz w:val="21"/>
        </w:rPr>
        <w:t>Aplicación multi-pestaña conectada en tiempo real al motor S(K) con 6 módulos operativos: (i) Dashboard Analítico Departamental, (ii) Laboratorio de Subsunción Constitucional en Vivo con 5 casos preconfigurados y entrada libre, (iii) Tablero Kanban de Gestión Procesal en 5 etapas, (iv) Monitor de Alertas y Términos SLA (48h, 10d, 15d), (v) Buscador instantáneo de los 125 municipios y 8 universidades G8, y (vi) Centro de Control del Agente y Auto-Healer Signal.</w:t>
      </w:r>
    </w:p>
    <w:p>
      <w:pPr>
        <w:pStyle w:val="ListBullet"/>
        <w:spacing w:before="0" w:after="100" w:line="307" w:lineRule="auto"/>
        <w:jc w:val="both"/>
      </w:pPr>
      <w:r>
        <w:rPr>
          <w:rFonts w:ascii="Arial" w:hAnsi="Arial"/>
          <w:b/>
          <w:color w:val="006B31"/>
          <w:sz w:val="21"/>
        </w:rPr>
        <w:t xml:space="preserve">4. Simulador Conversacional iPhone 16 Pro de WhatsApp (#simulador-whatsapp): </w:t>
      </w:r>
      <w:r>
        <w:rPr>
          <w:rFonts w:ascii="Arial" w:hAnsi="Arial"/>
          <w:color w:val="1E293B"/>
          <w:sz w:val="21"/>
        </w:rPr>
        <w:t>Permite reproducir con un clic tres casos emblemáticos de Antioquia (Urgencia Oncológica en Caucasia, Cancelación Extemporánea G8 en Caldas/Medellín y Mínimo Vital de Agua en Apartadó) o chatear libremente enviando !hola al motor.</w:t>
      </w:r>
    </w:p>
    <w:p>
      <w:pPr>
        <w:pStyle w:val="ListBullet"/>
        <w:spacing w:before="0" w:after="100" w:line="307" w:lineRule="auto"/>
        <w:jc w:val="both"/>
      </w:pPr>
      <w:r>
        <w:rPr>
          <w:rFonts w:ascii="Arial" w:hAnsi="Arial"/>
          <w:b/>
          <w:color w:val="006B31"/>
          <w:sz w:val="21"/>
        </w:rPr>
        <w:t xml:space="preserve">5. Simulador Interactivo de Despliegue Autónomo (#instalacion): </w:t>
      </w:r>
      <w:r>
        <w:rPr>
          <w:rFonts w:ascii="Arial" w:hAnsi="Arial"/>
          <w:color w:val="1E293B"/>
          <w:sz w:val="21"/>
        </w:rPr>
        <w:t>Emulador de terminal en 4 fases que demuestra la clonación, vinculación por Pairing Code de 8 dígitos (JUST-2026), levantamiento del servidor y ejecución de pruebas.</w:t>
      </w:r>
    </w:p>
    <w:p>
      <w:pPr>
        <w:keepNext/>
        <w:spacing w:before="280" w:after="100"/>
      </w:pPr>
      <w:r>
        <w:rPr>
          <w:rFonts w:ascii="Arial" w:hAnsi="Arial"/>
          <w:b/>
          <w:color w:val="00843D"/>
          <w:sz w:val="25"/>
        </w:rPr>
        <w:t>5.2. Resultados de la Suite de 13 Pruebas Automatizadas (Verificación de Software)</w:t>
      </w:r>
    </w:p>
    <w:p>
      <w:pPr>
        <w:spacing w:before="0" w:after="160" w:line="324" w:lineRule="auto"/>
        <w:jc w:val="both"/>
      </w:pPr>
      <w:r>
        <w:rPr>
          <w:rFonts w:ascii="Arial" w:hAnsi="Arial"/>
          <w:color w:val="1E293B"/>
          <w:sz w:val="22"/>
        </w:rPr>
        <w:t>El repositorio cuenta con una batería de 13 pruebas automatizadas ejecutadas mediante el corredor nativo de Node.js (node --test tests/*.test.js). En la corrida de verificación previa a esta entrega, la totalidad de los 13 tests aprobaron con cero fallos (100% Pass Rate) en un tiempo total de ejecución de 276.7 milisegundos: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2340"/>
        <w:gridCol w:w="2340"/>
        <w:gridCol w:w="2340"/>
        <w:gridCol w:w="2340"/>
      </w:tblGrid>
      <w:tr>
        <w:tc>
          <w:tcPr>
            <w:tcW w:type="dxa" w:w="2340"/>
            <w:vAlign w:val="center"/>
            <w:shd w:fill="041F13"/>
            <w:tcMar>
              <w:top w:w="140" w:type="dxa"/>
              <w:bottom w:w="140" w:type="dxa"/>
              <w:left w:w="140" w:type="dxa"/>
              <w:right w:w="140" w:type="dxa"/>
            </w:tcMar>
          </w:tcPr>
          <w:p>
            <w:pPr>
              <w:spacing w:before="0" w:after="0"/>
            </w:pPr>
            <w:r>
              <w:rPr>
                <w:rFonts w:ascii="Arial" w:hAnsi="Arial"/>
                <w:b/>
                <w:color w:val="FFFFFF"/>
                <w:sz w:val="19"/>
              </w:rPr>
              <w:t>Archivo de Prueba / Suite</w:t>
            </w:r>
          </w:p>
        </w:tc>
        <w:tc>
          <w:tcPr>
            <w:tcW w:type="dxa" w:w="2340"/>
            <w:vAlign w:val="center"/>
            <w:shd w:fill="041F13"/>
            <w:tcMar>
              <w:top w:w="140" w:type="dxa"/>
              <w:bottom w:w="140" w:type="dxa"/>
              <w:left w:w="140" w:type="dxa"/>
              <w:right w:w="140" w:type="dxa"/>
            </w:tcMar>
          </w:tcPr>
          <w:p>
            <w:pPr>
              <w:spacing w:before="0" w:after="0"/>
            </w:pPr>
            <w:r>
              <w:rPr>
                <w:rFonts w:ascii="Arial" w:hAnsi="Arial"/>
                <w:b/>
                <w:color w:val="FFFFFF"/>
                <w:sz w:val="19"/>
              </w:rPr>
              <w:t>Componente Auditado</w:t>
            </w:r>
          </w:p>
        </w:tc>
        <w:tc>
          <w:tcPr>
            <w:tcW w:type="dxa" w:w="2340"/>
            <w:vAlign w:val="center"/>
            <w:shd w:fill="041F13"/>
            <w:tcMar>
              <w:top w:w="140" w:type="dxa"/>
              <w:bottom w:w="140" w:type="dxa"/>
              <w:left w:w="140" w:type="dxa"/>
              <w:right w:w="140" w:type="dxa"/>
            </w:tcMar>
          </w:tcPr>
          <w:p>
            <w:pPr>
              <w:spacing w:before="0" w:after="0"/>
            </w:pPr>
            <w:r>
              <w:rPr>
                <w:rFonts w:ascii="Arial" w:hAnsi="Arial"/>
                <w:b/>
                <w:color w:val="FFFFFF"/>
                <w:sz w:val="19"/>
              </w:rPr>
              <w:t>Resultado</w:t>
            </w:r>
          </w:p>
        </w:tc>
        <w:tc>
          <w:tcPr>
            <w:tcW w:type="dxa" w:w="2340"/>
            <w:vAlign w:val="center"/>
            <w:shd w:fill="041F13"/>
            <w:tcMar>
              <w:top w:w="140" w:type="dxa"/>
              <w:bottom w:w="140" w:type="dxa"/>
              <w:left w:w="140" w:type="dxa"/>
              <w:right w:w="140" w:type="dxa"/>
            </w:tcMar>
          </w:tcPr>
          <w:p>
            <w:pPr>
              <w:spacing w:before="0" w:after="0"/>
            </w:pPr>
            <w:r>
              <w:rPr>
                <w:rFonts w:ascii="Arial" w:hAnsi="Arial"/>
                <w:b/>
                <w:color w:val="FFFFFF"/>
                <w:sz w:val="19"/>
              </w:rPr>
              <w:t>Latencia (ms)</w:t>
            </w:r>
          </w:p>
        </w:tc>
      </w:tr>
      <w:tr>
        <w:tc>
          <w:tcPr>
            <w:tcW w:type="dxa" w:w="2340"/>
            <w:vAlign w:val="center"/>
            <w:shd w:fill="FFFFFF"/>
            <w:tcMar>
              <w:top w:w="110" w:type="dxa"/>
              <w:bottom w:w="110" w:type="dxa"/>
              <w:left w:w="140" w:type="dxa"/>
              <w:right w:w="140" w:type="dxa"/>
            </w:tcMar>
          </w:tcPr>
          <w:p>
            <w:pPr>
              <w:spacing w:before="0" w:after="0" w:line="283" w:lineRule="auto"/>
            </w:pPr>
            <w:r>
              <w:rPr>
                <w:rFonts w:ascii="Arial" w:hAnsi="Arial"/>
                <w:b/>
                <w:color w:val="061A11"/>
                <w:sz w:val="19"/>
              </w:rPr>
              <w:t>tests/academic_cancellation.test.js</w:t>
            </w:r>
          </w:p>
        </w:tc>
        <w:tc>
          <w:tcPr>
            <w:tcW w:type="dxa" w:w="2340"/>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Flujo completo de cancelación académica extemporánea por salud mental en universidades G8 y generación dual PDF/DOCX</w:t>
            </w:r>
          </w:p>
        </w:tc>
        <w:tc>
          <w:tcPr>
            <w:tcW w:type="dxa" w:w="2340"/>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APROBADO (PASS)</w:t>
            </w:r>
          </w:p>
        </w:tc>
        <w:tc>
          <w:tcPr>
            <w:tcW w:type="dxa" w:w="2340"/>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101.4 ms</w:t>
            </w:r>
          </w:p>
        </w:tc>
      </w:tr>
      <w:tr>
        <w:tc>
          <w:tcPr>
            <w:tcW w:type="dxa" w:w="2340"/>
            <w:vAlign w:val="center"/>
            <w:shd w:fill="F5F9F7"/>
            <w:tcMar>
              <w:top w:w="110" w:type="dxa"/>
              <w:bottom w:w="110" w:type="dxa"/>
              <w:left w:w="140" w:type="dxa"/>
              <w:right w:w="140" w:type="dxa"/>
            </w:tcMar>
          </w:tcPr>
          <w:p>
            <w:pPr>
              <w:spacing w:before="0" w:after="0" w:line="283" w:lineRule="auto"/>
            </w:pPr>
            <w:r>
              <w:rPr>
                <w:rFonts w:ascii="Arial" w:hAnsi="Arial"/>
                <w:b/>
                <w:color w:val="061A11"/>
                <w:sz w:val="19"/>
              </w:rPr>
              <w:t>tests/cedula_validation.test.js</w:t>
            </w:r>
          </w:p>
        </w:tc>
        <w:tc>
          <w:tcPr>
            <w:tcW w:type="dxa" w:w="2340"/>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Validación de cédula de ciudadanía colombiana y resolución sin ambigüedad de municipios de Antioquia</w:t>
            </w:r>
          </w:p>
        </w:tc>
        <w:tc>
          <w:tcPr>
            <w:tcW w:type="dxa" w:w="2340"/>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APROBADO (PASS)</w:t>
            </w:r>
          </w:p>
        </w:tc>
        <w:tc>
          <w:tcPr>
            <w:tcW w:type="dxa" w:w="2340"/>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100.4 ms</w:t>
            </w:r>
          </w:p>
        </w:tc>
      </w:tr>
      <w:tr>
        <w:tc>
          <w:tcPr>
            <w:tcW w:type="dxa" w:w="2340"/>
            <w:vAlign w:val="center"/>
            <w:shd w:fill="FFFFFF"/>
            <w:tcMar>
              <w:top w:w="110" w:type="dxa"/>
              <w:bottom w:w="110" w:type="dxa"/>
              <w:left w:w="140" w:type="dxa"/>
              <w:right w:w="140" w:type="dxa"/>
            </w:tcMar>
          </w:tcPr>
          <w:p>
            <w:pPr>
              <w:spacing w:before="0" w:after="0" w:line="283" w:lineRule="auto"/>
            </w:pPr>
            <w:r>
              <w:rPr>
                <w:rFonts w:ascii="Arial" w:hAnsi="Arial"/>
                <w:b/>
                <w:color w:val="061A11"/>
                <w:sz w:val="19"/>
              </w:rPr>
              <w:t>tests/cpaca_simulation.test.js</w:t>
            </w:r>
          </w:p>
        </w:tc>
        <w:tc>
          <w:tcPr>
            <w:tcW w:type="dxa" w:w="2340"/>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Subsunción en medio de control de Nulidad y Restablecimiento del Derecho (Art. 138 CPACA) y control de caducidad (4 meses)</w:t>
            </w:r>
          </w:p>
        </w:tc>
        <w:tc>
          <w:tcPr>
            <w:tcW w:type="dxa" w:w="2340"/>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APROBADO (PASS)</w:t>
            </w:r>
          </w:p>
        </w:tc>
        <w:tc>
          <w:tcPr>
            <w:tcW w:type="dxa" w:w="2340"/>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83.5 ms</w:t>
            </w:r>
          </w:p>
        </w:tc>
      </w:tr>
      <w:tr>
        <w:tc>
          <w:tcPr>
            <w:tcW w:type="dxa" w:w="2340"/>
            <w:vAlign w:val="center"/>
            <w:shd w:fill="F5F9F7"/>
            <w:tcMar>
              <w:top w:w="110" w:type="dxa"/>
              <w:bottom w:w="110" w:type="dxa"/>
              <w:left w:w="140" w:type="dxa"/>
              <w:right w:w="140" w:type="dxa"/>
            </w:tcMar>
          </w:tcPr>
          <w:p>
            <w:pPr>
              <w:spacing w:before="0" w:after="0" w:line="283" w:lineRule="auto"/>
            </w:pPr>
            <w:r>
              <w:rPr>
                <w:rFonts w:ascii="Arial" w:hAnsi="Arial"/>
                <w:b/>
                <w:color w:val="061A11"/>
                <w:sz w:val="19"/>
              </w:rPr>
              <w:t>tests/habeas_data.test.js</w:t>
            </w:r>
          </w:p>
        </w:tc>
        <w:tc>
          <w:tcPr>
            <w:tcW w:type="dxa" w:w="2340"/>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Protección de Habeas Data Financiero (Ley 1266/08) por omisión de preaviso de 20 días calendario antes de reporte negativo</w:t>
            </w:r>
          </w:p>
        </w:tc>
        <w:tc>
          <w:tcPr>
            <w:tcW w:type="dxa" w:w="2340"/>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APROBADO (PASS)</w:t>
            </w:r>
          </w:p>
        </w:tc>
        <w:tc>
          <w:tcPr>
            <w:tcW w:type="dxa" w:w="2340"/>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84.2 ms</w:t>
            </w:r>
          </w:p>
        </w:tc>
      </w:tr>
      <w:tr>
        <w:tc>
          <w:tcPr>
            <w:tcW w:type="dxa" w:w="2340"/>
            <w:vAlign w:val="center"/>
            <w:shd w:fill="FFFFFF"/>
            <w:tcMar>
              <w:top w:w="110" w:type="dxa"/>
              <w:bottom w:w="110" w:type="dxa"/>
              <w:left w:w="140" w:type="dxa"/>
              <w:right w:w="140" w:type="dxa"/>
            </w:tcMar>
          </w:tcPr>
          <w:p>
            <w:pPr>
              <w:spacing w:before="0" w:after="0" w:line="283" w:lineRule="auto"/>
            </w:pPr>
            <w:r>
              <w:rPr>
                <w:rFonts w:ascii="Arial" w:hAnsi="Arial"/>
                <w:b/>
                <w:color w:val="061A11"/>
                <w:sz w:val="19"/>
              </w:rPr>
              <w:t>tests/legal_subsunction_and_analytics.test.js (5 sub-tests)</w:t>
            </w:r>
          </w:p>
        </w:tc>
        <w:tc>
          <w:tcPr>
            <w:tcW w:type="dxa" w:w="2340"/>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1) Cobertura exacta de 125 municipios + 8 universidades G8; 2) Clasificación de las 9 rutas en S(K)=&lt;H,E,T,V&gt;; 3) Cálculo de KPIs en Ledger; 4) Compilación PDF sin duplicados; 5) Respuesta HTTP 200 en todos los endpoints REST</w:t>
            </w:r>
          </w:p>
        </w:tc>
        <w:tc>
          <w:tcPr>
            <w:tcW w:type="dxa" w:w="2340"/>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APROBADO (5/5 PASS)</w:t>
            </w:r>
          </w:p>
        </w:tc>
        <w:tc>
          <w:tcPr>
            <w:tcW w:type="dxa" w:w="2340"/>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84.3 ms</w:t>
            </w:r>
          </w:p>
        </w:tc>
      </w:tr>
      <w:tr>
        <w:tc>
          <w:tcPr>
            <w:tcW w:type="dxa" w:w="2340"/>
            <w:vAlign w:val="center"/>
            <w:shd w:fill="F5F9F7"/>
            <w:tcMar>
              <w:top w:w="110" w:type="dxa"/>
              <w:bottom w:w="110" w:type="dxa"/>
              <w:left w:w="140" w:type="dxa"/>
              <w:right w:w="140" w:type="dxa"/>
            </w:tcMar>
          </w:tcPr>
          <w:p>
            <w:pPr>
              <w:spacing w:before="0" w:after="0" w:line="283" w:lineRule="auto"/>
            </w:pPr>
            <w:r>
              <w:rPr>
                <w:rFonts w:ascii="Arial" w:hAnsi="Arial"/>
                <w:b/>
                <w:color w:val="061A11"/>
                <w:sz w:val="19"/>
              </w:rPr>
              <w:t>tests/non_pathologizing_lexicon.test.js</w:t>
            </w:r>
          </w:p>
        </w:tc>
        <w:tc>
          <w:tcPr>
            <w:tcW w:type="dxa" w:w="2340"/>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Transformación de términos psiquiátricos estigmatizantes en narrativa digna de bienestar emocional (Ley 1616 de 2013)</w:t>
            </w:r>
          </w:p>
        </w:tc>
        <w:tc>
          <w:tcPr>
            <w:tcW w:type="dxa" w:w="2340"/>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APROBADO (PASS)</w:t>
            </w:r>
          </w:p>
        </w:tc>
        <w:tc>
          <w:tcPr>
            <w:tcW w:type="dxa" w:w="2340"/>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90.7 ms</w:t>
            </w:r>
          </w:p>
        </w:tc>
      </w:tr>
      <w:tr>
        <w:tc>
          <w:tcPr>
            <w:tcW w:type="dxa" w:w="2340"/>
            <w:vAlign w:val="center"/>
            <w:shd w:fill="FFFFFF"/>
            <w:tcMar>
              <w:top w:w="110" w:type="dxa"/>
              <w:bottom w:w="110" w:type="dxa"/>
              <w:left w:w="140" w:type="dxa"/>
              <w:right w:w="140" w:type="dxa"/>
            </w:tcMar>
          </w:tcPr>
          <w:p>
            <w:pPr>
              <w:spacing w:before="0" w:after="0" w:line="283" w:lineRule="auto"/>
            </w:pPr>
            <w:r>
              <w:rPr>
                <w:rFonts w:ascii="Arial" w:hAnsi="Arial"/>
                <w:b/>
                <w:color w:val="061A11"/>
                <w:sz w:val="19"/>
              </w:rPr>
              <w:t>tests/triage_matrix.test.js</w:t>
            </w:r>
          </w:p>
        </w:tc>
        <w:tc>
          <w:tcPr>
            <w:tcW w:type="dxa" w:w="2340"/>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Matriz de procedibilidad constitucional, inmediatez y subsidiariedad</w:t>
            </w:r>
          </w:p>
        </w:tc>
        <w:tc>
          <w:tcPr>
            <w:tcW w:type="dxa" w:w="2340"/>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APROBADO (PASS)</w:t>
            </w:r>
          </w:p>
        </w:tc>
        <w:tc>
          <w:tcPr>
            <w:tcW w:type="dxa" w:w="2340"/>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100.0 ms</w:t>
            </w:r>
          </w:p>
        </w:tc>
      </w:tr>
      <w:tr>
        <w:tc>
          <w:tcPr>
            <w:tcW w:type="dxa" w:w="2340"/>
            <w:vAlign w:val="center"/>
            <w:shd w:fill="F5F9F7"/>
            <w:tcMar>
              <w:top w:w="110" w:type="dxa"/>
              <w:bottom w:w="110" w:type="dxa"/>
              <w:left w:w="140" w:type="dxa"/>
              <w:right w:w="140" w:type="dxa"/>
            </w:tcMar>
          </w:tcPr>
          <w:p>
            <w:pPr>
              <w:spacing w:before="0" w:after="0" w:line="283" w:lineRule="auto"/>
            </w:pPr>
            <w:r>
              <w:rPr>
                <w:rFonts w:ascii="Arial" w:hAnsi="Arial"/>
                <w:b/>
                <w:color w:val="061A11"/>
                <w:sz w:val="19"/>
              </w:rPr>
              <w:t>tests/unconditioned_petitions.test.js</w:t>
            </w:r>
          </w:p>
        </w:tc>
        <w:tc>
          <w:tcPr>
            <w:tcW w:type="dxa" w:w="2340"/>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Eliminación automática de cláusulas de auto-suspensión o condicionamiento en peticiones estudiantiles</w:t>
            </w:r>
          </w:p>
        </w:tc>
        <w:tc>
          <w:tcPr>
            <w:tcW w:type="dxa" w:w="2340"/>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APROBADO (PASS)</w:t>
            </w:r>
          </w:p>
        </w:tc>
        <w:tc>
          <w:tcPr>
            <w:tcW w:type="dxa" w:w="2340"/>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87.2 ms</w:t>
            </w:r>
          </w:p>
        </w:tc>
      </w:tr>
      <w:tr>
        <w:tc>
          <w:tcPr>
            <w:tcW w:type="dxa" w:w="2340"/>
            <w:vAlign w:val="center"/>
            <w:shd w:fill="FFFFFF"/>
            <w:tcMar>
              <w:top w:w="110" w:type="dxa"/>
              <w:bottom w:w="110" w:type="dxa"/>
              <w:left w:w="140" w:type="dxa"/>
              <w:right w:w="140" w:type="dxa"/>
            </w:tcMar>
          </w:tcPr>
          <w:p>
            <w:pPr>
              <w:spacing w:before="0" w:after="0" w:line="283" w:lineRule="auto"/>
            </w:pPr>
            <w:r>
              <w:rPr>
                <w:rFonts w:ascii="Arial" w:hAnsi="Arial"/>
                <w:b/>
                <w:color w:val="061A11"/>
                <w:sz w:val="19"/>
              </w:rPr>
              <w:t>tests/voice_intent_and_remorse.test.js</w:t>
            </w:r>
          </w:p>
        </w:tc>
        <w:tc>
          <w:tcPr>
            <w:tcW w:type="dxa" w:w="2340"/>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Extracción de intención desde transcripciones de notas de voz y calibración de tono de autocrítica sincera</w:t>
            </w:r>
          </w:p>
        </w:tc>
        <w:tc>
          <w:tcPr>
            <w:tcW w:type="dxa" w:w="2340"/>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APROBADO (PASS)</w:t>
            </w:r>
          </w:p>
        </w:tc>
        <w:tc>
          <w:tcPr>
            <w:tcW w:type="dxa" w:w="2340"/>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86.1 ms</w:t>
            </w:r>
          </w:p>
        </w:tc>
      </w:tr>
    </w:tbl>
    <w:p>
      <w:pPr>
        <w:spacing w:before="0" w:after="120"/>
      </w:pPr>
    </w:p>
    <w:p>
      <w:pPr>
        <w:keepNext/>
        <w:spacing w:before="280" w:after="100"/>
      </w:pPr>
      <w:r>
        <w:rPr>
          <w:rFonts w:ascii="Arial" w:hAnsi="Arial"/>
          <w:b/>
          <w:color w:val="00843D"/>
          <w:sz w:val="25"/>
        </w:rPr>
        <w:t>5.3. Datos Preliminares del Libro Mayor Departamental (8 Casos Piloto en Antioquia)</w:t>
      </w:r>
    </w:p>
    <w:p>
      <w:pPr>
        <w:spacing w:before="0" w:after="160" w:line="324" w:lineRule="auto"/>
        <w:jc w:val="both"/>
      </w:pPr>
      <w:r>
        <w:rPr>
          <w:rFonts w:ascii="Arial" w:hAnsi="Arial"/>
          <w:color w:val="1E293B"/>
          <w:sz w:val="22"/>
        </w:rPr>
        <w:t>El módulo de gestión analítica (src/analytics-manager.js y data/cases_ledger.json) registra y audita los primeros 8 expedientes piloto procesados por el motor S(K) a lo largo de las subregiones de Antioquia. Los datos preliminares arrojan una Suficiencia Probatoria Media Ψ(E) = 87.4%, la activación oportuna de 4 Medidas Provisionales Urgentes de 48 horas (Art. 7 Decreto 2591 de 1991), una extensión promedio de 2.4 páginas por minuta (100% dentro del límite de &lt;= 3 páginas) y un ahorro ciudadano acumulado de $5.200.000 COP:</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337"/>
        <w:gridCol w:w="1337"/>
        <w:gridCol w:w="1337"/>
        <w:gridCol w:w="1337"/>
        <w:gridCol w:w="1337"/>
        <w:gridCol w:w="1337"/>
        <w:gridCol w:w="1337"/>
      </w:tblGrid>
      <w:tr>
        <w:tc>
          <w:tcPr>
            <w:tcW w:type="dxa" w:w="1337"/>
            <w:vAlign w:val="center"/>
            <w:shd w:fill="041F13"/>
            <w:tcMar>
              <w:top w:w="140" w:type="dxa"/>
              <w:bottom w:w="140" w:type="dxa"/>
              <w:left w:w="140" w:type="dxa"/>
              <w:right w:w="140" w:type="dxa"/>
            </w:tcMar>
          </w:tcPr>
          <w:p>
            <w:pPr>
              <w:spacing w:before="0" w:after="0"/>
            </w:pPr>
            <w:r>
              <w:rPr>
                <w:rFonts w:ascii="Arial" w:hAnsi="Arial"/>
                <w:b/>
                <w:color w:val="FFFFFF"/>
                <w:sz w:val="19"/>
              </w:rPr>
              <w:t>ID Expediente</w:t>
            </w:r>
          </w:p>
        </w:tc>
        <w:tc>
          <w:tcPr>
            <w:tcW w:type="dxa" w:w="1337"/>
            <w:vAlign w:val="center"/>
            <w:shd w:fill="041F13"/>
            <w:tcMar>
              <w:top w:w="140" w:type="dxa"/>
              <w:bottom w:w="140" w:type="dxa"/>
              <w:left w:w="140" w:type="dxa"/>
              <w:right w:w="140" w:type="dxa"/>
            </w:tcMar>
          </w:tcPr>
          <w:p>
            <w:pPr>
              <w:spacing w:before="0" w:after="0"/>
            </w:pPr>
            <w:r>
              <w:rPr>
                <w:rFonts w:ascii="Arial" w:hAnsi="Arial"/>
                <w:b/>
                <w:color w:val="FFFFFF"/>
                <w:sz w:val="19"/>
              </w:rPr>
              <w:t>Ciudadano / Municipio (Subregión)</w:t>
            </w:r>
          </w:p>
        </w:tc>
        <w:tc>
          <w:tcPr>
            <w:tcW w:type="dxa" w:w="1337"/>
            <w:vAlign w:val="center"/>
            <w:shd w:fill="041F13"/>
            <w:tcMar>
              <w:top w:w="140" w:type="dxa"/>
              <w:bottom w:w="140" w:type="dxa"/>
              <w:left w:w="140" w:type="dxa"/>
              <w:right w:w="140" w:type="dxa"/>
            </w:tcMar>
          </w:tcPr>
          <w:p>
            <w:pPr>
              <w:spacing w:before="0" w:after="0"/>
            </w:pPr>
            <w:r>
              <w:rPr>
                <w:rFonts w:ascii="Arial" w:hAnsi="Arial"/>
                <w:b/>
                <w:color w:val="FFFFFF"/>
                <w:sz w:val="19"/>
              </w:rPr>
              <w:t>Ruta Subsumida (H) &amp; Entidad Accionada</w:t>
            </w:r>
          </w:p>
        </w:tc>
        <w:tc>
          <w:tcPr>
            <w:tcW w:type="dxa" w:w="1337"/>
            <w:vAlign w:val="center"/>
            <w:shd w:fill="041F13"/>
            <w:tcMar>
              <w:top w:w="140" w:type="dxa"/>
              <w:bottom w:w="140" w:type="dxa"/>
              <w:left w:w="140" w:type="dxa"/>
              <w:right w:w="140" w:type="dxa"/>
            </w:tcMar>
          </w:tcPr>
          <w:p>
            <w:pPr>
              <w:spacing w:before="0" w:after="0"/>
            </w:pPr>
            <w:r>
              <w:rPr>
                <w:rFonts w:ascii="Arial" w:hAnsi="Arial"/>
                <w:b/>
                <w:color w:val="FFFFFF"/>
                <w:sz w:val="19"/>
              </w:rPr>
              <w:t>Ψ(E)</w:t>
            </w:r>
          </w:p>
        </w:tc>
        <w:tc>
          <w:tcPr>
            <w:tcW w:type="dxa" w:w="1337"/>
            <w:vAlign w:val="center"/>
            <w:shd w:fill="041F13"/>
            <w:tcMar>
              <w:top w:w="140" w:type="dxa"/>
              <w:bottom w:w="140" w:type="dxa"/>
              <w:left w:w="140" w:type="dxa"/>
              <w:right w:w="140" w:type="dxa"/>
            </w:tcMar>
          </w:tcPr>
          <w:p>
            <w:pPr>
              <w:spacing w:before="0" w:after="0"/>
            </w:pPr>
            <w:r>
              <w:rPr>
                <w:rFonts w:ascii="Arial" w:hAnsi="Arial"/>
                <w:b/>
                <w:color w:val="FFFFFF"/>
                <w:sz w:val="19"/>
              </w:rPr>
              <w:t>V(K)</w:t>
            </w:r>
          </w:p>
        </w:tc>
        <w:tc>
          <w:tcPr>
            <w:tcW w:type="dxa" w:w="1337"/>
            <w:vAlign w:val="center"/>
            <w:shd w:fill="041F13"/>
            <w:tcMar>
              <w:top w:w="140" w:type="dxa"/>
              <w:bottom w:w="140" w:type="dxa"/>
              <w:left w:w="140" w:type="dxa"/>
              <w:right w:w="140" w:type="dxa"/>
            </w:tcMar>
          </w:tcPr>
          <w:p>
            <w:pPr>
              <w:spacing w:before="0" w:after="0"/>
            </w:pPr>
            <w:r>
              <w:rPr>
                <w:rFonts w:ascii="Arial" w:hAnsi="Arial"/>
                <w:b/>
                <w:color w:val="FFFFFF"/>
                <w:sz w:val="19"/>
              </w:rPr>
              <w:t>Medida 48h</w:t>
            </w:r>
          </w:p>
        </w:tc>
        <w:tc>
          <w:tcPr>
            <w:tcW w:type="dxa" w:w="1337"/>
            <w:vAlign w:val="center"/>
            <w:shd w:fill="041F13"/>
            <w:tcMar>
              <w:top w:w="140" w:type="dxa"/>
              <w:bottom w:w="140" w:type="dxa"/>
              <w:left w:w="140" w:type="dxa"/>
              <w:right w:w="140" w:type="dxa"/>
            </w:tcMar>
          </w:tcPr>
          <w:p>
            <w:pPr>
              <w:spacing w:before="0" w:after="0"/>
            </w:pPr>
            <w:r>
              <w:rPr>
                <w:rFonts w:ascii="Arial" w:hAnsi="Arial"/>
                <w:b/>
                <w:color w:val="FFFFFF"/>
                <w:sz w:val="19"/>
              </w:rPr>
              <w:t>Estado Kanban</w:t>
            </w:r>
          </w:p>
        </w:tc>
      </w:tr>
      <w:tr>
        <w:tc>
          <w:tcPr>
            <w:tcW w:type="dxa" w:w="1337"/>
            <w:vAlign w:val="center"/>
            <w:shd w:fill="FFFFFF"/>
            <w:tcMar>
              <w:top w:w="110" w:type="dxa"/>
              <w:bottom w:w="110" w:type="dxa"/>
              <w:left w:w="140" w:type="dxa"/>
              <w:right w:w="140" w:type="dxa"/>
            </w:tcMar>
          </w:tcPr>
          <w:p>
            <w:pPr>
              <w:spacing w:before="0" w:after="0" w:line="283" w:lineRule="auto"/>
            </w:pPr>
            <w:r>
              <w:rPr>
                <w:rFonts w:ascii="Arial" w:hAnsi="Arial"/>
                <w:b/>
                <w:color w:val="061A11"/>
                <w:sz w:val="19"/>
              </w:rPr>
              <w:t>ANT-2026-001</w:t>
            </w:r>
          </w:p>
        </w:tc>
        <w:tc>
          <w:tcPr>
            <w:tcW w:type="dxa" w:w="1337"/>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María Edilma Osorio — Caucasia (Bajo Cauca)</w:t>
            </w:r>
          </w:p>
        </w:tc>
        <w:tc>
          <w:tcPr>
            <w:tcW w:type="dxa" w:w="1337"/>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TUTELA_SALUD · Savia Salud EPS (Medicamento Oncológico)</w:t>
            </w:r>
          </w:p>
        </w:tc>
        <w:tc>
          <w:tcPr>
            <w:tcW w:type="dxa" w:w="1337"/>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92%</w:t>
            </w:r>
          </w:p>
        </w:tc>
        <w:tc>
          <w:tcPr>
            <w:tcW w:type="dxa" w:w="1337"/>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95/100</w:t>
            </w:r>
          </w:p>
        </w:tc>
        <w:tc>
          <w:tcPr>
            <w:tcW w:type="dxa" w:w="1337"/>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SÍ (Art. 7)</w:t>
            </w:r>
          </w:p>
        </w:tc>
        <w:tc>
          <w:tcPr>
            <w:tcW w:type="dxa" w:w="1337"/>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RADICADO</w:t>
            </w:r>
          </w:p>
        </w:tc>
      </w:tr>
      <w:tr>
        <w:tc>
          <w:tcPr>
            <w:tcW w:type="dxa" w:w="1337"/>
            <w:vAlign w:val="center"/>
            <w:shd w:fill="F5F9F7"/>
            <w:tcMar>
              <w:top w:w="110" w:type="dxa"/>
              <w:bottom w:w="110" w:type="dxa"/>
              <w:left w:w="140" w:type="dxa"/>
              <w:right w:w="140" w:type="dxa"/>
            </w:tcMar>
          </w:tcPr>
          <w:p>
            <w:pPr>
              <w:spacing w:before="0" w:after="0" w:line="283" w:lineRule="auto"/>
            </w:pPr>
            <w:r>
              <w:rPr>
                <w:rFonts w:ascii="Arial" w:hAnsi="Arial"/>
                <w:b/>
                <w:color w:val="061A11"/>
                <w:sz w:val="19"/>
              </w:rPr>
              <w:t>ANT-2026-002</w:t>
            </w:r>
          </w:p>
        </w:tc>
        <w:tc>
          <w:tcPr>
            <w:tcW w:type="dxa" w:w="1337"/>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Santiago Montoya Vélez — Caldas (Valle de Aburrá)</w:t>
            </w:r>
          </w:p>
        </w:tc>
        <w:tc>
          <w:tcPr>
            <w:tcW w:type="dxa" w:w="1337"/>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CANCELACION_ACADEMICA_SALUD · Corporación Univ. Lasallista</w:t>
            </w:r>
          </w:p>
        </w:tc>
        <w:tc>
          <w:tcPr>
            <w:tcW w:type="dxa" w:w="1337"/>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88%</w:t>
            </w:r>
          </w:p>
        </w:tc>
        <w:tc>
          <w:tcPr>
            <w:tcW w:type="dxa" w:w="1337"/>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82/100</w:t>
            </w:r>
          </w:p>
        </w:tc>
        <w:tc>
          <w:tcPr>
            <w:tcW w:type="dxa" w:w="1337"/>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No aplica</w:t>
            </w:r>
          </w:p>
        </w:tc>
        <w:tc>
          <w:tcPr>
            <w:tcW w:type="dxa" w:w="1337"/>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RESUELTO</w:t>
            </w:r>
          </w:p>
        </w:tc>
      </w:tr>
      <w:tr>
        <w:tc>
          <w:tcPr>
            <w:tcW w:type="dxa" w:w="1337"/>
            <w:vAlign w:val="center"/>
            <w:shd w:fill="FFFFFF"/>
            <w:tcMar>
              <w:top w:w="110" w:type="dxa"/>
              <w:bottom w:w="110" w:type="dxa"/>
              <w:left w:w="140" w:type="dxa"/>
              <w:right w:w="140" w:type="dxa"/>
            </w:tcMar>
          </w:tcPr>
          <w:p>
            <w:pPr>
              <w:spacing w:before="0" w:after="0" w:line="283" w:lineRule="auto"/>
            </w:pPr>
            <w:r>
              <w:rPr>
                <w:rFonts w:ascii="Arial" w:hAnsi="Arial"/>
                <w:b/>
                <w:color w:val="061A11"/>
                <w:sz w:val="19"/>
              </w:rPr>
              <w:t>ANT-2026-003</w:t>
            </w:r>
          </w:p>
        </w:tc>
        <w:tc>
          <w:tcPr>
            <w:tcW w:type="dxa" w:w="1337"/>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Jairo Alonso Tuberquia — Apartadó (Urabá)</w:t>
            </w:r>
          </w:p>
        </w:tc>
        <w:tc>
          <w:tcPr>
            <w:tcW w:type="dxa" w:w="1337"/>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TUTELA_AGUA · Aguas Regionales EPM (Hogar con menores)</w:t>
            </w:r>
          </w:p>
        </w:tc>
        <w:tc>
          <w:tcPr>
            <w:tcW w:type="dxa" w:w="1337"/>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90%</w:t>
            </w:r>
          </w:p>
        </w:tc>
        <w:tc>
          <w:tcPr>
            <w:tcW w:type="dxa" w:w="1337"/>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91/100</w:t>
            </w:r>
          </w:p>
        </w:tc>
        <w:tc>
          <w:tcPr>
            <w:tcW w:type="dxa" w:w="1337"/>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SÍ (Art. 7)</w:t>
            </w:r>
          </w:p>
        </w:tc>
        <w:tc>
          <w:tcPr>
            <w:tcW w:type="dxa" w:w="1337"/>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EN_TERMINO</w:t>
            </w:r>
          </w:p>
        </w:tc>
      </w:tr>
      <w:tr>
        <w:tc>
          <w:tcPr>
            <w:tcW w:type="dxa" w:w="1337"/>
            <w:vAlign w:val="center"/>
            <w:shd w:fill="F5F9F7"/>
            <w:tcMar>
              <w:top w:w="110" w:type="dxa"/>
              <w:bottom w:w="110" w:type="dxa"/>
              <w:left w:w="140" w:type="dxa"/>
              <w:right w:w="140" w:type="dxa"/>
            </w:tcMar>
          </w:tcPr>
          <w:p>
            <w:pPr>
              <w:spacing w:before="0" w:after="0" w:line="283" w:lineRule="auto"/>
            </w:pPr>
            <w:r>
              <w:rPr>
                <w:rFonts w:ascii="Arial" w:hAnsi="Arial"/>
                <w:b/>
                <w:color w:val="061A11"/>
                <w:sz w:val="19"/>
              </w:rPr>
              <w:t>ANT-2026-004</w:t>
            </w:r>
          </w:p>
        </w:tc>
        <w:tc>
          <w:tcPr>
            <w:tcW w:type="dxa" w:w="1337"/>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Pedro Nel Loaiza — Andes (Suroeste)</w:t>
            </w:r>
          </w:p>
        </w:tc>
        <w:tc>
          <w:tcPr>
            <w:tcW w:type="dxa" w:w="1337"/>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PROTECCION_CAMPESINA · Inspección de Policía / ANT (AL 01/23)</w:t>
            </w:r>
          </w:p>
        </w:tc>
        <w:tc>
          <w:tcPr>
            <w:tcW w:type="dxa" w:w="1337"/>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84%</w:t>
            </w:r>
          </w:p>
        </w:tc>
        <w:tc>
          <w:tcPr>
            <w:tcW w:type="dxa" w:w="1337"/>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86/100</w:t>
            </w:r>
          </w:p>
        </w:tc>
        <w:tc>
          <w:tcPr>
            <w:tcW w:type="dxa" w:w="1337"/>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SÍ (Art. 7)</w:t>
            </w:r>
          </w:p>
        </w:tc>
        <w:tc>
          <w:tcPr>
            <w:tcW w:type="dxa" w:w="1337"/>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RADICADO</w:t>
            </w:r>
          </w:p>
        </w:tc>
      </w:tr>
      <w:tr>
        <w:tc>
          <w:tcPr>
            <w:tcW w:type="dxa" w:w="1337"/>
            <w:vAlign w:val="center"/>
            <w:shd w:fill="FFFFFF"/>
            <w:tcMar>
              <w:top w:w="110" w:type="dxa"/>
              <w:bottom w:w="110" w:type="dxa"/>
              <w:left w:w="140" w:type="dxa"/>
              <w:right w:w="140" w:type="dxa"/>
            </w:tcMar>
          </w:tcPr>
          <w:p>
            <w:pPr>
              <w:spacing w:before="0" w:after="0" w:line="283" w:lineRule="auto"/>
            </w:pPr>
            <w:r>
              <w:rPr>
                <w:rFonts w:ascii="Arial" w:hAnsi="Arial"/>
                <w:b/>
                <w:color w:val="061A11"/>
                <w:sz w:val="19"/>
              </w:rPr>
              <w:t>ANT-2026-005</w:t>
            </w:r>
          </w:p>
        </w:tc>
        <w:tc>
          <w:tcPr>
            <w:tcW w:type="dxa" w:w="1337"/>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Hernando de Jesús Giraldo — Rionegro (Oriente)</w:t>
            </w:r>
          </w:p>
        </w:tc>
        <w:tc>
          <w:tcPr>
            <w:tcW w:type="dxa" w:w="1337"/>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HABEAS_DATA · Datacrédito Experian (Sin preaviso 20 días)</w:t>
            </w:r>
          </w:p>
        </w:tc>
        <w:tc>
          <w:tcPr>
            <w:tcW w:type="dxa" w:w="1337"/>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89%</w:t>
            </w:r>
          </w:p>
        </w:tc>
        <w:tc>
          <w:tcPr>
            <w:tcW w:type="dxa" w:w="1337"/>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65/100</w:t>
            </w:r>
          </w:p>
        </w:tc>
        <w:tc>
          <w:tcPr>
            <w:tcW w:type="dxa" w:w="1337"/>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No aplica</w:t>
            </w:r>
          </w:p>
        </w:tc>
        <w:tc>
          <w:tcPr>
            <w:tcW w:type="dxa" w:w="1337"/>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RESUELTO</w:t>
            </w:r>
          </w:p>
        </w:tc>
      </w:tr>
      <w:tr>
        <w:tc>
          <w:tcPr>
            <w:tcW w:type="dxa" w:w="1337"/>
            <w:vAlign w:val="center"/>
            <w:shd w:fill="F5F9F7"/>
            <w:tcMar>
              <w:top w:w="110" w:type="dxa"/>
              <w:bottom w:w="110" w:type="dxa"/>
              <w:left w:w="140" w:type="dxa"/>
              <w:right w:w="140" w:type="dxa"/>
            </w:tcMar>
          </w:tcPr>
          <w:p>
            <w:pPr>
              <w:spacing w:before="0" w:after="0" w:line="283" w:lineRule="auto"/>
            </w:pPr>
            <w:r>
              <w:rPr>
                <w:rFonts w:ascii="Arial" w:hAnsi="Arial"/>
                <w:b/>
                <w:color w:val="061A11"/>
                <w:sz w:val="19"/>
              </w:rPr>
              <w:t>ANT-2026-006</w:t>
            </w:r>
          </w:p>
        </w:tc>
        <w:tc>
          <w:tcPr>
            <w:tcW w:type="dxa" w:w="1337"/>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Julián González García — Medellín (Valle de Aburrá)</w:t>
            </w:r>
          </w:p>
        </w:tc>
        <w:tc>
          <w:tcPr>
            <w:tcW w:type="dxa" w:w="1337"/>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CANCELACION_ACADEMICA_SALUD · Universidad de Antioquia (UdeA)</w:t>
            </w:r>
          </w:p>
        </w:tc>
        <w:tc>
          <w:tcPr>
            <w:tcW w:type="dxa" w:w="1337"/>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91%</w:t>
            </w:r>
          </w:p>
        </w:tc>
        <w:tc>
          <w:tcPr>
            <w:tcW w:type="dxa" w:w="1337"/>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84/100</w:t>
            </w:r>
          </w:p>
        </w:tc>
        <w:tc>
          <w:tcPr>
            <w:tcW w:type="dxa" w:w="1337"/>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No aplica</w:t>
            </w:r>
          </w:p>
        </w:tc>
        <w:tc>
          <w:tcPr>
            <w:tcW w:type="dxa" w:w="1337"/>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RESUELTO</w:t>
            </w:r>
          </w:p>
        </w:tc>
      </w:tr>
      <w:tr>
        <w:tc>
          <w:tcPr>
            <w:tcW w:type="dxa" w:w="1337"/>
            <w:vAlign w:val="center"/>
            <w:shd w:fill="FFFFFF"/>
            <w:tcMar>
              <w:top w:w="110" w:type="dxa"/>
              <w:bottom w:w="110" w:type="dxa"/>
              <w:left w:w="140" w:type="dxa"/>
              <w:right w:w="140" w:type="dxa"/>
            </w:tcMar>
          </w:tcPr>
          <w:p>
            <w:pPr>
              <w:spacing w:before="0" w:after="0" w:line="283" w:lineRule="auto"/>
            </w:pPr>
            <w:r>
              <w:rPr>
                <w:rFonts w:ascii="Arial" w:hAnsi="Arial"/>
                <w:b/>
                <w:color w:val="061A11"/>
                <w:sz w:val="19"/>
              </w:rPr>
              <w:t>ANT-2026-007</w:t>
            </w:r>
          </w:p>
        </w:tc>
        <w:tc>
          <w:tcPr>
            <w:tcW w:type="dxa" w:w="1337"/>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Luz Dary Berrío — Turbo (Urabá)</w:t>
            </w:r>
          </w:p>
        </w:tc>
        <w:tc>
          <w:tcPr>
            <w:tcW w:type="dxa" w:w="1337"/>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SILENCIO_ADMINISTRATIVO · Unidad para las Víctimas (Art. 23 CP)</w:t>
            </w:r>
          </w:p>
        </w:tc>
        <w:tc>
          <w:tcPr>
            <w:tcW w:type="dxa" w:w="1337"/>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85%</w:t>
            </w:r>
          </w:p>
        </w:tc>
        <w:tc>
          <w:tcPr>
            <w:tcW w:type="dxa" w:w="1337"/>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88/100</w:t>
            </w:r>
          </w:p>
        </w:tc>
        <w:tc>
          <w:tcPr>
            <w:tcW w:type="dxa" w:w="1337"/>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No aplica</w:t>
            </w:r>
          </w:p>
        </w:tc>
        <w:tc>
          <w:tcPr>
            <w:tcW w:type="dxa" w:w="1337"/>
            <w:vAlign w:val="center"/>
            <w:shd w:fill="FFFFFF"/>
            <w:tcMar>
              <w:top w:w="110" w:type="dxa"/>
              <w:bottom w:w="110" w:type="dxa"/>
              <w:left w:w="140" w:type="dxa"/>
              <w:right w:w="140" w:type="dxa"/>
            </w:tcMar>
          </w:tcPr>
          <w:p>
            <w:pPr>
              <w:spacing w:before="0" w:after="0" w:line="283" w:lineRule="auto"/>
            </w:pPr>
            <w:r>
              <w:rPr>
                <w:rFonts w:ascii="Arial" w:hAnsi="Arial"/>
                <w:color w:val="1E293B"/>
                <w:sz w:val="19"/>
              </w:rPr>
              <w:t>BORRADOR_LISTO</w:t>
            </w:r>
          </w:p>
        </w:tc>
      </w:tr>
      <w:tr>
        <w:tc>
          <w:tcPr>
            <w:tcW w:type="dxa" w:w="1337"/>
            <w:vAlign w:val="center"/>
            <w:shd w:fill="F5F9F7"/>
            <w:tcMar>
              <w:top w:w="110" w:type="dxa"/>
              <w:bottom w:w="110" w:type="dxa"/>
              <w:left w:w="140" w:type="dxa"/>
              <w:right w:w="140" w:type="dxa"/>
            </w:tcMar>
          </w:tcPr>
          <w:p>
            <w:pPr>
              <w:spacing w:before="0" w:after="0" w:line="283" w:lineRule="auto"/>
            </w:pPr>
            <w:r>
              <w:rPr>
                <w:rFonts w:ascii="Arial" w:hAnsi="Arial"/>
                <w:b/>
                <w:color w:val="061A11"/>
                <w:sz w:val="19"/>
              </w:rPr>
              <w:t>ANT-2026-008</w:t>
            </w:r>
          </w:p>
        </w:tc>
        <w:tc>
          <w:tcPr>
            <w:tcW w:type="dxa" w:w="1337"/>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Rosa Emilia Posada — Yarumal (Norte)</w:t>
            </w:r>
          </w:p>
        </w:tc>
        <w:tc>
          <w:tcPr>
            <w:tcW w:type="dxa" w:w="1337"/>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TUTELA_SALUD · Nueva EPS (Cirugía prioritaria adulto mayor)</w:t>
            </w:r>
          </w:p>
        </w:tc>
        <w:tc>
          <w:tcPr>
            <w:tcW w:type="dxa" w:w="1337"/>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80%</w:t>
            </w:r>
          </w:p>
        </w:tc>
        <w:tc>
          <w:tcPr>
            <w:tcW w:type="dxa" w:w="1337"/>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92/100</w:t>
            </w:r>
          </w:p>
        </w:tc>
        <w:tc>
          <w:tcPr>
            <w:tcW w:type="dxa" w:w="1337"/>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SÍ (Art. 7)</w:t>
            </w:r>
          </w:p>
        </w:tc>
        <w:tc>
          <w:tcPr>
            <w:tcW w:type="dxa" w:w="1337"/>
            <w:vAlign w:val="center"/>
            <w:shd w:fill="F5F9F7"/>
            <w:tcMar>
              <w:top w:w="110" w:type="dxa"/>
              <w:bottom w:w="110" w:type="dxa"/>
              <w:left w:w="140" w:type="dxa"/>
              <w:right w:w="140" w:type="dxa"/>
            </w:tcMar>
          </w:tcPr>
          <w:p>
            <w:pPr>
              <w:spacing w:before="0" w:after="0" w:line="283" w:lineRule="auto"/>
            </w:pPr>
            <w:r>
              <w:rPr>
                <w:rFonts w:ascii="Arial" w:hAnsi="Arial"/>
                <w:color w:val="1E293B"/>
                <w:sz w:val="19"/>
              </w:rPr>
              <w:t>TRIAGE</w:t>
            </w:r>
          </w:p>
        </w:tc>
      </w:tr>
    </w:tbl>
    <w:p>
      <w:pPr>
        <w:spacing w:before="0" w:after="120"/>
      </w:pPr>
    </w:p>
    <w:p>
      <w:pPr>
        <w:spacing w:before="160" w:after="80"/>
        <w:jc w:val="center"/>
      </w:pPr>
      <w:r>
        <w:drawing>
          <wp:inline xmlns:a="http://schemas.openxmlformats.org/drawingml/2006/main" xmlns:pic="http://schemas.openxmlformats.org/drawingml/2006/picture">
            <wp:extent cx="5806440" cy="2967736"/>
            <wp:docPr id="3" name="Picture 3"/>
            <wp:cNvGraphicFramePr>
              <a:graphicFrameLocks noChangeAspect="1"/>
            </wp:cNvGraphicFramePr>
            <a:graphic>
              <a:graphicData uri="http://schemas.openxmlformats.org/drawingml/2006/picture">
                <pic:pic>
                  <pic:nvPicPr>
                    <pic:cNvPr id="0" name="fig3_impacto_antioquia_tests.png"/>
                    <pic:cNvPicPr/>
                  </pic:nvPicPr>
                  <pic:blipFill>
                    <a:blip r:embed="rId13"/>
                    <a:stretch>
                      <a:fillRect/>
                    </a:stretch>
                  </pic:blipFill>
                  <pic:spPr>
                    <a:xfrm>
                      <a:off x="0" y="0"/>
                      <a:ext cx="5806440" cy="2967736"/>
                    </a:xfrm>
                    <a:prstGeom prst="rect"/>
                  </pic:spPr>
                </pic:pic>
              </a:graphicData>
            </a:graphic>
          </wp:inline>
        </w:drawing>
      </w:r>
    </w:p>
    <w:p>
      <w:pPr>
        <w:spacing w:after="240"/>
        <w:jc w:val="center"/>
      </w:pPr>
      <w:r>
        <w:rPr>
          <w:rFonts w:ascii="Arial" w:hAnsi="Arial"/>
          <w:i/>
          <w:color w:val="64748B"/>
          <w:sz w:val="18"/>
        </w:rPr>
        <w:t>Figura 3. Cobertura verificada en las 9 subregiones de Antioquia (125 municipios + 8 universidades G8) y resultados de la suite de 13 pruebas automatizadas. Fuente: Telemetría del sistema JusticIA v2.5 (2026).</w:t>
      </w:r>
    </w:p>
    <w:p>
      <w:pPr>
        <w:keepNext/>
        <w:spacing w:before="360" w:after="160"/>
        <w:pBdr>
          <w:bottom w:val="single" w:sz="12" w:space="4" w:color="00843D"/>
        </w:pBdr>
      </w:pPr>
      <w:r>
        <w:rPr>
          <w:rFonts w:ascii="Arial" w:hAnsi="Arial"/>
          <w:b/>
          <w:color w:val="041F13"/>
          <w:sz w:val="30"/>
        </w:rPr>
        <w:t>6. Conclusiones y Hoja de Ruta 2026–2040</w:t>
      </w:r>
    </w:p>
    <w:p>
      <w:pPr>
        <w:spacing w:before="0" w:after="160" w:line="324" w:lineRule="auto"/>
        <w:jc w:val="both"/>
      </w:pPr>
      <w:r>
        <w:rPr>
          <w:rFonts w:ascii="Arial" w:hAnsi="Arial"/>
          <w:color w:val="1E293B"/>
          <w:sz w:val="22"/>
        </w:rPr>
        <w:t>1. Síntesis Interdisciplinaria Demostrada: JusticIA WhatsApp v2.5 comprueba empíricamente que la convergencia entre la Ingeniería de Sistemas (grafos deterministas, protocolo criptográfico Signal y arquitecturas isomórficas web), la Dogmática Constitucional (modelo matemático S(K) = &lt;H, E, T, V&gt;, presunción de buena fe e inversión de la carga probatoria), la Psicolingüística (filtro Anti-Slop, lenguaje claro y léxico no patologizante de la Ley 1616 de 2013) y la Gestión Pública (TCO de $0.0057 USD por expediente) permite superar las patologías de alucinación y exclusión de los chatbots legales convencionales.</w:t>
      </w:r>
    </w:p>
    <w:p>
      <w:pPr>
        <w:spacing w:before="0" w:after="160" w:line="324" w:lineRule="auto"/>
        <w:jc w:val="both"/>
      </w:pPr>
      <w:r>
        <w:rPr>
          <w:rFonts w:ascii="Arial" w:hAnsi="Arial"/>
          <w:color w:val="1E293B"/>
          <w:sz w:val="22"/>
        </w:rPr>
        <w:t>2. Ética Ejecutable en Código (Ethics-by-Design): La operacionalización de los cinco principios de Floridi y Cowls (2019), la Recomendación de la UNESCO (2021), el Enfoque de Capacidades de Sen y Nussbaum y la Privacidad por Diseño bajo la Ley Estatutaria 1581 de 2012 demuestra que la ética de la IA alcanza su máxima eficacia cuando se traduce en validadores deterministas que impiden el daño procesal, protegen la dignidad emocional del estudiante y preservan la autonomía humana.</w:t>
      </w:r>
    </w:p>
    <w:p>
      <w:pPr>
        <w:spacing w:before="0" w:after="160" w:line="324" w:lineRule="auto"/>
        <w:jc w:val="both"/>
      </w:pPr>
      <w:r>
        <w:rPr>
          <w:rFonts w:ascii="Arial" w:hAnsi="Arial"/>
          <w:color w:val="1E293B"/>
          <w:sz w:val="22"/>
        </w:rPr>
        <w:t>3. Escalabilidad Regional hacia la Agenda Antioquia 2040: Con los 125 municipios de Antioquia y las 8 universidades de la Alianza G8 integrados en el motor y desplegados en producción en https://babylonias.com/justicia-whatsapp/, el proyecto se consolida como una infraestructura pública digital lista para escalar hacia los consultorios jurídicos universitarios y las personerías municipales del departamento.</w:t>
      </w:r>
    </w:p>
    <w:p>
      <w:pPr>
        <w:keepNext/>
        <w:spacing w:before="360" w:after="160"/>
        <w:pBdr>
          <w:bottom w:val="single" w:sz="12" w:space="4" w:color="00843D"/>
        </w:pBdr>
      </w:pPr>
      <w:r>
        <w:rPr>
          <w:rFonts w:ascii="Arial" w:hAnsi="Arial"/>
          <w:b/>
          <w:color w:val="041F13"/>
          <w:sz w:val="30"/>
        </w:rPr>
        <w:t>7. Referencias Bibliográficas y Jurisprudenciales (Norma APA 7.ª Ed.)</w:t>
      </w:r>
    </w:p>
    <w:p>
      <w:pPr>
        <w:spacing w:before="0" w:after="100" w:line="288" w:lineRule="auto"/>
        <w:ind w:left="567" w:hanging="567"/>
        <w:jc w:val="left"/>
      </w:pPr>
      <w:r>
        <w:rPr>
          <w:rFonts w:ascii="Arial" w:hAnsi="Arial"/>
          <w:color w:val="1E293B"/>
          <w:sz w:val="19"/>
        </w:rPr>
        <w:t>Alexy, R. (2002). Teoría de los derechos fundamentales (C. Bernal Pulido, Trad.; 2.ª ed.). Centro de Estudios Políticos y Constitucionales.</w:t>
      </w:r>
    </w:p>
    <w:p>
      <w:pPr>
        <w:spacing w:before="0" w:after="100" w:line="288" w:lineRule="auto"/>
        <w:ind w:left="567" w:hanging="567"/>
        <w:jc w:val="left"/>
      </w:pPr>
      <w:r>
        <w:rPr>
          <w:rFonts w:ascii="Arial" w:hAnsi="Arial"/>
          <w:color w:val="1E293B"/>
          <w:sz w:val="19"/>
        </w:rPr>
        <w:t>Asamblea General de la UNESCO. (2021). Recomendación sobre la ética de la inteligencia artificial. Organización de las Naciones Unidas para la Educación, la Ciencia y la Cultura.</w:t>
      </w:r>
    </w:p>
    <w:p>
      <w:pPr>
        <w:spacing w:before="0" w:after="100" w:line="288" w:lineRule="auto"/>
        <w:ind w:left="567" w:hanging="567"/>
        <w:jc w:val="left"/>
      </w:pPr>
      <w:r>
        <w:rPr>
          <w:rFonts w:ascii="Arial" w:hAnsi="Arial"/>
          <w:color w:val="1E293B"/>
          <w:sz w:val="19"/>
        </w:rPr>
        <w:t>Bernal Pulido, C. (2014). El principio de proporcionalidad y los derechos fundamentales (4.ª ed.). Universidad Externado de Colombia.</w:t>
      </w:r>
    </w:p>
    <w:p>
      <w:pPr>
        <w:spacing w:before="0" w:after="100" w:line="288" w:lineRule="auto"/>
        <w:ind w:left="567" w:hanging="567"/>
        <w:jc w:val="left"/>
      </w:pPr>
      <w:r>
        <w:rPr>
          <w:rFonts w:ascii="Arial" w:hAnsi="Arial"/>
          <w:color w:val="1E293B"/>
          <w:sz w:val="19"/>
        </w:rPr>
        <w:t>Carretero, M. (2019). Lenguaje claro y derecho a comprender en la administración de justicia. Revista de Llengua i Dret, (71), 45–62.</w:t>
      </w:r>
    </w:p>
    <w:p>
      <w:pPr>
        <w:spacing w:before="0" w:after="100" w:line="288" w:lineRule="auto"/>
        <w:ind w:left="567" w:hanging="567"/>
        <w:jc w:val="left"/>
      </w:pPr>
      <w:r>
        <w:rPr>
          <w:rFonts w:ascii="Arial" w:hAnsi="Arial"/>
          <w:color w:val="1E293B"/>
          <w:sz w:val="19"/>
        </w:rPr>
        <w:t>Cassany, D. (2005). Plain language in Spain: Clarity and citizen participation in legal and administrative discourse. Clarity Journal, (53), 41–44.</w:t>
      </w:r>
    </w:p>
    <w:p>
      <w:pPr>
        <w:spacing w:before="0" w:after="100" w:line="288" w:lineRule="auto"/>
        <w:ind w:left="567" w:hanging="567"/>
        <w:jc w:val="left"/>
      </w:pPr>
      <w:r>
        <w:rPr>
          <w:rFonts w:ascii="Arial" w:hAnsi="Arial"/>
          <w:color w:val="1E293B"/>
          <w:sz w:val="19"/>
        </w:rPr>
        <w:t>Cavoukian, A. (2009). Privacy by Design: The 7 foundational principles. Information and Privacy Commissioner of Ontario.</w:t>
      </w:r>
    </w:p>
    <w:p>
      <w:pPr>
        <w:spacing w:before="0" w:after="100" w:line="288" w:lineRule="auto"/>
        <w:ind w:left="567" w:hanging="567"/>
        <w:jc w:val="left"/>
      </w:pPr>
      <w:r>
        <w:rPr>
          <w:rFonts w:ascii="Arial" w:hAnsi="Arial"/>
          <w:color w:val="1E293B"/>
          <w:sz w:val="19"/>
        </w:rPr>
        <w:t>Coase, R. H. (1960). The problem of social cost. The Journal of Law and Economics, 3, 1–44.</w:t>
      </w:r>
    </w:p>
    <w:p>
      <w:pPr>
        <w:spacing w:before="0" w:after="100" w:line="288" w:lineRule="auto"/>
        <w:ind w:left="567" w:hanging="567"/>
        <w:jc w:val="left"/>
      </w:pPr>
      <w:r>
        <w:rPr>
          <w:rFonts w:ascii="Arial" w:hAnsi="Arial"/>
          <w:color w:val="1E293B"/>
          <w:sz w:val="19"/>
        </w:rPr>
        <w:t>Congreso de la República de Colombia. (2008). Ley Estatutaria 1266 de 2008: Disposiciones generales del hábeas data financiero. Diario Oficial No. 47.219.</w:t>
      </w:r>
    </w:p>
    <w:p>
      <w:pPr>
        <w:spacing w:before="0" w:after="100" w:line="288" w:lineRule="auto"/>
        <w:ind w:left="567" w:hanging="567"/>
        <w:jc w:val="left"/>
      </w:pPr>
      <w:r>
        <w:rPr>
          <w:rFonts w:ascii="Arial" w:hAnsi="Arial"/>
          <w:color w:val="1E293B"/>
          <w:sz w:val="19"/>
        </w:rPr>
        <w:t>Congreso de la República de Colombia. (2011). Ley 1437 de 2011: Código de Procedimiento Administrativo y de lo Contencioso Administrativo (CPACA). Diario Oficial No. 47.956.</w:t>
      </w:r>
    </w:p>
    <w:p>
      <w:pPr>
        <w:spacing w:before="0" w:after="100" w:line="288" w:lineRule="auto"/>
        <w:ind w:left="567" w:hanging="567"/>
        <w:jc w:val="left"/>
      </w:pPr>
      <w:r>
        <w:rPr>
          <w:rFonts w:ascii="Arial" w:hAnsi="Arial"/>
          <w:color w:val="1E293B"/>
          <w:sz w:val="19"/>
        </w:rPr>
        <w:t>Congreso de la República de Colombia. (2012). Ley Estatutaria 1581 de 2012: Régimen General de Protección de Datos Personales. Diario Oficial No. 48.587.</w:t>
      </w:r>
    </w:p>
    <w:p>
      <w:pPr>
        <w:spacing w:before="0" w:after="100" w:line="288" w:lineRule="auto"/>
        <w:ind w:left="567" w:hanging="567"/>
        <w:jc w:val="left"/>
      </w:pPr>
      <w:r>
        <w:rPr>
          <w:rFonts w:ascii="Arial" w:hAnsi="Arial"/>
          <w:color w:val="1E293B"/>
          <w:sz w:val="19"/>
        </w:rPr>
        <w:t>Congreso de la República de Colombia. (2013). Ley 1616 de 2013: Ley de Salud Mental en Colombia. Diario Oficial No. 48.680.</w:t>
      </w:r>
    </w:p>
    <w:p>
      <w:pPr>
        <w:spacing w:before="0" w:after="100" w:line="288" w:lineRule="auto"/>
        <w:ind w:left="567" w:hanging="567"/>
        <w:jc w:val="left"/>
      </w:pPr>
      <w:r>
        <w:rPr>
          <w:rFonts w:ascii="Arial" w:hAnsi="Arial"/>
          <w:color w:val="1E293B"/>
          <w:sz w:val="19"/>
        </w:rPr>
        <w:t>Congreso de la República de Colombia. (2015). Ley Estatutaria 1755 de 2015: Regulación del Derecho Fundamental de Petición. Diario Oficial No. 49.559.</w:t>
      </w:r>
    </w:p>
    <w:p>
      <w:pPr>
        <w:spacing w:before="0" w:after="100" w:line="288" w:lineRule="auto"/>
        <w:ind w:left="567" w:hanging="567"/>
        <w:jc w:val="left"/>
      </w:pPr>
      <w:r>
        <w:rPr>
          <w:rFonts w:ascii="Arial" w:hAnsi="Arial"/>
          <w:color w:val="1E293B"/>
          <w:sz w:val="19"/>
        </w:rPr>
        <w:t>Congreso de la República de Colombia. (2023). Acto Legislativo 01 de 2023: Reconocimiento del campesinado como sujeto de derechos y de especial protección constitucional.</w:t>
      </w:r>
    </w:p>
    <w:p>
      <w:pPr>
        <w:spacing w:before="0" w:after="100" w:line="288" w:lineRule="auto"/>
        <w:ind w:left="567" w:hanging="567"/>
        <w:jc w:val="left"/>
      </w:pPr>
      <w:r>
        <w:rPr>
          <w:rFonts w:ascii="Arial" w:hAnsi="Arial"/>
          <w:color w:val="1E293B"/>
          <w:sz w:val="19"/>
        </w:rPr>
        <w:t>Corte Constitucional de Colombia. (2008). Sentencia T-760 de 2008 (M.P. Manuel José Cepeda Espinosa). Principio de integralidad en salud y pruebas de oficio.</w:t>
      </w:r>
    </w:p>
    <w:p>
      <w:pPr>
        <w:spacing w:before="0" w:after="100" w:line="288" w:lineRule="auto"/>
        <w:ind w:left="567" w:hanging="567"/>
        <w:jc w:val="left"/>
      </w:pPr>
      <w:r>
        <w:rPr>
          <w:rFonts w:ascii="Arial" w:hAnsi="Arial"/>
          <w:color w:val="1E293B"/>
          <w:sz w:val="19"/>
        </w:rPr>
        <w:t>Corte Constitucional de Colombia. (2009). Sentencia T-546 de 2009 (M.P. María Victoria Calle Correa). Derecho fundamental al mínimo vital de agua potable.</w:t>
      </w:r>
    </w:p>
    <w:p>
      <w:pPr>
        <w:spacing w:before="0" w:after="100" w:line="288" w:lineRule="auto"/>
        <w:ind w:left="567" w:hanging="567"/>
        <w:jc w:val="left"/>
      </w:pPr>
      <w:r>
        <w:rPr>
          <w:rFonts w:ascii="Arial" w:hAnsi="Arial"/>
          <w:color w:val="1E293B"/>
          <w:sz w:val="19"/>
        </w:rPr>
        <w:t>Corte Constitucional de Colombia. (2012). Sentencia T-441 de 2012 (M.P. Jorge Ignacio Pretelt Chaljub). Fuerza mayor en salud y cancelación extemporánea de semestre universitario.</w:t>
      </w:r>
    </w:p>
    <w:p>
      <w:pPr>
        <w:spacing w:before="0" w:after="100" w:line="288" w:lineRule="auto"/>
        <w:ind w:left="567" w:hanging="567"/>
        <w:jc w:val="left"/>
      </w:pPr>
      <w:r>
        <w:rPr>
          <w:rFonts w:ascii="Arial" w:hAnsi="Arial"/>
          <w:color w:val="1E293B"/>
          <w:sz w:val="19"/>
        </w:rPr>
        <w:t>Corte Constitucional de Colombia. (2017). Sentencia T-574 de 2017 (M.P. Alejandro Linares Cantillo). Enfoque diferencial en salud mental y límites a la autonomía universitaria.</w:t>
      </w:r>
    </w:p>
    <w:p>
      <w:pPr>
        <w:spacing w:before="0" w:after="100" w:line="288" w:lineRule="auto"/>
        <w:ind w:left="567" w:hanging="567"/>
        <w:jc w:val="left"/>
      </w:pPr>
      <w:r>
        <w:rPr>
          <w:rFonts w:ascii="Arial" w:hAnsi="Arial"/>
          <w:color w:val="1E293B"/>
          <w:sz w:val="19"/>
        </w:rPr>
        <w:t>Corte Constitucional de Colombia. (2020). Sentencia SU-508 de 2020 (M.P. Alberto Rojas Ríos &amp; José Fernando Reyes Cuartas). Reglas de unificación sobre suministro integral en salud.</w:t>
      </w:r>
    </w:p>
    <w:p>
      <w:pPr>
        <w:spacing w:before="0" w:after="100" w:line="288" w:lineRule="auto"/>
        <w:ind w:left="567" w:hanging="567"/>
        <w:jc w:val="left"/>
      </w:pPr>
      <w:r>
        <w:rPr>
          <w:rFonts w:ascii="Arial" w:hAnsi="Arial"/>
          <w:color w:val="1E293B"/>
          <w:sz w:val="19"/>
        </w:rPr>
        <w:t>Corte Constitucional de Colombia. (2021). Sentencia T-310 de 2021 (M.P. Alberto Rojas Ríos). Ajustes razonables y prohibición de expulsión o sanción por afectaciones de salud mental.</w:t>
      </w:r>
    </w:p>
    <w:p>
      <w:pPr>
        <w:spacing w:before="0" w:after="100" w:line="288" w:lineRule="auto"/>
        <w:ind w:left="567" w:hanging="567"/>
        <w:jc w:val="left"/>
      </w:pPr>
      <w:r>
        <w:rPr>
          <w:rFonts w:ascii="Arial" w:hAnsi="Arial"/>
          <w:color w:val="1E293B"/>
          <w:sz w:val="19"/>
        </w:rPr>
        <w:t>Corte Constitucional de Colombia. (2024). Sentencia T-238 de 2024. Continuidad formativa y protección del bienestar psicológico en instituciones de educación superior.</w:t>
      </w:r>
    </w:p>
    <w:p>
      <w:pPr>
        <w:spacing w:before="0" w:after="100" w:line="288" w:lineRule="auto"/>
        <w:ind w:left="567" w:hanging="567"/>
        <w:jc w:val="left"/>
      </w:pPr>
      <w:r>
        <w:rPr>
          <w:rFonts w:ascii="Arial" w:hAnsi="Arial"/>
          <w:color w:val="1E293B"/>
          <w:sz w:val="19"/>
        </w:rPr>
        <w:t>Dahl, M., Magesh, V., Suzgun, M., &amp; Ho, D. E. (2024). Large legal fictions: Profiling legal hallucinations in large language models. Journal of Legal Analysis, 16(1), 64–93.</w:t>
      </w:r>
    </w:p>
    <w:p>
      <w:pPr>
        <w:spacing w:before="0" w:after="100" w:line="288" w:lineRule="auto"/>
        <w:ind w:left="567" w:hanging="567"/>
        <w:jc w:val="left"/>
      </w:pPr>
      <w:r>
        <w:rPr>
          <w:rFonts w:ascii="Arial" w:hAnsi="Arial"/>
          <w:color w:val="1E293B"/>
          <w:sz w:val="19"/>
        </w:rPr>
        <w:t>Departamento Nacional de Planeación [DNP]. (2025). Documento CONPES 4144: Política Nacional de Inteligencia Artificial y Gobernanza Ética de Datos en Colombia.</w:t>
      </w:r>
    </w:p>
    <w:p>
      <w:pPr>
        <w:spacing w:before="0" w:after="100" w:line="288" w:lineRule="auto"/>
        <w:ind w:left="567" w:hanging="567"/>
        <w:jc w:val="left"/>
      </w:pPr>
      <w:r>
        <w:rPr>
          <w:rFonts w:ascii="Arial" w:hAnsi="Arial"/>
          <w:color w:val="1E293B"/>
          <w:sz w:val="19"/>
        </w:rPr>
        <w:t>Floridi, L., &amp; Cowls, J. (2019). A unified framework of five principles for AI in society. Harvard Data Science Review, 1(1), 1–15.</w:t>
      </w:r>
    </w:p>
    <w:p>
      <w:pPr>
        <w:spacing w:before="0" w:after="100" w:line="288" w:lineRule="auto"/>
        <w:ind w:left="567" w:hanging="567"/>
        <w:jc w:val="left"/>
      </w:pPr>
      <w:r>
        <w:rPr>
          <w:rFonts w:ascii="Arial" w:hAnsi="Arial"/>
          <w:color w:val="1E293B"/>
          <w:sz w:val="19"/>
        </w:rPr>
        <w:t>Hevner, A. R., March, S. T., Park, J., &amp; Ram, S. (2004). Design science in information systems research. MIS Quarterly, 28(1), 75–105.</w:t>
      </w:r>
    </w:p>
    <w:p>
      <w:pPr>
        <w:spacing w:before="0" w:after="100" w:line="288" w:lineRule="auto"/>
        <w:ind w:left="567" w:hanging="567"/>
        <w:jc w:val="left"/>
      </w:pPr>
      <w:r>
        <w:rPr>
          <w:rFonts w:ascii="Arial" w:hAnsi="Arial"/>
          <w:color w:val="1E293B"/>
          <w:sz w:val="19"/>
        </w:rPr>
        <w:t>Lewis, P., Perez, E., Piktus, A., Petroni, F., Karpukhin, V., Goyal, N., ... &amp; Kiela, D. (2020). Retrieval-augmented generation for knowledge-intensive NLP tasks. Advances in Neural Information Processing Systems (NeurIPS), 33, 9459–9474.</w:t>
      </w:r>
    </w:p>
    <w:p>
      <w:pPr>
        <w:spacing w:before="0" w:after="100" w:line="288" w:lineRule="auto"/>
        <w:ind w:left="567" w:hanging="567"/>
        <w:jc w:val="left"/>
      </w:pPr>
      <w:r>
        <w:rPr>
          <w:rFonts w:ascii="Arial" w:hAnsi="Arial"/>
          <w:color w:val="1E293B"/>
          <w:sz w:val="19"/>
        </w:rPr>
        <w:t>Nussbaum, M. C. (2011). Creating capabilities: The human development approach. Harvard University Press.</w:t>
      </w:r>
    </w:p>
    <w:p>
      <w:pPr>
        <w:spacing w:before="0" w:after="100" w:line="288" w:lineRule="auto"/>
        <w:ind w:left="567" w:hanging="567"/>
        <w:jc w:val="left"/>
      </w:pPr>
      <w:r>
        <w:rPr>
          <w:rFonts w:ascii="Arial" w:hAnsi="Arial"/>
          <w:color w:val="1E293B"/>
          <w:sz w:val="19"/>
        </w:rPr>
        <w:t>Sen, A. (1999). Development as freedom. Oxford University Press.</w:t>
      </w:r>
    </w:p>
    <w:p>
      <w:pPr>
        <w:spacing w:before="0" w:after="100" w:line="288" w:lineRule="auto"/>
        <w:ind w:left="567" w:hanging="567"/>
        <w:jc w:val="left"/>
      </w:pPr>
      <w:r>
        <w:rPr>
          <w:rFonts w:ascii="Arial" w:hAnsi="Arial"/>
          <w:color w:val="1E293B"/>
          <w:sz w:val="19"/>
        </w:rPr>
        <w:t>Yao, S., Zhao, J., Yu, D., Du, N., Shafran, I., Narasimhan, K., &amp; Cao, Y. (2023). ReAct: Synergizing reasoning and acting in language models. International Conference on Learning Representations (ICLR).</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843D"/>
        <w:sz w:val="17"/>
      </w:rPr>
      <w:t>Plataforma en Vivo: https://babylonias.com/justicia-whatsapp/  ·  Repositorio: https://github.com/DOMINUSBABEL/justicia-whatsapp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JusticIA WhatsApp v2.5 · Ingeniería Constitucional Autónoma | Cátedra G8 &amp; Agenda Antioquia 2040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lang w:val="es-CO" w:eastAsia="es-CO"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