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基于周期边界自适应图连通判定与多目标进化优化的</w:t>
      </w:r>
    </w:p>
    <w:p>
      <w:pPr>
        <w:jc w:val="center"/>
      </w:pPr>
      <w:r>
        <w:rPr>
          <w:rFonts w:ascii="黑体" w:hAnsi="黑体" w:eastAsia="黑体"/>
          <w:b/>
          <w:sz w:val="28"/>
        </w:rPr>
        <w:t>微构体导电介质填充仿真研究</w:t>
      </w:r>
    </w:p>
    <w:p>
      <w:pPr>
        <w:jc w:val="center"/>
      </w:pPr>
      <w:r>
        <w:rPr>
          <w:rFonts w:ascii="黑体" w:hAnsi="黑体" w:eastAsia="黑体"/>
          <w:b/>
          <w:sz w:val="24"/>
        </w:rPr>
        <w:t>——PAGCM系列模型的构建与应用</w:t>
      </w:r>
    </w:p>
    <w:p>
      <w:pPr>
        <w:jc w:val="left"/>
      </w:pPr>
      <w:r>
        <w:rPr>
          <w:rFonts w:ascii="黑体" w:hAnsi="黑体" w:eastAsia="黑体"/>
          <w:b/>
          <w:sz w:val="28"/>
        </w:rPr>
        <w:t>摘要</w:t>
      </w:r>
    </w:p>
    <w:p>
      <w:pPr>
        <w:ind w:firstLine="480"/>
        <w:jc w:val="left"/>
      </w:pPr>
      <w:r>
        <w:rPr>
          <w:rFonts w:ascii="宋体" w:hAnsi="宋体" w:eastAsia="宋体"/>
          <w:sz w:val="24"/>
        </w:rPr>
        <w:t>随着复合材料在电子封装、航空航天等领域的广泛应用，导电填料在聚合物基体中的逾渗行为成为材料设计的核心问题。本文针对"微构体中填充导电介质的仿真优化"问题，构建了以周期边界自适应图连通判定模型(PAGCM)为核心的系列模型体系，系统解决了导电填料微构体的连通判定、配方优化、敏感性分析和多目标工程设计四类递进问题。</w:t>
        <w:br/>
        <w:br/>
        <w:t>针对问题一(连通判定)，构建PAGCM模型：将粒子系统抽象为三维环面上的无向图，提出密度感知自适应等效半径替代传统固定接触判据，利用环面距离处理周期边界条件，通过并查集实现O(N·α(N))连通分量识别。与标准几何渗流模型(GPNM)的交叉验证表明，PAGCM在18个判定中检出率提升11.1%，且88.9%的判定完全一致，验证了模型的有效性。</w:t>
        <w:br/>
        <w:br/>
        <w:t>针对问题二(单目标优化)，提出MESA-PAGCM模型：创新性地将信息论最大熵原理迁移至粒子空间初始化，将统计物理模拟退火(SA)迁移至填料排布全局搜索，结合PAGCM作为快速评估器，实现对最小导电填料用量的优化求解。搜索范围为[664,13290]粒子，总计算量约83,000次PAGCM评估。</w:t>
        <w:br/>
        <w:br/>
        <w:t>针对问题三(敏感性分析)，提出MS-PAGCM模型：在PAGCM架构上进行三层算法升级——引入多分散粒径分布支持、采用Hammersley低差异序列驱动的Sobol 全局敏感性分析、建立微观-介观-宏观三尺度方差分解框架。六参数Sobol 分析结果表明：平均粒径mu_r(ST=1.000)和粒径变异系数CV_r(ST=0.960)是影响导电性最关键的两个因素，两者交互效应达0.965。OAT方法与Sobol 方法的排名差异验证了全局敏感性分析的必要性。</w:t>
        <w:br/>
        <w:br/>
        <w:t>针对问题四(多目标优化)，提出MOEA/D-PAGCM模型：融合PAGCM物理评估引擎、MOEA/D多目标进化算法和TOPSIS+熵权法客观决策推荐，同时优化导电性、材料成本、重量和力学性能四个冲突目标。Pareto前沿包含24个非支配解(100%可行)，TOPSIS推荐方案为N=206粒子、P_conn=90.86%、phi=2.2%、E/E0=95.7%。</w:t>
        <w:br/>
        <w:br/>
        <w:t>本文构建的PAGCM系列模型形成了一个从"分析→优化→敏感→设计"的完整方法链，为导电复合材料微结构设计提供了理论支撑和计算工具。模型具有计算效率高(O(N log N))、物理可解释性强、跨领域可推广等优势。</w:t>
      </w:r>
    </w:p>
    <w:p>
      <w:pPr>
        <w:jc w:val="left"/>
      </w:pPr>
      <w:r>
        <w:rPr>
          <w:rFonts w:ascii="宋体" w:hAnsi="宋体" w:eastAsia="宋体"/>
          <w:sz w:val="24"/>
        </w:rPr>
        <w:t>关键词：周期边界图连通模型；导电逾渗；Sobol敏感性分析；多目标进化优化；微构体仿真</w:t>
      </w:r>
    </w:p>
    <w:p>
      <w:pPr>
        <w:jc w:val="left"/>
      </w:pPr>
      <w:r>
        <w:rPr>
          <w:rFonts w:ascii="黑体" w:hAnsi="黑体" w:eastAsia="黑体"/>
          <w:b/>
          <w:sz w:val="28"/>
        </w:rPr>
        <w:t>一、问题重述</w:t>
      </w:r>
    </w:p>
    <w:p>
      <w:pPr>
        <w:ind w:firstLine="480"/>
        <w:jc w:val="left"/>
      </w:pPr>
      <w:r>
        <w:rPr>
          <w:rFonts w:ascii="宋体" w:hAnsi="宋体" w:eastAsia="宋体"/>
          <w:sz w:val="24"/>
        </w:rPr>
        <w:t>1.1 问题背景</w:t>
      </w:r>
    </w:p>
    <w:p>
      <w:pPr>
        <w:ind w:firstLine="480"/>
        <w:jc w:val="left"/>
      </w:pPr>
      <w:r>
        <w:rPr>
          <w:rFonts w:ascii="宋体" w:hAnsi="宋体" w:eastAsia="宋体"/>
          <w:sz w:val="24"/>
        </w:rPr>
        <w:t>导电高分子复合材料通过将导电填料(如炭黑、碳纳米管、金属颗粒)分散在绝缘聚合物基体中，实现材料从绝缘体到导体的转变。这种转变的本质是逾渗现象——当填料体积分数超过临界值时，填料粒子相互接触形成贯穿整个材料的导电网络。然而，导电逾渗行为受填料粒径分布、形状各向异性、空间排布策略和周期边界条件等多因素的复杂耦合影响，传统的纯几何逾渗模型难以准确刻画真实体系中的导电行为。</w:t>
      </w:r>
    </w:p>
    <w:p>
      <w:pPr>
        <w:ind w:firstLine="480"/>
        <w:jc w:val="left"/>
      </w:pPr>
      <w:r>
        <w:rPr>
          <w:rFonts w:ascii="宋体" w:hAnsi="宋体" w:eastAsia="宋体"/>
          <w:sz w:val="24"/>
        </w:rPr>
        <w:t>在微构体仿真中，代表性体积单元(RVE)是连接微观粒子排布与宏观导电性能的桥梁。周期边界条件(PBC)是RVE方法的标准假设，但其引入的边界周期性使得粒子连通判定复杂化——粒子可能通过周期边界镜像与对侧粒子"接触"。此外，如何以最少的填料用量实现目标导电性(材料成本优化)、如何量化各因素对导电性的影响权重(敏感性分析)、如何同时兼顾导电性、成本、重量和力学性能(多目标工程设计)，构成了从基础分析到工程应用的四层递进问题。</w:t>
      </w:r>
    </w:p>
    <w:p>
      <w:pPr>
        <w:ind w:firstLine="480"/>
        <w:jc w:val="left"/>
      </w:pPr>
      <w:r>
        <w:rPr>
          <w:rFonts w:ascii="宋体" w:hAnsi="宋体" w:eastAsia="宋体"/>
          <w:sz w:val="24"/>
        </w:rPr>
        <w:t>1.2 问题重述</w:t>
      </w:r>
    </w:p>
    <w:p>
      <w:pPr>
        <w:ind w:firstLine="480"/>
        <w:jc w:val="left"/>
      </w:pPr>
      <w:r>
        <w:rPr>
          <w:rFonts w:ascii="宋体" w:hAnsi="宋体" w:eastAsia="宋体"/>
          <w:sz w:val="24"/>
        </w:rPr>
        <w:t>本文需解决以下四个递进问题：</w:t>
      </w:r>
    </w:p>
    <w:p>
      <w:pPr>
        <w:ind w:firstLine="480"/>
        <w:jc w:val="left"/>
      </w:pPr>
      <w:r>
        <w:rPr>
          <w:rFonts w:ascii="宋体" w:hAnsi="宋体" w:eastAsia="宋体"/>
          <w:sz w:val="24"/>
        </w:rPr>
        <w:t>问题一(连通判定)：给定微构体导电填料的三维空间坐标，在考虑RVE周期边界条件的前提下，判定X/Y/Z三方向是否存在贯穿导电通路。核心挑战在于周期边界的正确处理和连接判据的合理设定。</w:t>
      </w:r>
    </w:p>
    <w:p>
      <w:pPr>
        <w:ind w:firstLine="480"/>
        <w:jc w:val="left"/>
      </w:pPr>
      <w:r>
        <w:rPr>
          <w:rFonts w:ascii="宋体" w:hAnsi="宋体" w:eastAsia="宋体"/>
          <w:sz w:val="24"/>
        </w:rPr>
        <w:t>问题二(配方优化)：在满足方向性导电约束(连通概率≥95%)的前提下，求解最小填料用量(最少粒子数)及对应的最优空间排布。本质是一个带黑箱评估器的约束组合优化问题，目标函数不可微、非凸。</w:t>
      </w:r>
    </w:p>
    <w:p>
      <w:pPr>
        <w:ind w:firstLine="480"/>
        <w:jc w:val="left"/>
      </w:pPr>
      <w:r>
        <w:rPr>
          <w:rFonts w:ascii="宋体" w:hAnsi="宋体" w:eastAsia="宋体"/>
          <w:sz w:val="24"/>
        </w:rPr>
        <w:t>问题三(敏感性分析)：量化粒径分布、形状因子、排布策略和填充率等多因素对导电性的独立贡献与交互效应，识别关键调控因子。需解决参数空间高维(6维)和参数间存在强交互效应两大难点。</w:t>
      </w:r>
    </w:p>
    <w:p>
      <w:pPr>
        <w:ind w:firstLine="480"/>
        <w:jc w:val="left"/>
      </w:pPr>
      <w:r>
        <w:rPr>
          <w:rFonts w:ascii="宋体" w:hAnsi="宋体" w:eastAsia="宋体"/>
          <w:sz w:val="24"/>
        </w:rPr>
        <w:t>问题四(多目标设计)：同时优化导电性、材料成本、重量和力学性能四个天然冲突的目标，给出可供工程师决策的完整Pareto前沿和综合最优推荐方案。</w:t>
      </w:r>
    </w:p>
    <w:p>
      <w:pPr>
        <w:jc w:val="left"/>
      </w:pPr>
      <w:r>
        <w:rPr>
          <w:rFonts w:ascii="黑体" w:hAnsi="黑体" w:eastAsia="黑体"/>
          <w:b/>
          <w:sz w:val="28"/>
        </w:rPr>
        <w:t>二、问题分析</w:t>
      </w:r>
    </w:p>
    <w:p>
      <w:pPr>
        <w:ind w:firstLine="480"/>
        <w:jc w:val="left"/>
      </w:pPr>
      <w:r>
        <w:rPr>
          <w:rFonts w:ascii="宋体" w:hAnsi="宋体" w:eastAsia="宋体"/>
          <w:sz w:val="24"/>
        </w:rPr>
        <w:t>2.1 整体分析思路</w:t>
      </w:r>
    </w:p>
    <w:p>
      <w:pPr>
        <w:ind w:firstLine="480"/>
        <w:jc w:val="left"/>
      </w:pPr>
      <w:r>
        <w:rPr>
          <w:rFonts w:ascii="宋体" w:hAnsi="宋体" w:eastAsia="宋体"/>
          <w:sz w:val="24"/>
        </w:rPr>
        <w:t>四个问题呈递进关系，形成"分析→优化→敏感→设计"的完整方法链。问题一建立基础连通判定工具(PAGCM)，后续三个问题均以PAGCM为核心评估器进行扩展：问题二在外层叠加优化框架(MESA)，问题三升级为多参数敏感性分析工具(MS)，问题四融合为多目标工程设计平台(MOEA/D)。整体技术路线如图1所示。</w:t>
      </w:r>
    </w:p>
    <w:p>
      <w:pPr>
        <w:ind w:firstLine="480"/>
        <w:jc w:val="left"/>
      </w:pPr>
      <w:r>
        <w:rPr>
          <w:rFonts w:ascii="宋体" w:hAnsi="宋体" w:eastAsia="宋体"/>
          <w:sz w:val="24"/>
        </w:rPr>
        <w:t>2.2 问题一分析</w:t>
      </w:r>
    </w:p>
    <w:p>
      <w:pPr>
        <w:ind w:firstLine="480"/>
        <w:jc w:val="left"/>
      </w:pPr>
      <w:r>
        <w:rPr>
          <w:rFonts w:ascii="宋体" w:hAnsi="宋体" w:eastAsia="宋体"/>
          <w:sz w:val="24"/>
        </w:rPr>
        <w:t>核心矛盾：传统几何逾渗模型使用固定接触半径判据，忽略了粒子局部密度差异对有效连接范围的影响——致密区的粒子天然容易接触而稀疏区的粒子即使间距稍大也可能通过近场耦合导电。同时，周期边界使简单的欧氏距离失效。解题思路：将粒子系统映射为定义在三维环面T^3上的无向图，提出密度感知的自适应等效半径替代固定半径，通过环面距离度量处理周期边界，利用并查集实现高效连通分量识别。</w:t>
      </w:r>
    </w:p>
    <w:p>
      <w:pPr>
        <w:ind w:firstLine="480"/>
        <w:jc w:val="left"/>
      </w:pPr>
      <w:r>
        <w:rPr>
          <w:rFonts w:ascii="宋体" w:hAnsi="宋体" w:eastAsia="宋体"/>
          <w:sz w:val="24"/>
        </w:rPr>
        <w:t>2.3 问题二分析</w:t>
      </w:r>
    </w:p>
    <w:p>
      <w:pPr>
        <w:ind w:firstLine="480"/>
        <w:jc w:val="left"/>
      </w:pPr>
      <w:r>
        <w:rPr>
          <w:rFonts w:ascii="宋体" w:hAnsi="宋体" w:eastAsia="宋体"/>
          <w:sz w:val="24"/>
        </w:rPr>
        <w:t>核心矛盾：目标函数f(X)=N/N_max+lambda*max(0,P_target-P_conn)中的P_conn由PAGCM评估——这是一个无解析形式、不可微、非凸的黑箱函数。梯度法和牛顿法不可用，而枚举法面对3N维连续+离散混合搜索空间在计算上不可行。解题思路：采用模拟退火(SA)作为全局搜索框架，利用其概率接受机制(Metropolis准则)克服非凸性；从信息论引入最大熵原理生成高质量的均匀初始粒子排布，加速收敛。</w:t>
      </w:r>
    </w:p>
    <w:p>
      <w:pPr>
        <w:ind w:firstLine="480"/>
        <w:jc w:val="left"/>
      </w:pPr>
      <w:r>
        <w:rPr>
          <w:rFonts w:ascii="宋体" w:hAnsi="宋体" w:eastAsia="宋体"/>
          <w:sz w:val="24"/>
        </w:rPr>
        <w:t>2.4 问题三分析</w:t>
      </w:r>
    </w:p>
    <w:p>
      <w:pPr>
        <w:ind w:firstLine="480"/>
        <w:jc w:val="left"/>
      </w:pPr>
      <w:r>
        <w:rPr>
          <w:rFonts w:ascii="宋体" w:hAnsi="宋体" w:eastAsia="宋体"/>
          <w:sz w:val="24"/>
        </w:rPr>
        <w:t>核心矛盾：传统的OAT(一次一变法)局部敏感性分析忽略了参数间的交互效应，可能给出误导性排名。而全局敏感性分析方法(如Sobol 方差分解)需要大量样本(N&gt;1000)才能收敛。解题思路：采用Hammersley低差异序列进行高效采样(样本效率比纯随机高约10倍)，基于Sobol 方差分解量化每个参数的一阶独立贡献(S_i)和全阶总贡献(S_Ti)，通过Bootstrap重采样评估估计的统计显著性。</w:t>
      </w:r>
    </w:p>
    <w:p>
      <w:pPr>
        <w:ind w:firstLine="480"/>
        <w:jc w:val="left"/>
      </w:pPr>
      <w:r>
        <w:rPr>
          <w:rFonts w:ascii="宋体" w:hAnsi="宋体" w:eastAsia="宋体"/>
          <w:sz w:val="24"/>
        </w:rPr>
        <w:t>2.5 问题四分析</w:t>
      </w:r>
    </w:p>
    <w:p>
      <w:pPr>
        <w:ind w:firstLine="480"/>
        <w:jc w:val="left"/>
      </w:pPr>
      <w:r>
        <w:rPr>
          <w:rFonts w:ascii="宋体" w:hAnsi="宋体" w:eastAsia="宋体"/>
          <w:sz w:val="24"/>
        </w:rPr>
        <w:t>核心矛盾：导电性(需要多填料)、材料成本(需要少填料)、重量(需要少填料)、力学性能(需要少填料)四个目标天然冲突——无法同时最优。传统加权求和法将多目标压缩为单目标，权重选择主观且仅能得到Pareto前沿上的一个点。解题思路：采用MOEA/D将多目标问题分解为N_pop个标量子问题并行求解，通过切比雪夫聚合函数和均匀权重向量覆盖完整的Pareto前沿；最后用TOPSIS+熵权法(客观赋权)从Pareto前沿中推荐综合最优方案。</w:t>
      </w:r>
    </w:p>
    <w:p>
      <w:pPr>
        <w:jc w:val="left"/>
      </w:pPr>
      <w:r>
        <w:rPr>
          <w:rFonts w:ascii="黑体" w:hAnsi="黑体" w:eastAsia="黑体"/>
          <w:b/>
          <w:sz w:val="28"/>
        </w:rPr>
        <w:t>三、模型假设</w:t>
      </w:r>
    </w:p>
    <w:p>
      <w:pPr>
        <w:ind w:firstLine="480"/>
        <w:jc w:val="left"/>
      </w:pPr>
      <w:r>
        <w:rPr>
          <w:rFonts w:ascii="宋体" w:hAnsi="宋体" w:eastAsia="宋体"/>
          <w:sz w:val="24"/>
        </w:rPr>
        <w:t>(假设1) 粒子球形假设。所有导电填料粒子为刚性球体，可通过等效半径修正非球形效应。</w:t>
      </w:r>
    </w:p>
    <w:p>
      <w:pPr>
        <w:ind w:firstLine="480"/>
        <w:jc w:val="left"/>
      </w:pPr>
      <w:r>
        <w:rPr>
          <w:rFonts w:ascii="宋体" w:hAnsi="宋体" w:eastAsia="宋体"/>
          <w:sz w:val="24"/>
        </w:rPr>
        <w:t>设立依据：题目未给出粒子形状参数，球形是最小假设。逾渗理论经典模型(Balberg,1984; Scher &amp; Zallen,1970)以球形粒子为基准。非球形效应在第三问中通过形状因子s和第四问中通过s=1.94(棒状)的优化结果得到间接验证。</w:t>
      </w:r>
    </w:p>
    <w:p>
      <w:pPr>
        <w:ind w:firstLine="480"/>
        <w:jc w:val="left"/>
      </w:pPr>
      <w:r>
        <w:rPr>
          <w:rFonts w:ascii="宋体" w:hAnsi="宋体" w:eastAsia="宋体"/>
          <w:sz w:val="24"/>
        </w:rPr>
        <w:t>对模型的影响：使距离判据简化为标量比较，避免取向相关判断。等效半径修正可部分补偿非球形误差。</w:t>
      </w:r>
    </w:p>
    <w:p>
      <w:pPr>
        <w:ind w:firstLine="480"/>
        <w:jc w:val="left"/>
      </w:pPr>
      <w:r>
        <w:rPr>
          <w:rFonts w:ascii="宋体" w:hAnsi="宋体" w:eastAsia="宋体"/>
          <w:sz w:val="24"/>
        </w:rPr>
        <w:t>(假设2) 二值接触导电假设。两粒子间导电状态简化为二值</w:t>
      </w:r>
    </w:p>
    <w:p>
      <w:pPr>
        <w:ind w:firstLine="480"/>
        <w:jc w:val="left"/>
      </w:pPr>
      <w:r>
        <w:rPr>
          <w:rFonts w:ascii="宋体" w:hAnsi="宋体" w:eastAsia="宋体"/>
          <w:sz w:val="24"/>
        </w:rPr>
        <w:t>设立依据：逾渗理论框架基于二值连接。微米级填料直接接触导电远大于隧穿导电。第三问的PAWN敏感性分析验证了该假设在统计意义上的合理性。</w:t>
      </w:r>
    </w:p>
    <w:p>
      <w:pPr>
        <w:ind w:firstLine="480"/>
        <w:jc w:val="left"/>
      </w:pPr>
      <w:r>
        <w:rPr>
          <w:rFonts w:ascii="宋体" w:hAnsi="宋体" w:eastAsia="宋体"/>
          <w:sz w:val="24"/>
        </w:rPr>
        <w:t>对模型的影响：简化了导电状态判断，但忽略了隧穿导电的渐变特性。可在后续研究中引入指数衰减概率连接(如v3版本中的隧穿增强模型)。</w:t>
      </w:r>
    </w:p>
    <w:p>
      <w:pPr>
        <w:ind w:firstLine="480"/>
        <w:jc w:val="left"/>
      </w:pPr>
      <w:r>
        <w:rPr>
          <w:rFonts w:ascii="宋体" w:hAnsi="宋体" w:eastAsia="宋体"/>
          <w:sz w:val="24"/>
        </w:rPr>
        <w:t>(假设3) 周期边界统计均匀假设。RVE边界处粒子分布与内部统计一致，无边界聚集效应。</w:t>
      </w:r>
    </w:p>
    <w:p>
      <w:pPr>
        <w:ind w:firstLine="480"/>
        <w:jc w:val="left"/>
      </w:pPr>
      <w:r>
        <w:rPr>
          <w:rFonts w:ascii="宋体" w:hAnsi="宋体" w:eastAsia="宋体"/>
          <w:sz w:val="24"/>
        </w:rPr>
        <w:t>设立依据：PBC是微力学RVE方法的标准假设(Hill,1963)。附件坐标对称分布于[-5000,5000]且边界值±5000频繁出现。</w:t>
      </w:r>
    </w:p>
    <w:p>
      <w:pPr>
        <w:ind w:firstLine="480"/>
        <w:jc w:val="left"/>
      </w:pPr>
      <w:r>
        <w:rPr>
          <w:rFonts w:ascii="宋体" w:hAnsi="宋体" w:eastAsia="宋体"/>
          <w:sz w:val="24"/>
        </w:rPr>
        <w:t>对模型的影响：消除边界条件选择的任意性，环面拓扑使连通判定仅取决于粒子分布本身。</w:t>
      </w:r>
    </w:p>
    <w:p>
      <w:pPr>
        <w:ind w:firstLine="480"/>
        <w:jc w:val="left"/>
      </w:pPr>
      <w:r>
        <w:rPr>
          <w:rFonts w:ascii="宋体" w:hAnsi="宋体" w:eastAsia="宋体"/>
          <w:sz w:val="24"/>
        </w:rPr>
        <w:t>(假设4) Guth-Gold力学代理模型适用性假设。复合材料相对模量E/E0=1+2.5phi在phi≤0.1范围内充分准确。</w:t>
      </w:r>
    </w:p>
    <w:p>
      <w:pPr>
        <w:ind w:firstLine="480"/>
        <w:jc w:val="left"/>
      </w:pPr>
      <w:r>
        <w:rPr>
          <w:rFonts w:ascii="宋体" w:hAnsi="宋体" w:eastAsia="宋体"/>
          <w:sz w:val="24"/>
        </w:rPr>
        <w:t>设立依据：Einstein(1906)推导和Guth(1945)实验验证了球形填料Guth-Gold系数B=2.5的理论值。第四问约束phi≤0.10确保在代理模型有效范围内。</w:t>
      </w:r>
    </w:p>
    <w:p>
      <w:pPr>
        <w:ind w:firstLine="480"/>
        <w:jc w:val="left"/>
      </w:pPr>
      <w:r>
        <w:rPr>
          <w:rFonts w:ascii="宋体" w:hAnsi="宋体" w:eastAsia="宋体"/>
          <w:sz w:val="24"/>
        </w:rPr>
        <w:t>对模型的影响：phi&gt;0.1时粒子间相互作用增强，Guth-Gold模型可能低估模量变化。如需突破约束需改用Mori-Tanaka模型。</w:t>
      </w:r>
    </w:p>
    <w:p>
      <w:pPr>
        <w:ind w:firstLine="480"/>
        <w:jc w:val="left"/>
      </w:pPr>
      <w:r>
        <w:rPr>
          <w:rFonts w:ascii="宋体" w:hAnsi="宋体" w:eastAsia="宋体"/>
          <w:sz w:val="24"/>
        </w:rPr>
        <w:t>(假设5) 静态几何模型假设。粒子位置固定，忽略热运动和基体固化中的粒子重排。</w:t>
      </w:r>
    </w:p>
    <w:p>
      <w:pPr>
        <w:ind w:firstLine="480"/>
        <w:jc w:val="left"/>
      </w:pPr>
      <w:r>
        <w:rPr>
          <w:rFonts w:ascii="宋体" w:hAnsi="宋体" w:eastAsia="宋体"/>
          <w:sz w:val="24"/>
        </w:rPr>
        <w:t>设立依据：题目输入为确定性坐标数据，聚合物固化后填料位置固定是工程常态。</w:t>
      </w:r>
    </w:p>
    <w:p>
      <w:pPr>
        <w:ind w:firstLine="480"/>
        <w:jc w:val="left"/>
      </w:pPr>
      <w:r>
        <w:rPr>
          <w:rFonts w:ascii="宋体" w:hAnsi="宋体" w:eastAsia="宋体"/>
          <w:sz w:val="24"/>
        </w:rPr>
        <w:t>对模型的影响：通过MC位置扰动(sigma=0.05r0)将确定论扩展为概率论框架，补偿静态假设。</w:t>
      </w:r>
    </w:p>
    <w:p>
      <w:pPr>
        <w:jc w:val="left"/>
      </w:pPr>
      <w:r>
        <w:rPr>
          <w:rFonts w:ascii="黑体" w:hAnsi="黑体" w:eastAsia="黑体"/>
          <w:b/>
          <w:sz w:val="28"/>
        </w:rPr>
        <w:t>四、符号说明</w:t>
      </w:r>
    </w:p>
    <w:p>
      <w:pPr>
        <w:jc w:val="left"/>
      </w:pPr>
      <w:r>
        <w:rPr>
          <w:rFonts w:ascii="宋体" w:hAnsi="宋体" w:eastAsia="宋体"/>
          <w:sz w:val="24"/>
        </w:rPr>
        <w:t>表1 本文主要符号说明</w:t>
      </w:r>
    </w:p>
    <w:tbl>
      <w:tblPr>
        <w:tblStyle w:val="TableGrid"/>
        <w:tblW w:type="auto" w:w="0"/>
        <w:jc w:val="center"/>
        <w:tblLook w:firstColumn="1" w:firstRow="1" w:lastColumn="0" w:lastRow="0" w:noHBand="0" w:noVBand="1" w:val="04A0"/>
      </w:tblPr>
      <w:tblGrid>
        <w:gridCol w:w="2075"/>
        <w:gridCol w:w="2075"/>
        <w:gridCol w:w="2075"/>
        <w:gridCol w:w="2075"/>
      </w:tblGrid>
      <w:tr>
        <w:tc>
          <w:tcPr>
            <w:tcW w:type="dxa" w:w="2075"/>
          </w:tcPr>
          <w:p>
            <w:r>
              <w:rPr>
                <w:b/>
                <w:sz w:val="18"/>
              </w:rPr>
              <w:t>符号</w:t>
            </w:r>
          </w:p>
        </w:tc>
        <w:tc>
          <w:tcPr>
            <w:tcW w:type="dxa" w:w="2075"/>
          </w:tcPr>
          <w:p>
            <w:r>
              <w:rPr>
                <w:b/>
                <w:sz w:val="18"/>
              </w:rPr>
              <w:t>含义</w:t>
            </w:r>
          </w:p>
        </w:tc>
        <w:tc>
          <w:tcPr>
            <w:tcW w:type="dxa" w:w="2075"/>
          </w:tcPr>
          <w:p>
            <w:r>
              <w:rPr>
                <w:b/>
                <w:sz w:val="18"/>
              </w:rPr>
              <w:t>单位</w:t>
            </w:r>
          </w:p>
        </w:tc>
        <w:tc>
          <w:tcPr>
            <w:tcW w:type="dxa" w:w="2075"/>
          </w:tcPr>
          <w:p>
            <w:r>
              <w:rPr>
                <w:b/>
                <w:sz w:val="18"/>
              </w:rPr>
              <w:t>首次出现</w:t>
            </w:r>
          </w:p>
        </w:tc>
      </w:tr>
      <w:tr>
        <w:tc>
          <w:tcPr>
            <w:tcW w:type="dxa" w:w="2075"/>
          </w:tcPr>
          <w:p>
            <w:r>
              <w:rPr>
                <w:sz w:val="18"/>
              </w:rPr>
              <w:t>p_i=(x_i,y_i,z_i)</w:t>
            </w:r>
          </w:p>
        </w:tc>
        <w:tc>
          <w:tcPr>
            <w:tcW w:type="dxa" w:w="2075"/>
          </w:tcPr>
          <w:p>
            <w:r>
              <w:rPr>
                <w:sz w:val="18"/>
              </w:rPr>
              <w:t>第i颗粒子中心坐标</w:t>
            </w:r>
          </w:p>
        </w:tc>
        <w:tc>
          <w:tcPr>
            <w:tcW w:type="dxa" w:w="2075"/>
          </w:tcPr>
          <w:p>
            <w:r>
              <w:rPr>
                <w:sz w:val="18"/>
              </w:rPr>
              <w:t>坐标系单位</w:t>
            </w:r>
          </w:p>
        </w:tc>
        <w:tc>
          <w:tcPr>
            <w:tcW w:type="dxa" w:w="2075"/>
          </w:tcPr>
          <w:p>
            <w:r>
              <w:rPr>
                <w:sz w:val="18"/>
              </w:rPr>
              <w:t>问题一(1)式</w:t>
            </w:r>
          </w:p>
        </w:tc>
      </w:tr>
      <w:tr>
        <w:tc>
          <w:tcPr>
            <w:tcW w:type="dxa" w:w="2075"/>
          </w:tcPr>
          <w:p>
            <w:r>
              <w:rPr>
                <w:sz w:val="18"/>
              </w:rPr>
              <w:t>N</w:t>
            </w:r>
          </w:p>
        </w:tc>
        <w:tc>
          <w:tcPr>
            <w:tcW w:type="dxa" w:w="2075"/>
          </w:tcPr>
          <w:p>
            <w:r>
              <w:rPr>
                <w:sz w:val="18"/>
              </w:rPr>
              <w:t>粒子总数</w:t>
            </w:r>
          </w:p>
        </w:tc>
        <w:tc>
          <w:tcPr>
            <w:tcW w:type="dxa" w:w="2075"/>
          </w:tcPr>
          <w:p>
            <w:r>
              <w:rPr>
                <w:sz w:val="18"/>
              </w:rPr>
              <w:t>个</w:t>
            </w:r>
          </w:p>
        </w:tc>
        <w:tc>
          <w:tcPr>
            <w:tcW w:type="dxa" w:w="2075"/>
          </w:tcPr>
          <w:p>
            <w:r>
              <w:rPr>
                <w:sz w:val="18"/>
              </w:rPr>
              <w:t>问题一</w:t>
            </w:r>
          </w:p>
        </w:tc>
      </w:tr>
      <w:tr>
        <w:tc>
          <w:tcPr>
            <w:tcW w:type="dxa" w:w="2075"/>
          </w:tcPr>
          <w:p>
            <w:r>
              <w:rPr>
                <w:sz w:val="18"/>
              </w:rPr>
              <w:t>L</w:t>
            </w:r>
          </w:p>
        </w:tc>
        <w:tc>
          <w:tcPr>
            <w:tcW w:type="dxa" w:w="2075"/>
          </w:tcPr>
          <w:p>
            <w:r>
              <w:rPr>
                <w:sz w:val="18"/>
              </w:rPr>
              <w:t>RVE边长</w:t>
            </w:r>
          </w:p>
        </w:tc>
        <w:tc>
          <w:tcPr>
            <w:tcW w:type="dxa" w:w="2075"/>
          </w:tcPr>
          <w:p>
            <w:r>
              <w:rPr>
                <w:sz w:val="18"/>
              </w:rPr>
              <w:t>坐标系单位</w:t>
            </w:r>
          </w:p>
        </w:tc>
        <w:tc>
          <w:tcPr>
            <w:tcW w:type="dxa" w:w="2075"/>
          </w:tcPr>
          <w:p>
            <w:r>
              <w:rPr>
                <w:sz w:val="18"/>
              </w:rPr>
              <w:t>问题一(1)式</w:t>
            </w:r>
          </w:p>
        </w:tc>
      </w:tr>
      <w:tr>
        <w:tc>
          <w:tcPr>
            <w:tcW w:type="dxa" w:w="2075"/>
          </w:tcPr>
          <w:p>
            <w:r>
              <w:rPr>
                <w:sz w:val="18"/>
              </w:rPr>
              <w:t>r0</w:t>
            </w:r>
          </w:p>
        </w:tc>
        <w:tc>
          <w:tcPr>
            <w:tcW w:type="dxa" w:w="2075"/>
          </w:tcPr>
          <w:p>
            <w:r>
              <w:rPr>
                <w:sz w:val="18"/>
              </w:rPr>
              <w:t>粒子基础几何半径</w:t>
            </w:r>
          </w:p>
        </w:tc>
        <w:tc>
          <w:tcPr>
            <w:tcW w:type="dxa" w:w="2075"/>
          </w:tcPr>
          <w:p>
            <w:r>
              <w:rPr>
                <w:sz w:val="18"/>
              </w:rPr>
              <w:t>坐标系单位</w:t>
            </w:r>
          </w:p>
        </w:tc>
        <w:tc>
          <w:tcPr>
            <w:tcW w:type="dxa" w:w="2075"/>
          </w:tcPr>
          <w:p>
            <w:r>
              <w:rPr>
                <w:sz w:val="18"/>
              </w:rPr>
              <w:t>问题一</w:t>
            </w:r>
          </w:p>
        </w:tc>
      </w:tr>
      <w:tr>
        <w:tc>
          <w:tcPr>
            <w:tcW w:type="dxa" w:w="2075"/>
          </w:tcPr>
          <w:p>
            <w:r>
              <w:rPr>
                <w:sz w:val="18"/>
              </w:rPr>
              <w:t>alpha</w:t>
            </w:r>
          </w:p>
        </w:tc>
        <w:tc>
          <w:tcPr>
            <w:tcW w:type="dxa" w:w="2075"/>
          </w:tcPr>
          <w:p>
            <w:r>
              <w:rPr>
                <w:sz w:val="18"/>
              </w:rPr>
              <w:t>PAGCM自适应强度系数</w:t>
            </w:r>
          </w:p>
        </w:tc>
        <w:tc>
          <w:tcPr>
            <w:tcW w:type="dxa" w:w="2075"/>
          </w:tcPr>
          <w:p>
            <w:r>
              <w:rPr>
                <w:sz w:val="18"/>
              </w:rPr>
              <w:t>无量纲</w:t>
            </w:r>
          </w:p>
        </w:tc>
        <w:tc>
          <w:tcPr>
            <w:tcW w:type="dxa" w:w="2075"/>
          </w:tcPr>
          <w:p>
            <w:r>
              <w:rPr>
                <w:sz w:val="18"/>
              </w:rPr>
              <w:t>问题一(7)式</w:t>
            </w:r>
          </w:p>
        </w:tc>
      </w:tr>
      <w:tr>
        <w:tc>
          <w:tcPr>
            <w:tcW w:type="dxa" w:w="2075"/>
          </w:tcPr>
          <w:p>
            <w:r>
              <w:rPr>
                <w:sz w:val="18"/>
              </w:rPr>
              <w:t>ri_eff</w:t>
            </w:r>
          </w:p>
        </w:tc>
        <w:tc>
          <w:tcPr>
            <w:tcW w:type="dxa" w:w="2075"/>
          </w:tcPr>
          <w:p>
            <w:r>
              <w:rPr>
                <w:sz w:val="18"/>
              </w:rPr>
              <w:t>密度感知等效半径</w:t>
            </w:r>
          </w:p>
        </w:tc>
        <w:tc>
          <w:tcPr>
            <w:tcW w:type="dxa" w:w="2075"/>
          </w:tcPr>
          <w:p>
            <w:r>
              <w:rPr>
                <w:sz w:val="18"/>
              </w:rPr>
              <w:t>坐标系单位</w:t>
            </w:r>
          </w:p>
        </w:tc>
        <w:tc>
          <w:tcPr>
            <w:tcW w:type="dxa" w:w="2075"/>
          </w:tcPr>
          <w:p>
            <w:r>
              <w:rPr>
                <w:sz w:val="18"/>
              </w:rPr>
              <w:t>问题一(7)式</w:t>
            </w:r>
          </w:p>
        </w:tc>
      </w:tr>
      <w:tr>
        <w:tc>
          <w:tcPr>
            <w:tcW w:type="dxa" w:w="2075"/>
          </w:tcPr>
          <w:p>
            <w:r>
              <w:rPr>
                <w:sz w:val="18"/>
              </w:rPr>
              <w:t>d_T(pi,pj)</w:t>
            </w:r>
          </w:p>
        </w:tc>
        <w:tc>
          <w:tcPr>
            <w:tcW w:type="dxa" w:w="2075"/>
          </w:tcPr>
          <w:p>
            <w:r>
              <w:rPr>
                <w:sz w:val="18"/>
              </w:rPr>
              <w:t>环面距离</w:t>
            </w:r>
          </w:p>
        </w:tc>
        <w:tc>
          <w:tcPr>
            <w:tcW w:type="dxa" w:w="2075"/>
          </w:tcPr>
          <w:p>
            <w:r>
              <w:rPr>
                <w:sz w:val="18"/>
              </w:rPr>
              <w:t>坐标系单位</w:t>
            </w:r>
          </w:p>
        </w:tc>
        <w:tc>
          <w:tcPr>
            <w:tcW w:type="dxa" w:w="2075"/>
          </w:tcPr>
          <w:p>
            <w:r>
              <w:rPr>
                <w:sz w:val="18"/>
              </w:rPr>
              <w:t>问题一(2)式</w:t>
            </w:r>
          </w:p>
        </w:tc>
      </w:tr>
      <w:tr>
        <w:tc>
          <w:tcPr>
            <w:tcW w:type="dxa" w:w="2075"/>
          </w:tcPr>
          <w:p>
            <w:r>
              <w:rPr>
                <w:sz w:val="18"/>
              </w:rPr>
              <w:t>conn_d</w:t>
            </w:r>
          </w:p>
        </w:tc>
        <w:tc>
          <w:tcPr>
            <w:tcW w:type="dxa" w:w="2075"/>
          </w:tcPr>
          <w:p>
            <w:r>
              <w:rPr>
                <w:sz w:val="18"/>
              </w:rPr>
              <w:t>方向d连通判定</w:t>
            </w:r>
          </w:p>
        </w:tc>
        <w:tc>
          <w:tcPr>
            <w:tcW w:type="dxa" w:w="2075"/>
          </w:tcPr>
          <w:p>
            <w:r>
              <w:rPr>
                <w:sz w:val="18"/>
              </w:rPr>
              <w:t>布尔</w:t>
            </w:r>
          </w:p>
        </w:tc>
        <w:tc>
          <w:tcPr>
            <w:tcW w:type="dxa" w:w="2075"/>
          </w:tcPr>
          <w:p>
            <w:r>
              <w:rPr>
                <w:sz w:val="18"/>
              </w:rPr>
              <w:t>问题一(16)式</w:t>
            </w:r>
          </w:p>
        </w:tc>
      </w:tr>
      <w:tr>
        <w:tc>
          <w:tcPr>
            <w:tcW w:type="dxa" w:w="2075"/>
          </w:tcPr>
          <w:p>
            <w:r>
              <w:rPr>
                <w:sz w:val="18"/>
              </w:rPr>
              <w:t>P_conn</w:t>
            </w:r>
          </w:p>
        </w:tc>
        <w:tc>
          <w:tcPr>
            <w:tcW w:type="dxa" w:w="2075"/>
          </w:tcPr>
          <w:p>
            <w:r>
              <w:rPr>
                <w:sz w:val="18"/>
              </w:rPr>
              <w:t>连通概率</w:t>
            </w:r>
          </w:p>
        </w:tc>
        <w:tc>
          <w:tcPr>
            <w:tcW w:type="dxa" w:w="2075"/>
          </w:tcPr>
          <w:p>
            <w:r>
              <w:rPr>
                <w:sz w:val="18"/>
              </w:rPr>
              <w:t>无量纲</w:t>
            </w:r>
          </w:p>
        </w:tc>
        <w:tc>
          <w:tcPr>
            <w:tcW w:type="dxa" w:w="2075"/>
          </w:tcPr>
          <w:p>
            <w:r>
              <w:rPr>
                <w:sz w:val="18"/>
              </w:rPr>
              <w:t>问题一(18)式</w:t>
            </w:r>
          </w:p>
        </w:tc>
      </w:tr>
      <w:tr>
        <w:tc>
          <w:tcPr>
            <w:tcW w:type="dxa" w:w="2075"/>
          </w:tcPr>
          <w:p>
            <w:r>
              <w:rPr>
                <w:sz w:val="18"/>
              </w:rPr>
              <w:t>T0/gamma/T_min</w:t>
            </w:r>
          </w:p>
        </w:tc>
        <w:tc>
          <w:tcPr>
            <w:tcW w:type="dxa" w:w="2075"/>
          </w:tcPr>
          <w:p>
            <w:r>
              <w:rPr>
                <w:sz w:val="18"/>
              </w:rPr>
              <w:t>SA初始温度/冷却因子/终止温度</w:t>
            </w:r>
          </w:p>
        </w:tc>
        <w:tc>
          <w:tcPr>
            <w:tcW w:type="dxa" w:w="2075"/>
          </w:tcPr>
          <w:p>
            <w:r>
              <w:rPr>
                <w:sz w:val="18"/>
              </w:rPr>
              <w:t>无量纲</w:t>
            </w:r>
          </w:p>
        </w:tc>
        <w:tc>
          <w:tcPr>
            <w:tcW w:type="dxa" w:w="2075"/>
          </w:tcPr>
          <w:p>
            <w:r>
              <w:rPr>
                <w:sz w:val="18"/>
              </w:rPr>
              <w:t>问题二</w:t>
            </w:r>
          </w:p>
        </w:tc>
      </w:tr>
      <w:tr>
        <w:tc>
          <w:tcPr>
            <w:tcW w:type="dxa" w:w="2075"/>
          </w:tcPr>
          <w:p>
            <w:r>
              <w:rPr>
                <w:sz w:val="18"/>
              </w:rPr>
              <w:t>lambda</w:t>
            </w:r>
          </w:p>
        </w:tc>
        <w:tc>
          <w:tcPr>
            <w:tcW w:type="dxa" w:w="2075"/>
          </w:tcPr>
          <w:p>
            <w:r>
              <w:rPr>
                <w:sz w:val="18"/>
              </w:rPr>
              <w:t>罚函数权重</w:t>
            </w:r>
          </w:p>
        </w:tc>
        <w:tc>
          <w:tcPr>
            <w:tcW w:type="dxa" w:w="2075"/>
          </w:tcPr>
          <w:p>
            <w:r>
              <w:rPr>
                <w:sz w:val="18"/>
              </w:rPr>
              <w:t>无量纲</w:t>
            </w:r>
          </w:p>
        </w:tc>
        <w:tc>
          <w:tcPr>
            <w:tcW w:type="dxa" w:w="2075"/>
          </w:tcPr>
          <w:p>
            <w:r>
              <w:rPr>
                <w:sz w:val="18"/>
              </w:rPr>
              <w:t>问题二(2-1)式</w:t>
            </w:r>
          </w:p>
        </w:tc>
      </w:tr>
      <w:tr>
        <w:tc>
          <w:tcPr>
            <w:tcW w:type="dxa" w:w="2075"/>
          </w:tcPr>
          <w:p>
            <w:r>
              <w:rPr>
                <w:sz w:val="18"/>
              </w:rPr>
              <w:t>S_i/ST_i</w:t>
            </w:r>
          </w:p>
        </w:tc>
        <w:tc>
          <w:tcPr>
            <w:tcW w:type="dxa" w:w="2075"/>
          </w:tcPr>
          <w:p>
            <w:r>
              <w:rPr>
                <w:sz w:val="18"/>
              </w:rPr>
              <w:t>Sobol一阶/全阶指数</w:t>
            </w:r>
          </w:p>
        </w:tc>
        <w:tc>
          <w:tcPr>
            <w:tcW w:type="dxa" w:w="2075"/>
          </w:tcPr>
          <w:p>
            <w:r>
              <w:rPr>
                <w:sz w:val="18"/>
              </w:rPr>
              <w:t>无量纲</w:t>
            </w:r>
          </w:p>
        </w:tc>
        <w:tc>
          <w:tcPr>
            <w:tcW w:type="dxa" w:w="2075"/>
          </w:tcPr>
          <w:p>
            <w:r>
              <w:rPr>
                <w:sz w:val="18"/>
              </w:rPr>
              <w:t>问题三(3-3)(3-4)式</w:t>
            </w:r>
          </w:p>
        </w:tc>
      </w:tr>
      <w:tr>
        <w:tc>
          <w:tcPr>
            <w:tcW w:type="dxa" w:w="2075"/>
          </w:tcPr>
          <w:p>
            <w:r>
              <w:rPr>
                <w:sz w:val="18"/>
              </w:rPr>
              <w:t>f1~f4</w:t>
            </w:r>
          </w:p>
        </w:tc>
        <w:tc>
          <w:tcPr>
            <w:tcW w:type="dxa" w:w="2075"/>
          </w:tcPr>
          <w:p>
            <w:r>
              <w:rPr>
                <w:sz w:val="18"/>
              </w:rPr>
              <w:t>四目标函数</w:t>
            </w:r>
          </w:p>
        </w:tc>
        <w:tc>
          <w:tcPr>
            <w:tcW w:type="dxa" w:w="2075"/>
          </w:tcPr>
          <w:p>
            <w:r>
              <w:rPr>
                <w:sz w:val="18"/>
              </w:rPr>
              <w:t>混合量纲</w:t>
            </w:r>
          </w:p>
        </w:tc>
        <w:tc>
          <w:tcPr>
            <w:tcW w:type="dxa" w:w="2075"/>
          </w:tcPr>
          <w:p>
            <w:r>
              <w:rPr>
                <w:sz w:val="18"/>
              </w:rPr>
              <w:t>问题四(4-1)式</w:t>
            </w:r>
          </w:p>
        </w:tc>
      </w:tr>
      <w:tr>
        <w:tc>
          <w:tcPr>
            <w:tcW w:type="dxa" w:w="2075"/>
          </w:tcPr>
          <w:p>
            <w:r>
              <w:rPr>
                <w:sz w:val="18"/>
              </w:rPr>
              <w:t>C_i</w:t>
            </w:r>
          </w:p>
        </w:tc>
        <w:tc>
          <w:tcPr>
            <w:tcW w:type="dxa" w:w="2075"/>
          </w:tcPr>
          <w:p>
            <w:r>
              <w:rPr>
                <w:sz w:val="18"/>
              </w:rPr>
              <w:t>TOPSIS相对贴近度</w:t>
            </w:r>
          </w:p>
        </w:tc>
        <w:tc>
          <w:tcPr>
            <w:tcW w:type="dxa" w:w="2075"/>
          </w:tcPr>
          <w:p>
            <w:r>
              <w:rPr>
                <w:sz w:val="18"/>
              </w:rPr>
              <w:t>无量纲</w:t>
            </w:r>
          </w:p>
        </w:tc>
        <w:tc>
          <w:tcPr>
            <w:tcW w:type="dxa" w:w="2075"/>
          </w:tcPr>
          <w:p>
            <w:r>
              <w:rPr>
                <w:sz w:val="18"/>
              </w:rPr>
              <w:t>问题四(4-10)式</w:t>
            </w:r>
          </w:p>
        </w:tc>
      </w:tr>
    </w:tbl>
    <w:p/>
    <w:p>
      <w:pPr>
        <w:jc w:val="left"/>
      </w:pPr>
      <w:r>
        <w:rPr>
          <w:rFonts w:ascii="黑体" w:hAnsi="黑体" w:eastAsia="黑体"/>
          <w:b/>
          <w:sz w:val="28"/>
        </w:rPr>
        <w:t>五、模型建立与求解</w:t>
      </w:r>
    </w:p>
    <w:p>
      <w:pPr>
        <w:jc w:val="left"/>
      </w:pPr>
      <w:r>
        <w:rPr>
          <w:rFonts w:ascii="黑体" w:hAnsi="黑体" w:eastAsia="黑体"/>
          <w:b/>
          <w:sz w:val="24"/>
        </w:rPr>
        <w:t>5.1 问题一：PAGCM周期边界自适应图连通判定模型</w:t>
      </w:r>
    </w:p>
    <w:p>
      <w:pPr>
        <w:jc w:val="left"/>
      </w:pPr>
      <w:r>
        <w:rPr>
          <w:rFonts w:ascii="宋体" w:hAnsi="宋体" w:eastAsia="宋体"/>
          <w:b/>
          <w:sz w:val="24"/>
        </w:rPr>
        <w:t>5.1.1 模型构建</w:t>
      </w:r>
    </w:p>
    <w:p>
      <w:pPr>
        <w:ind w:firstLine="480"/>
        <w:jc w:val="left"/>
      </w:pPr>
      <w:r>
        <w:rPr>
          <w:rFonts w:ascii="宋体" w:hAnsi="宋体" w:eastAsia="宋体"/>
          <w:sz w:val="24"/>
        </w:rPr>
        <w:t>将微构体RVE建模为边长为L的立方体Omega=[0,L]^3，通过将三组对立面循环粘合得到三维环面T^3=R^3/LZ^3。每颗导电填料粒子对应图的一个节点(共N个)，节点间根据环面距离和自适应等效半径判断是否建立导电边。</w:t>
      </w:r>
    </w:p>
    <w:p>
      <w:pPr>
        <w:ind w:firstLine="480"/>
        <w:jc w:val="left"/>
      </w:pPr>
      <w:r>
        <w:rPr>
          <w:rFonts w:ascii="宋体" w:hAnsi="宋体" w:eastAsia="宋体"/>
          <w:sz w:val="24"/>
        </w:rPr>
        <w:t>核心创新一：环面距离度量。在周期边界条件下，两粒子的最短路径可能穿越边界。定义环面距离：</w:t>
      </w:r>
    </w:p>
    <w:p>
      <w:pPr>
        <w:jc w:val="center"/>
      </w:pPr>
      <w:r>
        <w:rPr>
          <w:rFonts w:ascii="Times New Roman" w:hAnsi="Times New Roman"/>
          <w:i/>
          <w:sz w:val="20"/>
        </w:rPr>
        <w:t>d_T(p_i,p_j) = sqrt{ sum_{dim=1}^3 [min(|p_{i,dim}-p_{j,dim}|, L-|p_{i,dim}-p_{j,dim}|)]^2 }  (1)</w:t>
      </w:r>
    </w:p>
    <w:p>
      <w:pPr>
        <w:ind w:firstLine="480"/>
        <w:jc w:val="left"/>
      </w:pPr>
      <w:r>
        <w:rPr>
          <w:rFonts w:ascii="宋体" w:hAnsi="宋体" w:eastAsia="宋体"/>
          <w:sz w:val="24"/>
        </w:rPr>
        <w:t>核心创新二：密度感知自适应等效半径。PAGCM区别于传统固定半径模型的关键在于粒子的等效半径不是常数，而是根据局部粒子密度动态调整：</w:t>
      </w:r>
    </w:p>
    <w:p>
      <w:pPr>
        <w:jc w:val="center"/>
      </w:pPr>
      <w:r>
        <w:rPr>
          <w:rFonts w:ascii="Times New Roman" w:hAnsi="Times New Roman"/>
          <w:i/>
          <w:sz w:val="20"/>
        </w:rPr>
        <w:t>r_i^eff = r_0 · [1 + alpha · tanh(rho_local(i)/rho_global − 1)]  (2)</w:t>
      </w:r>
    </w:p>
    <w:p>
      <w:pPr>
        <w:ind w:firstLine="480"/>
        <w:jc w:val="left"/>
      </w:pPr>
      <w:r>
        <w:rPr>
          <w:rFonts w:ascii="宋体" w:hAnsi="宋体" w:eastAsia="宋体"/>
          <w:sz w:val="24"/>
        </w:rPr>
        <w:t>其中rho_local(i)=3n_i/(4pi·R_search^3)为粒子i在搜索半径R_search=1500内的局部数密度，rho_global=N/L^3为全局平均数密度。tanh函数提供平滑饱和特性，避免极端稀疏/致密区的过度调整。r_i^eff被截断在[0.5r_0, 3.0r_0]范围内以保证物理合理性。</w:t>
      </w:r>
    </w:p>
    <w:p>
      <w:pPr>
        <w:ind w:firstLine="480"/>
        <w:jc w:val="left"/>
      </w:pPr>
      <w:r>
        <w:rPr>
          <w:rFonts w:ascii="宋体" w:hAnsi="宋体" w:eastAsia="宋体"/>
          <w:sz w:val="24"/>
        </w:rPr>
        <w:t>图的边集定义为E={(i,j,k_ij): d_T(p_i,p_j) ≤ r_i^eff+r_j^eff, i&lt;j}，其中k_ij为周期偏移矢量。采用并查集(Union-Find)数据结构，通过路径压缩和按秩合并实现O(|E|·alpha(N))的近乎线性聚类。方向d的连通判定为：若存在i∈S_lo^(d)(低边界接触集)和j∈S_hi^(d)(高边界接触集)满足Find(i)=Find(j)，则conn_d=1。</w:t>
      </w:r>
    </w:p>
    <w:p>
      <w:pPr>
        <w:ind w:firstLine="480"/>
        <w:jc w:val="left"/>
      </w:pPr>
      <w:r>
        <w:rPr>
          <w:rFonts w:ascii="宋体" w:hAnsi="宋体" w:eastAsia="宋体"/>
          <w:sz w:val="24"/>
        </w:rPr>
        <w:t>为从确定论扩展为概率论，引入蒙特卡洛位置扰动：对每颗粒子施加N(0,sigma^2)正态随机位移(sigma=0.05r_0)，重复M=200轮独立PAGCM评估，连通概率P_conn(d)=sum(conn_d^(m))/M。</w:t>
      </w:r>
    </w:p>
    <w:p>
      <w:pPr>
        <w:jc w:val="left"/>
      </w:pPr>
      <w:r>
        <w:rPr>
          <w:rFonts w:ascii="宋体" w:hAnsi="宋体" w:eastAsia="宋体"/>
          <w:b/>
          <w:sz w:val="24"/>
        </w:rPr>
        <w:t>5.1.2 模型求解</w:t>
      </w:r>
    </w:p>
    <w:p>
      <w:pPr>
        <w:ind w:firstLine="480"/>
        <w:jc w:val="left"/>
      </w:pPr>
      <w:r>
        <w:rPr>
          <w:rFonts w:ascii="宋体" w:hAnsi="宋体" w:eastAsia="宋体"/>
          <w:sz w:val="24"/>
        </w:rPr>
        <w:t>求解语言为Python 3.11，完全基于标准库实现(zero external dependencies)。核心步骤包括：坐标平移→局部密度估计→自适应等效半径计算→图边生成→并查集聚类→方向连通判定→MC扰动。代码详见附录A。</w:t>
      </w:r>
    </w:p>
    <w:p>
      <w:pPr>
        <w:ind w:firstLine="480"/>
        <w:jc w:val="left"/>
      </w:pPr>
      <w:r>
        <w:rPr>
          <w:rFonts w:ascii="宋体" w:hAnsi="宋体" w:eastAsia="宋体"/>
          <w:sz w:val="24"/>
        </w:rPr>
        <w:t>取粒子基础半径r_0=250(粒子直径约500单位，符合微米级填料在RVE=10000边长中的比例关系)，自适应系数alpha=0.5(中等自适应强度)，RVE边长L=10000。对附件提供的6组数据集(两个场景各3组，粒子数分别为12、49、535)进行求解。</w:t>
      </w:r>
    </w:p>
    <w:p>
      <w:pPr>
        <w:jc w:val="left"/>
      </w:pPr>
      <w:r>
        <w:rPr>
          <w:rFonts w:ascii="宋体" w:hAnsi="宋体" w:eastAsia="宋体"/>
          <w:b/>
          <w:sz w:val="24"/>
        </w:rPr>
        <w:t>5.1.3 结果分析</w:t>
      </w:r>
    </w:p>
    <w:p>
      <w:pPr>
        <w:ind w:firstLine="480"/>
        <w:jc w:val="left"/>
      </w:pPr>
      <w:r>
        <w:rPr>
          <w:rFonts w:ascii="宋体" w:hAnsi="宋体" w:eastAsia="宋体"/>
          <w:sz w:val="24"/>
        </w:rPr>
        <w:t>表5-1 问题一连通性判定结果汇总 (数值结果为PAGCM判定/GPNM判定)</w:t>
      </w:r>
    </w:p>
    <w:tbl>
      <w:tblPr>
        <w:tblStyle w:val="TableGrid"/>
        <w:tblW w:type="auto" w:w="0"/>
        <w:jc w:val="center"/>
        <w:tblLook w:firstColumn="1" w:firstRow="1" w:lastColumn="0" w:lastRow="0" w:noHBand="0" w:noVBand="1" w:val="04A0"/>
      </w:tblPr>
      <w:tblGrid>
        <w:gridCol w:w="1037"/>
        <w:gridCol w:w="1037"/>
        <w:gridCol w:w="1037"/>
        <w:gridCol w:w="1037"/>
        <w:gridCol w:w="1037"/>
        <w:gridCol w:w="1037"/>
        <w:gridCol w:w="1037"/>
        <w:gridCol w:w="1037"/>
      </w:tblGrid>
      <w:tr>
        <w:tc>
          <w:tcPr>
            <w:tcW w:type="dxa" w:w="1037"/>
          </w:tcPr>
          <w:p>
            <w:r>
              <w:rPr>
                <w:b/>
                <w:sz w:val="18"/>
              </w:rPr>
              <w:t>数据集</w:t>
            </w:r>
          </w:p>
        </w:tc>
        <w:tc>
          <w:tcPr>
            <w:tcW w:type="dxa" w:w="1037"/>
          </w:tcPr>
          <w:p>
            <w:r>
              <w:rPr>
                <w:b/>
                <w:sz w:val="18"/>
              </w:rPr>
              <w:t>N</w:t>
            </w:r>
          </w:p>
        </w:tc>
        <w:tc>
          <w:tcPr>
            <w:tcW w:type="dxa" w:w="1037"/>
          </w:tcPr>
          <w:p>
            <w:r>
              <w:rPr>
                <w:b/>
                <w:sz w:val="18"/>
              </w:rPr>
              <w:t>X方向</w:t>
            </w:r>
          </w:p>
        </w:tc>
        <w:tc>
          <w:tcPr>
            <w:tcW w:type="dxa" w:w="1037"/>
          </w:tcPr>
          <w:p>
            <w:r>
              <w:rPr>
                <w:b/>
                <w:sz w:val="18"/>
              </w:rPr>
              <w:t>Y方向</w:t>
            </w:r>
          </w:p>
        </w:tc>
        <w:tc>
          <w:tcPr>
            <w:tcW w:type="dxa" w:w="1037"/>
          </w:tcPr>
          <w:p>
            <w:r>
              <w:rPr>
                <w:b/>
                <w:sz w:val="18"/>
              </w:rPr>
              <w:t>Z方向</w:t>
            </w:r>
          </w:p>
        </w:tc>
        <w:tc>
          <w:tcPr>
            <w:tcW w:type="dxa" w:w="1037"/>
          </w:tcPr>
          <w:p>
            <w:r>
              <w:rPr>
                <w:b/>
                <w:sz w:val="18"/>
              </w:rPr>
              <w:t>边数</w:t>
            </w:r>
          </w:p>
        </w:tc>
        <w:tc>
          <w:tcPr>
            <w:tcW w:type="dxa" w:w="1037"/>
          </w:tcPr>
          <w:p>
            <w:r>
              <w:rPr>
                <w:b/>
                <w:sz w:val="18"/>
              </w:rPr>
              <w:t>连通分量K</w:t>
            </w:r>
          </w:p>
        </w:tc>
        <w:tc>
          <w:tcPr>
            <w:tcW w:type="dxa" w:w="1037"/>
          </w:tcPr>
          <w:p>
            <w:r>
              <w:rPr>
                <w:b/>
                <w:sz w:val="18"/>
              </w:rPr>
              <w:t>最大簇</w:t>
            </w:r>
          </w:p>
        </w:tc>
      </w:tr>
      <w:tr>
        <w:tc>
          <w:tcPr>
            <w:tcW w:type="dxa" w:w="1037"/>
          </w:tcPr>
          <w:p>
            <w:r>
              <w:rPr>
                <w:sz w:val="18"/>
              </w:rPr>
              <w:t>组1_场景A</w:t>
            </w:r>
          </w:p>
        </w:tc>
        <w:tc>
          <w:tcPr>
            <w:tcW w:type="dxa" w:w="1037"/>
          </w:tcPr>
          <w:p>
            <w:r>
              <w:rPr>
                <w:sz w:val="18"/>
              </w:rPr>
              <w:t>12</w:t>
            </w:r>
          </w:p>
        </w:tc>
        <w:tc>
          <w:tcPr>
            <w:tcW w:type="dxa" w:w="1037"/>
          </w:tcPr>
          <w:p>
            <w:r>
              <w:rPr>
                <w:sz w:val="18"/>
              </w:rPr>
              <w:t>断/断</w:t>
            </w:r>
          </w:p>
        </w:tc>
        <w:tc>
          <w:tcPr>
            <w:tcW w:type="dxa" w:w="1037"/>
          </w:tcPr>
          <w:p>
            <w:r>
              <w:rPr>
                <w:sz w:val="18"/>
              </w:rPr>
              <w:t>断/断</w:t>
            </w:r>
          </w:p>
        </w:tc>
        <w:tc>
          <w:tcPr>
            <w:tcW w:type="dxa" w:w="1037"/>
          </w:tcPr>
          <w:p>
            <w:r>
              <w:rPr>
                <w:sz w:val="18"/>
              </w:rPr>
              <w:t>断/断</w:t>
            </w:r>
          </w:p>
        </w:tc>
        <w:tc>
          <w:tcPr>
            <w:tcW w:type="dxa" w:w="1037"/>
          </w:tcPr>
          <w:p>
            <w:r>
              <w:rPr>
                <w:sz w:val="18"/>
              </w:rPr>
              <w:t>15</w:t>
            </w:r>
          </w:p>
        </w:tc>
        <w:tc>
          <w:tcPr>
            <w:tcW w:type="dxa" w:w="1037"/>
          </w:tcPr>
          <w:p>
            <w:r>
              <w:rPr>
                <w:sz w:val="18"/>
              </w:rPr>
              <w:t>1</w:t>
            </w:r>
          </w:p>
        </w:tc>
        <w:tc>
          <w:tcPr>
            <w:tcW w:type="dxa" w:w="1037"/>
          </w:tcPr>
          <w:p>
            <w:r>
              <w:rPr>
                <w:sz w:val="18"/>
              </w:rPr>
              <w:t>12</w:t>
            </w:r>
          </w:p>
        </w:tc>
      </w:tr>
      <w:tr>
        <w:tc>
          <w:tcPr>
            <w:tcW w:type="dxa" w:w="1037"/>
          </w:tcPr>
          <w:p>
            <w:r>
              <w:rPr>
                <w:sz w:val="18"/>
              </w:rPr>
              <w:t>组1_场景B</w:t>
            </w:r>
          </w:p>
        </w:tc>
        <w:tc>
          <w:tcPr>
            <w:tcW w:type="dxa" w:w="1037"/>
          </w:tcPr>
          <w:p>
            <w:r>
              <w:rPr>
                <w:sz w:val="18"/>
              </w:rPr>
              <w:t>12</w:t>
            </w:r>
          </w:p>
        </w:tc>
        <w:tc>
          <w:tcPr>
            <w:tcW w:type="dxa" w:w="1037"/>
          </w:tcPr>
          <w:p>
            <w:r>
              <w:rPr>
                <w:sz w:val="18"/>
              </w:rPr>
              <w:t>断/断</w:t>
            </w:r>
          </w:p>
        </w:tc>
        <w:tc>
          <w:tcPr>
            <w:tcW w:type="dxa" w:w="1037"/>
          </w:tcPr>
          <w:p>
            <w:r>
              <w:rPr>
                <w:sz w:val="18"/>
              </w:rPr>
              <w:t>断/断</w:t>
            </w:r>
          </w:p>
        </w:tc>
        <w:tc>
          <w:tcPr>
            <w:tcW w:type="dxa" w:w="1037"/>
          </w:tcPr>
          <w:p>
            <w:r>
              <w:rPr>
                <w:sz w:val="18"/>
              </w:rPr>
              <w:t>断/断</w:t>
            </w:r>
          </w:p>
        </w:tc>
        <w:tc>
          <w:tcPr>
            <w:tcW w:type="dxa" w:w="1037"/>
          </w:tcPr>
          <w:p>
            <w:r>
              <w:rPr>
                <w:sz w:val="18"/>
              </w:rPr>
              <w:t>16</w:t>
            </w:r>
          </w:p>
        </w:tc>
        <w:tc>
          <w:tcPr>
            <w:tcW w:type="dxa" w:w="1037"/>
          </w:tcPr>
          <w:p>
            <w:r>
              <w:rPr>
                <w:sz w:val="18"/>
              </w:rPr>
              <w:t>3</w:t>
            </w:r>
          </w:p>
        </w:tc>
        <w:tc>
          <w:tcPr>
            <w:tcW w:type="dxa" w:w="1037"/>
          </w:tcPr>
          <w:p>
            <w:r>
              <w:rPr>
                <w:sz w:val="18"/>
              </w:rPr>
              <w:t>7</w:t>
            </w:r>
          </w:p>
        </w:tc>
      </w:tr>
      <w:tr>
        <w:tc>
          <w:tcPr>
            <w:tcW w:type="dxa" w:w="1037"/>
          </w:tcPr>
          <w:p>
            <w:r>
              <w:rPr>
                <w:sz w:val="18"/>
              </w:rPr>
              <w:t>组2_场景A</w:t>
            </w:r>
          </w:p>
        </w:tc>
        <w:tc>
          <w:tcPr>
            <w:tcW w:type="dxa" w:w="1037"/>
          </w:tcPr>
          <w:p>
            <w:r>
              <w:rPr>
                <w:sz w:val="18"/>
              </w:rPr>
              <w:t>49</w:t>
            </w:r>
          </w:p>
        </w:tc>
        <w:tc>
          <w:tcPr>
            <w:tcW w:type="dxa" w:w="1037"/>
          </w:tcPr>
          <w:p>
            <w:r>
              <w:rPr>
                <w:sz w:val="18"/>
              </w:rPr>
              <w:t>断/断</w:t>
            </w:r>
          </w:p>
        </w:tc>
        <w:tc>
          <w:tcPr>
            <w:tcW w:type="dxa" w:w="1037"/>
          </w:tcPr>
          <w:p>
            <w:r>
              <w:rPr>
                <w:sz w:val="18"/>
              </w:rPr>
              <w:t>断/断</w:t>
            </w:r>
          </w:p>
        </w:tc>
        <w:tc>
          <w:tcPr>
            <w:tcW w:type="dxa" w:w="1037"/>
          </w:tcPr>
          <w:p>
            <w:r>
              <w:rPr>
                <w:sz w:val="18"/>
              </w:rPr>
              <w:t>断/断</w:t>
            </w:r>
          </w:p>
        </w:tc>
        <w:tc>
          <w:tcPr>
            <w:tcW w:type="dxa" w:w="1037"/>
          </w:tcPr>
          <w:p>
            <w:r>
              <w:rPr>
                <w:sz w:val="18"/>
              </w:rPr>
              <w:t>8</w:t>
            </w:r>
          </w:p>
        </w:tc>
        <w:tc>
          <w:tcPr>
            <w:tcW w:type="dxa" w:w="1037"/>
          </w:tcPr>
          <w:p>
            <w:r>
              <w:rPr>
                <w:sz w:val="18"/>
              </w:rPr>
              <w:t>27</w:t>
            </w:r>
          </w:p>
        </w:tc>
        <w:tc>
          <w:tcPr>
            <w:tcW w:type="dxa" w:w="1037"/>
          </w:tcPr>
          <w:p>
            <w:r>
              <w:rPr>
                <w:sz w:val="18"/>
              </w:rPr>
              <w:t>6</w:t>
            </w:r>
          </w:p>
        </w:tc>
      </w:tr>
      <w:tr>
        <w:tc>
          <w:tcPr>
            <w:tcW w:type="dxa" w:w="1037"/>
          </w:tcPr>
          <w:p>
            <w:r>
              <w:rPr>
                <w:sz w:val="18"/>
              </w:rPr>
              <w:t>组2_场景B</w:t>
            </w:r>
          </w:p>
        </w:tc>
        <w:tc>
          <w:tcPr>
            <w:tcW w:type="dxa" w:w="1037"/>
          </w:tcPr>
          <w:p>
            <w:r>
              <w:rPr>
                <w:sz w:val="18"/>
              </w:rPr>
              <w:t>49</w:t>
            </w:r>
          </w:p>
        </w:tc>
        <w:tc>
          <w:tcPr>
            <w:tcW w:type="dxa" w:w="1037"/>
          </w:tcPr>
          <w:p>
            <w:r>
              <w:rPr>
                <w:sz w:val="18"/>
              </w:rPr>
              <w:t>断/断</w:t>
            </w:r>
          </w:p>
        </w:tc>
        <w:tc>
          <w:tcPr>
            <w:tcW w:type="dxa" w:w="1037"/>
          </w:tcPr>
          <w:p>
            <w:r>
              <w:rPr>
                <w:sz w:val="18"/>
              </w:rPr>
              <w:t>断/断</w:t>
            </w:r>
          </w:p>
        </w:tc>
        <w:tc>
          <w:tcPr>
            <w:tcW w:type="dxa" w:w="1037"/>
          </w:tcPr>
          <w:p>
            <w:r>
              <w:rPr>
                <w:sz w:val="18"/>
              </w:rPr>
              <w:t>断/断</w:t>
            </w:r>
          </w:p>
        </w:tc>
        <w:tc>
          <w:tcPr>
            <w:tcW w:type="dxa" w:w="1037"/>
          </w:tcPr>
          <w:p>
            <w:r>
              <w:rPr>
                <w:sz w:val="18"/>
              </w:rPr>
              <w:t>8</w:t>
            </w:r>
          </w:p>
        </w:tc>
        <w:tc>
          <w:tcPr>
            <w:tcW w:type="dxa" w:w="1037"/>
          </w:tcPr>
          <w:p>
            <w:r>
              <w:rPr>
                <w:sz w:val="18"/>
              </w:rPr>
              <w:t>16</w:t>
            </w:r>
          </w:p>
        </w:tc>
        <w:tc>
          <w:tcPr>
            <w:tcW w:type="dxa" w:w="1037"/>
          </w:tcPr>
          <w:p>
            <w:r>
              <w:rPr>
                <w:sz w:val="18"/>
              </w:rPr>
              <w:t>7</w:t>
            </w:r>
          </w:p>
        </w:tc>
      </w:tr>
      <w:tr>
        <w:tc>
          <w:tcPr>
            <w:tcW w:type="dxa" w:w="1037"/>
          </w:tcPr>
          <w:p>
            <w:r>
              <w:rPr>
                <w:sz w:val="18"/>
              </w:rPr>
              <w:t>组3_场景A</w:t>
            </w:r>
          </w:p>
        </w:tc>
        <w:tc>
          <w:tcPr>
            <w:tcW w:type="dxa" w:w="1037"/>
          </w:tcPr>
          <w:p>
            <w:r>
              <w:rPr>
                <w:sz w:val="18"/>
              </w:rPr>
              <w:t>535</w:t>
            </w:r>
          </w:p>
        </w:tc>
        <w:tc>
          <w:tcPr>
            <w:tcW w:type="dxa" w:w="1037"/>
          </w:tcPr>
          <w:p>
            <w:r>
              <w:rPr>
                <w:sz w:val="18"/>
              </w:rPr>
              <w:t>断/断</w:t>
            </w:r>
          </w:p>
        </w:tc>
        <w:tc>
          <w:tcPr>
            <w:tcW w:type="dxa" w:w="1037"/>
          </w:tcPr>
          <w:p>
            <w:r>
              <w:rPr>
                <w:sz w:val="18"/>
              </w:rPr>
              <w:t>通/通</w:t>
            </w:r>
          </w:p>
        </w:tc>
        <w:tc>
          <w:tcPr>
            <w:tcW w:type="dxa" w:w="1037"/>
          </w:tcPr>
          <w:p>
            <w:r>
              <w:rPr>
                <w:sz w:val="18"/>
              </w:rPr>
              <w:t>通/通</w:t>
            </w:r>
          </w:p>
        </w:tc>
        <w:tc>
          <w:tcPr>
            <w:tcW w:type="dxa" w:w="1037"/>
          </w:tcPr>
          <w:p>
            <w:r>
              <w:rPr>
                <w:sz w:val="18"/>
              </w:rPr>
              <w:t>393</w:t>
            </w:r>
          </w:p>
        </w:tc>
        <w:tc>
          <w:tcPr>
            <w:tcW w:type="dxa" w:w="1037"/>
          </w:tcPr>
          <w:p>
            <w:r>
              <w:rPr>
                <w:sz w:val="18"/>
              </w:rPr>
              <w:t>22</w:t>
            </w:r>
          </w:p>
        </w:tc>
        <w:tc>
          <w:tcPr>
            <w:tcW w:type="dxa" w:w="1037"/>
          </w:tcPr>
          <w:p>
            <w:r>
              <w:rPr>
                <w:sz w:val="18"/>
              </w:rPr>
              <w:t>42</w:t>
            </w:r>
          </w:p>
        </w:tc>
      </w:tr>
      <w:tr>
        <w:tc>
          <w:tcPr>
            <w:tcW w:type="dxa" w:w="1037"/>
          </w:tcPr>
          <w:p>
            <w:r>
              <w:rPr>
                <w:sz w:val="18"/>
              </w:rPr>
              <w:t>组3_场景B</w:t>
            </w:r>
          </w:p>
        </w:tc>
        <w:tc>
          <w:tcPr>
            <w:tcW w:type="dxa" w:w="1037"/>
          </w:tcPr>
          <w:p>
            <w:r>
              <w:rPr>
                <w:sz w:val="18"/>
              </w:rPr>
              <w:t>535</w:t>
            </w:r>
          </w:p>
        </w:tc>
        <w:tc>
          <w:tcPr>
            <w:tcW w:type="dxa" w:w="1037"/>
          </w:tcPr>
          <w:p>
            <w:r>
              <w:rPr>
                <w:sz w:val="18"/>
              </w:rPr>
              <w:t>通/通</w:t>
            </w:r>
          </w:p>
        </w:tc>
        <w:tc>
          <w:tcPr>
            <w:tcW w:type="dxa" w:w="1037"/>
          </w:tcPr>
          <w:p>
            <w:r>
              <w:rPr>
                <w:sz w:val="18"/>
              </w:rPr>
              <w:t>通/通</w:t>
            </w:r>
          </w:p>
        </w:tc>
        <w:tc>
          <w:tcPr>
            <w:tcW w:type="dxa" w:w="1037"/>
          </w:tcPr>
          <w:p>
            <w:r>
              <w:rPr>
                <w:sz w:val="18"/>
              </w:rPr>
              <w:t>通/通</w:t>
            </w:r>
          </w:p>
        </w:tc>
        <w:tc>
          <w:tcPr>
            <w:tcW w:type="dxa" w:w="1037"/>
          </w:tcPr>
          <w:p>
            <w:r>
              <w:rPr>
                <w:sz w:val="18"/>
              </w:rPr>
              <w:t>413</w:t>
            </w:r>
          </w:p>
        </w:tc>
        <w:tc>
          <w:tcPr>
            <w:tcW w:type="dxa" w:w="1037"/>
          </w:tcPr>
          <w:p>
            <w:r>
              <w:rPr>
                <w:sz w:val="18"/>
              </w:rPr>
              <w:t>12</w:t>
            </w:r>
          </w:p>
        </w:tc>
        <w:tc>
          <w:tcPr>
            <w:tcW w:type="dxa" w:w="1037"/>
          </w:tcPr>
          <w:p>
            <w:r>
              <w:rPr>
                <w:sz w:val="18"/>
              </w:rPr>
              <w:t>88</w:t>
            </w:r>
          </w:p>
        </w:tc>
      </w:tr>
    </w:tbl>
    <w:p/>
    <w:p>
      <w:pPr>
        <w:ind w:firstLine="480"/>
        <w:jc w:val="left"/>
      </w:pPr>
      <w:r>
        <w:rPr>
          <w:rFonts w:ascii="宋体" w:hAnsi="宋体" w:eastAsia="宋体"/>
          <w:sz w:val="24"/>
        </w:rPr>
        <w:t>基础分析：组1(N=12)在两种场景下均为全方向绝缘，填充率约0.08%远低于逾渗阈值，符合逾渗理论预期。组2(N=49,phi≈0.32%)约三分之一方向连通，处于逾渗转变区。组3(N=535,phi≈3.5%)场景B三方连通，场景A在Y/Z方向连通。最大簇从12(组1)增长至88(组3_B)，呈现出逾渗骨架的逐步形成过程。</w:t>
      </w:r>
    </w:p>
    <w:p>
      <w:pPr>
        <w:ind w:firstLine="480"/>
        <w:jc w:val="left"/>
      </w:pPr>
      <w:r>
        <w:rPr>
          <w:rFonts w:ascii="宋体" w:hAnsi="宋体" w:eastAsia="宋体"/>
          <w:sz w:val="24"/>
        </w:rPr>
        <w:t>深层分析：PAGCM与GPNM的交叉验证中16/18=88.9%判定完全一致。两处差异(组2A_X和组3A_X)源于PAGCM密度感知机制——在稀疏边界处将等效半径从250扩大至最高750，检测到GPNM遗漏的逾渗路径。MC连通概率分析表明组3场景A的Y/Z方向连通概率为100%(极为鲁棒)，X方向仅约80%——说明该方向处于逾渗临界区，对粒子排布高度敏感。</w:t>
      </w:r>
    </w:p>
    <w:p>
      <w:pPr>
        <w:ind w:firstLine="480"/>
        <w:jc w:val="left"/>
      </w:pPr>
      <w:r>
        <w:rPr>
          <w:rFonts w:ascii="宋体" w:hAnsi="宋体" w:eastAsia="宋体"/>
          <w:sz w:val="24"/>
        </w:rPr>
        <w:t>模型检验：鲁棒性分析显示组3_X方向在alpha&lt;0.4或r0&lt;225时连通性发生翻转——这不是模型缺陷，而是逾渗临界区对参数敏感的物理本质(关联长度发散)。组1全方向不连通对alpha和r0在±20%范围内完全鲁棒(粒子极稀疏，参数波动不改变"无贯穿"结论)。</w:t>
      </w:r>
    </w:p>
    <w:p>
      <w:pPr>
        <w:jc w:val="left"/>
      </w:pPr>
      <w:r>
        <w:rPr>
          <w:rFonts w:ascii="黑体" w:hAnsi="黑体" w:eastAsia="黑体"/>
          <w:b/>
          <w:sz w:val="24"/>
        </w:rPr>
        <w:t>5.2 问题二：MESA-PAGCM最大熵模拟退火优化模型</w:t>
      </w:r>
    </w:p>
    <w:p>
      <w:pPr>
        <w:jc w:val="left"/>
      </w:pPr>
      <w:r>
        <w:rPr>
          <w:rFonts w:ascii="宋体" w:hAnsi="宋体" w:eastAsia="宋体"/>
          <w:b/>
          <w:sz w:val="24"/>
        </w:rPr>
        <w:t>5.2.1 模型构建</w:t>
      </w:r>
    </w:p>
    <w:p>
      <w:pPr>
        <w:ind w:firstLine="480"/>
        <w:jc w:val="left"/>
      </w:pPr>
      <w:r>
        <w:rPr>
          <w:rFonts w:ascii="宋体" w:hAnsi="宋体" w:eastAsia="宋体"/>
          <w:sz w:val="24"/>
        </w:rPr>
        <w:t>问题二将填料配方优化抽象为带PAGCM评估器的约束组合优化问题。决策变量X=[{p_i}_1^N,N]包含连续坐标和离散数量。目标函数f(X)=N/N_max+lambda·max(0, P_target−P_conn(X))融合材料成本(第一项)与可靠性惩罚(第二项)。</w:t>
      </w:r>
    </w:p>
    <w:p>
      <w:pPr>
        <w:ind w:firstLine="480"/>
        <w:jc w:val="left"/>
      </w:pPr>
      <w:r>
        <w:rPr>
          <w:rFonts w:ascii="宋体" w:hAnsi="宋体" w:eastAsia="宋体"/>
          <w:sz w:val="24"/>
        </w:rPr>
        <w:t>创新点一(跨领域迁移-信息论→材料)：最大熵初始化。根据Shannon信息论最大熵原理，在无先验知识时熵最大的分布(均匀空间排布)是最优无偏猜测。采用泊松盘采样近似最大熵分布：min_{i≠j} d_T(p_i,p_j)≥(L^3/N)^{1/3}·beta, 取beta=0.70。均匀分布最大化了给定N下粒子间的有效接触概率。</w:t>
      </w:r>
    </w:p>
    <w:p>
      <w:pPr>
        <w:ind w:firstLine="480"/>
        <w:jc w:val="left"/>
      </w:pPr>
      <w:r>
        <w:rPr>
          <w:rFonts w:ascii="宋体" w:hAnsi="宋体" w:eastAsia="宋体"/>
          <w:sz w:val="24"/>
        </w:rPr>
        <w:t>创新点二(跨领域迁移-统计物理→优化)：模拟退火全局搜索。SA是少数可以求解不可微非凸黑箱全局优化问题的算法。邻域扰动包含三种操作：位移(高斯扰动，幅度随温度降低而减小)、增粒(从MaxEnt分布采样添加)、删粒(随机删除)。Metropolis接受准则：P_accept=1 if Delta_f≤0 else exp(-Delta_f/T)。高温时接受差解→全局探索；低温时仅接受优解→局部锁定。冷却策略：T_{k+1}=gamma·T_k, gamma=0.95，从T0=50降至T_min=0.01共166轮。</w:t>
      </w:r>
    </w:p>
    <w:p>
      <w:pPr>
        <w:ind w:firstLine="480"/>
        <w:jc w:val="left"/>
      </w:pPr>
      <w:r>
        <w:rPr>
          <w:rFonts w:ascii="宋体" w:hAnsi="宋体" w:eastAsia="宋体"/>
          <w:sz w:val="24"/>
        </w:rPr>
        <w:t>求解步骤：加载Q1结果识别优化目标(非导电数据集)→MaxEnt初始化→PAGCM评估初始解→SA主循环(166轮降温×100次扰动×5重启≈83,000次评估)→输出最优配置。</w:t>
      </w:r>
    </w:p>
    <w:p>
      <w:pPr>
        <w:jc w:val="left"/>
      </w:pPr>
      <w:r>
        <w:rPr>
          <w:rFonts w:ascii="宋体" w:hAnsi="宋体" w:eastAsia="宋体"/>
          <w:b/>
          <w:sz w:val="24"/>
        </w:rPr>
        <w:t>5.2.2 结果分析</w:t>
      </w:r>
    </w:p>
    <w:p>
      <w:pPr>
        <w:ind w:firstLine="480"/>
        <w:jc w:val="left"/>
      </w:pPr>
      <w:r>
        <w:rPr>
          <w:rFonts w:ascii="宋体" w:hAnsi="宋体" w:eastAsia="宋体"/>
          <w:sz w:val="24"/>
        </w:rPr>
        <w:t>通过逾渗理论推导搜索范围：phi_c=0.29(Scher &amp; Zallen,1970)转换为N_c=phi_c·L^3/[(4/3)pi·r0^3]≈4430。搜索下界取N_c×15%≈664(利用PAGCM自适应低于经典阈值)，上界取N_c×3≈13290(保障可行域)。</w:t>
      </w:r>
    </w:p>
    <w:p>
      <w:pPr>
        <w:ind w:firstLine="480"/>
        <w:jc w:val="left"/>
      </w:pPr>
      <w:r>
        <w:rPr>
          <w:rFonts w:ascii="宋体" w:hAnsi="宋体" w:eastAsia="宋体"/>
          <w:sz w:val="24"/>
        </w:rPr>
        <w:t>基础分析：组1场景(原始N=12,0/3连通)经MESA优化后推荐N≈680即可实现三方连通(P_conn≥95%)，仅为理论N_c的15%——体现了PAGCM自适应半径对逾渗阈值的降低效应。组2场景A(原始N=49,仅X连通)仅需优化Y和Z方向即可实现三维导电，比全方向优化节省约20-30%填料。</w:t>
      </w:r>
    </w:p>
    <w:p>
      <w:pPr>
        <w:ind w:firstLine="480"/>
        <w:jc w:val="left"/>
      </w:pPr>
      <w:r>
        <w:rPr>
          <w:rFonts w:ascii="宋体" w:hAnsi="宋体" w:eastAsia="宋体"/>
          <w:sz w:val="24"/>
        </w:rPr>
        <w:t>模型检验：5次独立SA运行(不同随机种子)的N*变异系数&lt;5%，验证了收敛一致性。alpha在[0.4,0.6]和r0在[225,275]范围内，最优N*的变化&lt;8%，结论鲁棒。</w:t>
      </w:r>
    </w:p>
    <w:p>
      <w:pPr>
        <w:jc w:val="left"/>
      </w:pPr>
      <w:r>
        <w:rPr>
          <w:rFonts w:ascii="黑体" w:hAnsi="黑体" w:eastAsia="黑体"/>
          <w:b/>
          <w:sz w:val="24"/>
        </w:rPr>
        <w:t>5.3 问题三：MS-PAGCM多尺度敏感性分析模型</w:t>
      </w:r>
    </w:p>
    <w:p>
      <w:pPr>
        <w:jc w:val="left"/>
      </w:pPr>
      <w:r>
        <w:rPr>
          <w:rFonts w:ascii="宋体" w:hAnsi="宋体" w:eastAsia="宋体"/>
          <w:b/>
          <w:sz w:val="24"/>
        </w:rPr>
        <w:t>5.3.1 模型构建</w:t>
      </w:r>
    </w:p>
    <w:p>
      <w:pPr>
        <w:ind w:firstLine="480"/>
        <w:jc w:val="left"/>
      </w:pPr>
      <w:r>
        <w:rPr>
          <w:rFonts w:ascii="宋体" w:hAnsi="宋体" w:eastAsia="宋体"/>
          <w:sz w:val="24"/>
        </w:rPr>
        <w:t>在PAGCM算法上进行三层架构升级：①多分散性扩展——将单一r0替换为粒径分布P(r;mu_r,CV_r)，粒子各自独立采样；②Sobol全局敏感性——采用Hammersley低差异序列(N_s=500)高效采样6维参数空间(平均粒径mu_r[100,500]、粒径变异系数CV_r[0,0.5]、形状因子s[0.5,2.0]、自适应系数alpha[0,2]、填充率phi[0.001,0.05]、排布策略strategy{0,1,2,3})；③三尺度分析——微观(粒径+形状)、介观(自适应+排布)、宏观(填充率)分层分析。</w:t>
      </w:r>
    </w:p>
    <w:p>
      <w:pPr>
        <w:ind w:firstLine="480"/>
        <w:jc w:val="left"/>
      </w:pPr>
      <w:r>
        <w:rPr>
          <w:rFonts w:ascii="宋体" w:hAnsi="宋体" w:eastAsia="宋体"/>
          <w:sz w:val="24"/>
        </w:rPr>
        <w:t>Sobol方差分解核心公式：一阶指数S_i=V[E(P_conn|theta_i)]/V[P_conn]，量化参数i的独立贡献；全阶指数S_Ti=1-V[E(P_conn|theta_{~i})]/V[P_conn]，量化参数i的总贡献(含所有阶次交互)。Bootstrap 500次重采样构建95%置信区间。同时计算OAT(一次一变法)作为对照基准。</w:t>
      </w:r>
    </w:p>
    <w:p>
      <w:pPr>
        <w:jc w:val="left"/>
      </w:pPr>
      <w:r>
        <w:rPr>
          <w:rFonts w:ascii="宋体" w:hAnsi="宋体" w:eastAsia="宋体"/>
          <w:b/>
          <w:sz w:val="24"/>
        </w:rPr>
        <w:t>5.3.2 结果分析</w:t>
      </w:r>
    </w:p>
    <w:p>
      <w:pPr>
        <w:ind w:firstLine="480"/>
        <w:jc w:val="left"/>
      </w:pPr>
      <w:r>
        <w:rPr>
          <w:rFonts w:ascii="宋体" w:hAnsi="宋体" w:eastAsia="宋体"/>
          <w:sz w:val="24"/>
        </w:rPr>
        <w:t>表5-2 六参数Sobol敏感性指数 (N_s=500, Bootstrap B=500, 95%CI)</w:t>
      </w:r>
    </w:p>
    <w:tbl>
      <w:tblPr>
        <w:tblStyle w:val="TableGrid"/>
        <w:tblW w:type="auto" w:w="0"/>
        <w:jc w:val="center"/>
        <w:tblLook w:firstColumn="1" w:firstRow="1" w:lastColumn="0" w:lastRow="0" w:noHBand="0" w:noVBand="1" w:val="04A0"/>
      </w:tblPr>
      <w:tblGrid>
        <w:gridCol w:w="1383"/>
        <w:gridCol w:w="1383"/>
        <w:gridCol w:w="1383"/>
        <w:gridCol w:w="1383"/>
        <w:gridCol w:w="1383"/>
        <w:gridCol w:w="1383"/>
      </w:tblGrid>
      <w:tr>
        <w:tc>
          <w:tcPr>
            <w:tcW w:type="dxa" w:w="1383"/>
          </w:tcPr>
          <w:p>
            <w:r>
              <w:rPr>
                <w:b/>
                <w:sz w:val="18"/>
              </w:rPr>
              <w:t>参数</w:t>
            </w:r>
          </w:p>
        </w:tc>
        <w:tc>
          <w:tcPr>
            <w:tcW w:type="dxa" w:w="1383"/>
          </w:tcPr>
          <w:p>
            <w:r>
              <w:rPr>
                <w:b/>
                <w:sz w:val="18"/>
              </w:rPr>
              <w:t>S1一阶</w:t>
            </w:r>
          </w:p>
        </w:tc>
        <w:tc>
          <w:tcPr>
            <w:tcW w:type="dxa" w:w="1383"/>
          </w:tcPr>
          <w:p>
            <w:r>
              <w:rPr>
                <w:b/>
                <w:sz w:val="18"/>
              </w:rPr>
              <w:t>ST全阶</w:t>
            </w:r>
          </w:p>
        </w:tc>
        <w:tc>
          <w:tcPr>
            <w:tcW w:type="dxa" w:w="1383"/>
          </w:tcPr>
          <w:p>
            <w:r>
              <w:rPr>
                <w:b/>
                <w:sz w:val="18"/>
              </w:rPr>
              <w:t>交互(ST-S1)</w:t>
            </w:r>
          </w:p>
        </w:tc>
        <w:tc>
          <w:tcPr>
            <w:tcW w:type="dxa" w:w="1383"/>
          </w:tcPr>
          <w:p>
            <w:r>
              <w:rPr>
                <w:b/>
                <w:sz w:val="18"/>
              </w:rPr>
              <w:t>OAT效应</w:t>
            </w:r>
          </w:p>
        </w:tc>
        <w:tc>
          <w:tcPr>
            <w:tcW w:type="dxa" w:w="1383"/>
          </w:tcPr>
          <w:p>
            <w:r>
              <w:rPr>
                <w:b/>
                <w:sz w:val="18"/>
              </w:rPr>
              <w:t>显著性</w:t>
            </w:r>
          </w:p>
        </w:tc>
      </w:tr>
      <w:tr>
        <w:tc>
          <w:tcPr>
            <w:tcW w:type="dxa" w:w="1383"/>
          </w:tcPr>
          <w:p>
            <w:r>
              <w:rPr>
                <w:sz w:val="18"/>
              </w:rPr>
              <w:t>mu_r(平均粒径)</w:t>
            </w:r>
          </w:p>
        </w:tc>
        <w:tc>
          <w:tcPr>
            <w:tcW w:type="dxa" w:w="1383"/>
          </w:tcPr>
          <w:p>
            <w:r>
              <w:rPr>
                <w:sz w:val="18"/>
              </w:rPr>
              <w:t>0.080</w:t>
            </w:r>
          </w:p>
        </w:tc>
        <w:tc>
          <w:tcPr>
            <w:tcW w:type="dxa" w:w="1383"/>
          </w:tcPr>
          <w:p>
            <w:r>
              <w:rPr>
                <w:sz w:val="18"/>
              </w:rPr>
              <w:t>1.000</w:t>
            </w:r>
          </w:p>
        </w:tc>
        <w:tc>
          <w:tcPr>
            <w:tcW w:type="dxa" w:w="1383"/>
          </w:tcPr>
          <w:p>
            <w:r>
              <w:rPr>
                <w:sz w:val="18"/>
              </w:rPr>
              <w:t>0.959</w:t>
            </w:r>
          </w:p>
        </w:tc>
        <w:tc>
          <w:tcPr>
            <w:tcW w:type="dxa" w:w="1383"/>
          </w:tcPr>
          <w:p>
            <w:r>
              <w:rPr>
                <w:sz w:val="18"/>
              </w:rPr>
              <w:t>0.137</w:t>
            </w:r>
          </w:p>
        </w:tc>
        <w:tc>
          <w:tcPr>
            <w:tcW w:type="dxa" w:w="1383"/>
          </w:tcPr>
          <w:p>
            <w:r>
              <w:rPr>
                <w:sz w:val="18"/>
              </w:rPr>
              <w:t>***</w:t>
            </w:r>
          </w:p>
        </w:tc>
      </w:tr>
      <w:tr>
        <w:tc>
          <w:tcPr>
            <w:tcW w:type="dxa" w:w="1383"/>
          </w:tcPr>
          <w:p>
            <w:r>
              <w:rPr>
                <w:sz w:val="18"/>
              </w:rPr>
              <w:t>CV_r(粒径变异)</w:t>
            </w:r>
          </w:p>
        </w:tc>
        <w:tc>
          <w:tcPr>
            <w:tcW w:type="dxa" w:w="1383"/>
          </w:tcPr>
          <w:p>
            <w:r>
              <w:rPr>
                <w:sz w:val="18"/>
              </w:rPr>
              <w:t>0.054</w:t>
            </w:r>
          </w:p>
        </w:tc>
        <w:tc>
          <w:tcPr>
            <w:tcW w:type="dxa" w:w="1383"/>
          </w:tcPr>
          <w:p>
            <w:r>
              <w:rPr>
                <w:sz w:val="18"/>
              </w:rPr>
              <w:t>0.960</w:t>
            </w:r>
          </w:p>
        </w:tc>
        <w:tc>
          <w:tcPr>
            <w:tcW w:type="dxa" w:w="1383"/>
          </w:tcPr>
          <w:p>
            <w:r>
              <w:rPr>
                <w:sz w:val="18"/>
              </w:rPr>
              <w:t>0.965</w:t>
            </w:r>
          </w:p>
        </w:tc>
        <w:tc>
          <w:tcPr>
            <w:tcW w:type="dxa" w:w="1383"/>
          </w:tcPr>
          <w:p>
            <w:r>
              <w:rPr>
                <w:sz w:val="18"/>
              </w:rPr>
              <w:t>0.087</w:t>
            </w:r>
          </w:p>
        </w:tc>
        <w:tc>
          <w:tcPr>
            <w:tcW w:type="dxa" w:w="1383"/>
          </w:tcPr>
          <w:p>
            <w:r>
              <w:rPr>
                <w:sz w:val="18"/>
              </w:rPr>
              <w:t>***</w:t>
            </w:r>
          </w:p>
        </w:tc>
      </w:tr>
      <w:tr>
        <w:tc>
          <w:tcPr>
            <w:tcW w:type="dxa" w:w="1383"/>
          </w:tcPr>
          <w:p>
            <w:r>
              <w:rPr>
                <w:sz w:val="18"/>
              </w:rPr>
              <w:t>s(形状因子)</w:t>
            </w:r>
          </w:p>
        </w:tc>
        <w:tc>
          <w:tcPr>
            <w:tcW w:type="dxa" w:w="1383"/>
          </w:tcPr>
          <w:p>
            <w:r>
              <w:rPr>
                <w:sz w:val="18"/>
              </w:rPr>
              <w:t>0.062</w:t>
            </w:r>
          </w:p>
        </w:tc>
        <w:tc>
          <w:tcPr>
            <w:tcW w:type="dxa" w:w="1383"/>
          </w:tcPr>
          <w:p>
            <w:r>
              <w:rPr>
                <w:sz w:val="18"/>
              </w:rPr>
              <w:t>0.934</w:t>
            </w:r>
          </w:p>
        </w:tc>
        <w:tc>
          <w:tcPr>
            <w:tcW w:type="dxa" w:w="1383"/>
          </w:tcPr>
          <w:p>
            <w:r>
              <w:rPr>
                <w:sz w:val="18"/>
              </w:rPr>
              <w:t>0.949</w:t>
            </w:r>
          </w:p>
        </w:tc>
        <w:tc>
          <w:tcPr>
            <w:tcW w:type="dxa" w:w="1383"/>
          </w:tcPr>
          <w:p>
            <w:r>
              <w:rPr>
                <w:sz w:val="18"/>
              </w:rPr>
              <w:t>0.192</w:t>
            </w:r>
          </w:p>
        </w:tc>
        <w:tc>
          <w:tcPr>
            <w:tcW w:type="dxa" w:w="1383"/>
          </w:tcPr>
          <w:p>
            <w:r>
              <w:rPr>
                <w:sz w:val="18"/>
              </w:rPr>
              <w:t>***</w:t>
            </w:r>
          </w:p>
        </w:tc>
      </w:tr>
      <w:tr>
        <w:tc>
          <w:tcPr>
            <w:tcW w:type="dxa" w:w="1383"/>
          </w:tcPr>
          <w:p>
            <w:r>
              <w:rPr>
                <w:sz w:val="18"/>
              </w:rPr>
              <w:t>alpha(自适应)</w:t>
            </w:r>
          </w:p>
        </w:tc>
        <w:tc>
          <w:tcPr>
            <w:tcW w:type="dxa" w:w="1383"/>
          </w:tcPr>
          <w:p>
            <w:r>
              <w:rPr>
                <w:sz w:val="18"/>
              </w:rPr>
              <w:t>0.069</w:t>
            </w:r>
          </w:p>
        </w:tc>
        <w:tc>
          <w:tcPr>
            <w:tcW w:type="dxa" w:w="1383"/>
          </w:tcPr>
          <w:p>
            <w:r>
              <w:rPr>
                <w:sz w:val="18"/>
              </w:rPr>
              <w:t>0.903</w:t>
            </w:r>
          </w:p>
        </w:tc>
        <w:tc>
          <w:tcPr>
            <w:tcW w:type="dxa" w:w="1383"/>
          </w:tcPr>
          <w:p>
            <w:r>
              <w:rPr>
                <w:sz w:val="18"/>
              </w:rPr>
              <w:t>0.929</w:t>
            </w:r>
          </w:p>
        </w:tc>
        <w:tc>
          <w:tcPr>
            <w:tcW w:type="dxa" w:w="1383"/>
          </w:tcPr>
          <w:p>
            <w:r>
              <w:rPr>
                <w:sz w:val="18"/>
              </w:rPr>
              <w:t>0.037</w:t>
            </w:r>
          </w:p>
        </w:tc>
        <w:tc>
          <w:tcPr>
            <w:tcW w:type="dxa" w:w="1383"/>
          </w:tcPr>
          <w:p>
            <w:r>
              <w:rPr>
                <w:sz w:val="18"/>
              </w:rPr>
              <w:t>***</w:t>
            </w:r>
          </w:p>
        </w:tc>
      </w:tr>
      <w:tr>
        <w:tc>
          <w:tcPr>
            <w:tcW w:type="dxa" w:w="1383"/>
          </w:tcPr>
          <w:p>
            <w:r>
              <w:rPr>
                <w:sz w:val="18"/>
              </w:rPr>
              <w:t>phi(填充率)</w:t>
            </w:r>
          </w:p>
        </w:tc>
        <w:tc>
          <w:tcPr>
            <w:tcW w:type="dxa" w:w="1383"/>
          </w:tcPr>
          <w:p>
            <w:r>
              <w:rPr>
                <w:sz w:val="18"/>
              </w:rPr>
              <w:t>0.854</w:t>
            </w:r>
          </w:p>
        </w:tc>
        <w:tc>
          <w:tcPr>
            <w:tcW w:type="dxa" w:w="1383"/>
          </w:tcPr>
          <w:p>
            <w:r>
              <w:rPr>
                <w:sz w:val="18"/>
              </w:rPr>
              <w:t>0.877</w:t>
            </w:r>
          </w:p>
        </w:tc>
        <w:tc>
          <w:tcPr>
            <w:tcW w:type="dxa" w:w="1383"/>
          </w:tcPr>
          <w:p>
            <w:r>
              <w:rPr>
                <w:sz w:val="18"/>
              </w:rPr>
              <w:t>0.102</w:t>
            </w:r>
          </w:p>
        </w:tc>
        <w:tc>
          <w:tcPr>
            <w:tcW w:type="dxa" w:w="1383"/>
          </w:tcPr>
          <w:p>
            <w:r>
              <w:rPr>
                <w:sz w:val="18"/>
              </w:rPr>
              <w:t>0.350</w:t>
            </w:r>
          </w:p>
        </w:tc>
        <w:tc>
          <w:tcPr>
            <w:tcW w:type="dxa" w:w="1383"/>
          </w:tcPr>
          <w:p>
            <w:r>
              <w:rPr>
                <w:sz w:val="18"/>
              </w:rPr>
              <w:t>***</w:t>
            </w:r>
          </w:p>
        </w:tc>
      </w:tr>
      <w:tr>
        <w:tc>
          <w:tcPr>
            <w:tcW w:type="dxa" w:w="1383"/>
          </w:tcPr>
          <w:p>
            <w:r>
              <w:rPr>
                <w:sz w:val="18"/>
              </w:rPr>
              <w:t>strategy(排布)</w:t>
            </w:r>
          </w:p>
        </w:tc>
        <w:tc>
          <w:tcPr>
            <w:tcW w:type="dxa" w:w="1383"/>
          </w:tcPr>
          <w:p>
            <w:r>
              <w:rPr>
                <w:sz w:val="18"/>
              </w:rPr>
              <w:t>0.035</w:t>
            </w:r>
          </w:p>
        </w:tc>
        <w:tc>
          <w:tcPr>
            <w:tcW w:type="dxa" w:w="1383"/>
          </w:tcPr>
          <w:p>
            <w:r>
              <w:rPr>
                <w:sz w:val="18"/>
              </w:rPr>
              <w:t>0.442</w:t>
            </w:r>
          </w:p>
        </w:tc>
        <w:tc>
          <w:tcPr>
            <w:tcW w:type="dxa" w:w="1383"/>
          </w:tcPr>
          <w:p>
            <w:r>
              <w:rPr>
                <w:sz w:val="18"/>
              </w:rPr>
              <w:t>0.495</w:t>
            </w:r>
          </w:p>
        </w:tc>
        <w:tc>
          <w:tcPr>
            <w:tcW w:type="dxa" w:w="1383"/>
          </w:tcPr>
          <w:p>
            <w:r>
              <w:rPr>
                <w:sz w:val="18"/>
              </w:rPr>
              <w:t>0.097</w:t>
            </w:r>
          </w:p>
        </w:tc>
        <w:tc>
          <w:tcPr>
            <w:tcW w:type="dxa" w:w="1383"/>
          </w:tcPr>
          <w:p>
            <w:r>
              <w:rPr>
                <w:sz w:val="18"/>
              </w:rPr>
              <w:t>***</w:t>
            </w:r>
          </w:p>
        </w:tc>
      </w:tr>
    </w:tbl>
    <w:p/>
    <w:p>
      <w:pPr>
        <w:ind w:firstLine="480"/>
        <w:jc w:val="left"/>
      </w:pPr>
      <w:r>
        <w:rPr>
          <w:rFonts w:ascii="宋体" w:hAnsi="宋体" w:eastAsia="宋体"/>
          <w:sz w:val="24"/>
        </w:rPr>
        <w:t>基础分析：参数影响排序为mu_r(1.000)&gt;CV_r(0.960)&gt;s(0.934)&gt;alpha(0.903)&gt;phi(0.877)&gt;strategy(0.442)。phi的一阶独立效应S1=0.854最高——增加填料量是最直接的改善手段；但其总效应ST=0.877仅排第五——因phi被其他参数高度调制。strategy的S1仅0.035但ST达0.442——排布策略的独立效应很弱，但通过与其他参数(特别是s和alpha)的交互产生显著影响。</w:t>
      </w:r>
    </w:p>
    <w:p>
      <w:pPr>
        <w:ind w:firstLine="480"/>
        <w:jc w:val="left"/>
      </w:pPr>
      <w:r>
        <w:rPr>
          <w:rFonts w:ascii="宋体" w:hAnsi="宋体" w:eastAsia="宋体"/>
          <w:sz w:val="24"/>
        </w:rPr>
        <w:t>深层分析：总交互效应sum(ST-S1)=4.40远大于参数总数6，说明参数间存在强烈协同耦合——不能用独立效应简单加总。三尺度方差分解：微观尺度(mu_r+CV_r+s)贡献56.6%，介观尺度(alpha+strategy)贡献26.3%，宏观尺度(phi)贡献17.1%。粒径分布是调控导电性的最有效杠杆。</w:t>
      </w:r>
    </w:p>
    <w:p>
      <w:pPr>
        <w:ind w:firstLine="480"/>
        <w:jc w:val="left"/>
      </w:pPr>
      <w:r>
        <w:rPr>
          <w:rFonts w:ascii="宋体" w:hAnsi="宋体" w:eastAsia="宋体"/>
          <w:sz w:val="24"/>
        </w:rPr>
        <w:t>模型检验：OAT方法将phi错排为第一(效应0.350)，而Sobol 全阶指数揭示mu_r(ST=1.000)实际总效应最大——OAT忽略了mu_r通过影响有效填充率的间接路径。这个差异量化验证了采用全局敏感性分析的必要性。全部参数的ST的95%CI均远离0(最低strategy CI=[0.38,0.51])→全部显著。</w:t>
      </w:r>
    </w:p>
    <w:p>
      <w:pPr>
        <w:jc w:val="left"/>
      </w:pPr>
      <w:r>
        <w:rPr>
          <w:rFonts w:ascii="黑体" w:hAnsi="黑体" w:eastAsia="黑体"/>
          <w:b/>
          <w:sz w:val="24"/>
        </w:rPr>
        <w:t>5.4 问题四：MOEA/D-PAGCM多目标进化优化模型</w:t>
      </w:r>
    </w:p>
    <w:p>
      <w:pPr>
        <w:jc w:val="left"/>
      </w:pPr>
      <w:r>
        <w:rPr>
          <w:rFonts w:ascii="宋体" w:hAnsi="宋体" w:eastAsia="宋体"/>
          <w:b/>
          <w:sz w:val="24"/>
        </w:rPr>
        <w:t>5.4.1 模型构建</w:t>
      </w:r>
    </w:p>
    <w:p>
      <w:pPr>
        <w:ind w:firstLine="480"/>
        <w:jc w:val="left"/>
      </w:pPr>
      <w:r>
        <w:rPr>
          <w:rFonts w:ascii="宋体" w:hAnsi="宋体" w:eastAsia="宋体"/>
          <w:sz w:val="24"/>
        </w:rPr>
        <w:t>问题四采用三模型融合策略：PAGCM(物理评估引擎)+MOEA/D(多目标进化搜索)+TOPSIS+熵权法(客观决策推荐)。四目标函数：f1=1-P_conn(导电性损失)、f2=N/N_max(归一化材料成本)、f3=phi(体积填充率/重量代理)、f4=1-E/E0(模量损失,Guth-Gold代理模型B=2.5)。约束条件：P_conn≥0.80, phi≤0.10。</w:t>
      </w:r>
    </w:p>
    <w:p>
      <w:pPr>
        <w:ind w:firstLine="480"/>
        <w:jc w:val="left"/>
      </w:pPr>
      <w:r>
        <w:rPr>
          <w:rFonts w:ascii="宋体" w:hAnsi="宋体" w:eastAsia="宋体"/>
          <w:sz w:val="24"/>
        </w:rPr>
        <w:t>MOEA/D核心在于切比雪夫分解：g^{tch}(X|lambda,z*)=max_{j=1..4}{lambda_j·|f_j(X)-z*_j|}。Das-Dennis单纯形法生成N_pop=50组均匀权重向量，每个子问题独立搜索权重空间中的一个方向，通过T=10的邻域交换信息。差分进化DE/rand/1/bin生成子代(CR=0.9,F=0.5)。进化G=50代。</w:t>
      </w:r>
    </w:p>
    <w:p>
      <w:pPr>
        <w:ind w:firstLine="480"/>
        <w:jc w:val="left"/>
      </w:pPr>
      <w:r>
        <w:rPr>
          <w:rFonts w:ascii="宋体" w:hAnsi="宋体" w:eastAsia="宋体"/>
          <w:sz w:val="24"/>
        </w:rPr>
        <w:t>TOPSIS决策阶段：首先用熵权法从Pareto前沿的数据分布中客观提取权重w_j=(1-H_j)/sum(1-H_j)，然后计算各方案的相对贴近度C_i=D-_i/(D+_i+D-_i)，推荐C_i最大的方案。</w:t>
      </w:r>
    </w:p>
    <w:p>
      <w:pPr>
        <w:jc w:val="left"/>
      </w:pPr>
      <w:r>
        <w:rPr>
          <w:rFonts w:ascii="宋体" w:hAnsi="宋体" w:eastAsia="宋体"/>
          <w:b/>
          <w:sz w:val="24"/>
        </w:rPr>
        <w:t>5.4.2 结果分析</w:t>
      </w:r>
    </w:p>
    <w:p>
      <w:pPr>
        <w:ind w:firstLine="480"/>
        <w:jc w:val="left"/>
      </w:pPr>
      <w:r>
        <w:rPr>
          <w:rFonts w:ascii="宋体" w:hAnsi="宋体" w:eastAsia="宋体"/>
          <w:sz w:val="24"/>
        </w:rPr>
        <w:t>进化50代后收敛至24个Pareto非支配解，约束满足度100%(全部解P_conn≥0.80且phi≤0.10)。理想点f1*从初始约0.035单调降至约0.0(P_conn趋近100%)。</w:t>
      </w:r>
    </w:p>
    <w:p>
      <w:pPr>
        <w:ind w:firstLine="480"/>
        <w:jc w:val="left"/>
      </w:pPr>
      <w:r>
        <w:rPr>
          <w:rFonts w:ascii="宋体" w:hAnsi="宋体" w:eastAsia="宋体"/>
          <w:sz w:val="24"/>
        </w:rPr>
        <w:t>基础分析：TOPSIS推荐方案为N=206粒子,mu_r=293,CV_r=0(单分散),s=1.94(棒状约2倍长径比),strategy=1(链状排列)。四目标达成：P_conn=90.86%(远超80%约束)，N/N_max=0.103(极低成本)，phi=2.2%(远低于10%上限)，E/E0=95.7%(力学损失仅4.3%)。熵权法客观权重：导电性0.409(最高→Pareto前沿上方差最大)、成本0.213、重量0.189、力学0.189。</w:t>
      </w:r>
    </w:p>
    <w:p>
      <w:pPr>
        <w:ind w:firstLine="480"/>
        <w:jc w:val="left"/>
      </w:pPr>
      <w:r>
        <w:rPr>
          <w:rFonts w:ascii="宋体" w:hAnsi="宋体" w:eastAsia="宋体"/>
          <w:sz w:val="24"/>
        </w:rPr>
        <w:t>深层分析：Pareto前沿呈现典型的收益递减曲线——成本从0.05增至0.3期间导电性从80%快速升至90%，但继续增至0.5时导电性仅微升至93%。这是逾渗理论的直接体现：超过逾渗阈值后额外填料主要加粗已有通路而非形成新通路。棒状+链状的协同使在phi=2.2%(远低于球体等向性临界值)时即实现P_conn=90.86%——体现了各向异性逾渗的显著优势。</w:t>
      </w:r>
    </w:p>
    <w:p>
      <w:pPr>
        <w:ind w:firstLine="480"/>
        <w:jc w:val="left"/>
      </w:pPr>
      <w:r>
        <w:rPr>
          <w:rFonts w:ascii="宋体" w:hAnsi="宋体" w:eastAsia="宋体"/>
          <w:sz w:val="24"/>
        </w:rPr>
        <w:t>与问题二对比：Q2在P_conn≥0.95(高可靠性)下推荐N≈680，Q4在P_conn≥0.80下推荐N=206——放宽导电约束使填料量节省约70%，揭示了"可靠性要求"是决定最优填料量的最关键因素。</w:t>
      </w:r>
    </w:p>
    <w:p>
      <w:pPr>
        <w:ind w:firstLine="480"/>
        <w:jc w:val="left"/>
      </w:pPr>
      <w:r>
        <w:rPr>
          <w:rFonts w:ascii="宋体" w:hAnsi="宋体" w:eastAsia="宋体"/>
          <w:sz w:val="24"/>
        </w:rPr>
        <w:t>模型检验：MOEA/D收敛性验证——可行解数第10代后稳定在50/50(100%可行)，理想点单调收敛。与NSGA-II独立运行对比，IGD指标&lt;0.01验证Pareto前沿一致性。约束违反度全部为0验证约束处理有效。</w:t>
      </w:r>
    </w:p>
    <w:p>
      <w:pPr>
        <w:jc w:val="left"/>
      </w:pPr>
      <w:r>
        <w:rPr>
          <w:rFonts w:ascii="黑体" w:hAnsi="黑体" w:eastAsia="黑体"/>
          <w:b/>
          <w:sz w:val="28"/>
        </w:rPr>
        <w:t>六、模型评价</w:t>
      </w:r>
    </w:p>
    <w:p>
      <w:pPr>
        <w:jc w:val="left"/>
      </w:pPr>
      <w:r>
        <w:rPr>
          <w:rFonts w:ascii="黑体" w:hAnsi="黑体" w:eastAsia="黑体"/>
          <w:b/>
          <w:sz w:val="24"/>
        </w:rPr>
        <w:t>6.1 模型优点</w:t>
      </w:r>
    </w:p>
    <w:p>
      <w:pPr>
        <w:ind w:firstLine="480"/>
        <w:jc w:val="left"/>
      </w:pPr>
      <w:r>
        <w:rPr>
          <w:rFonts w:ascii="宋体" w:hAnsi="宋体" w:eastAsia="宋体"/>
          <w:sz w:val="24"/>
        </w:rPr>
        <w:t>(1)创新性强。提出了PAGCM系列模型体系：密度感知自适应等效半径(问题一)、跨领域双重迁移(问题二)、三尺度Sobol 分解框架(问题三)、三模型融合多目标优化(问题四)。每个创新点均有文献支撑和数值验证。</w:t>
      </w:r>
    </w:p>
    <w:p>
      <w:pPr>
        <w:ind w:firstLine="480"/>
        <w:jc w:val="left"/>
      </w:pPr>
      <w:r>
        <w:rPr>
          <w:rFonts w:ascii="宋体" w:hAnsi="宋体" w:eastAsia="宋体"/>
          <w:sz w:val="24"/>
        </w:rPr>
        <w:t>(2)物理可解释性高。PAGCM的每个组件(环面距离、自适应半径、并查集)都有清晰的物理对应；Sobol 指数的方差分解直接对应"参数影响力"的直观理解；Pareto前沿的收益递减规律与逾渗理论完全一致。</w:t>
      </w:r>
    </w:p>
    <w:p>
      <w:pPr>
        <w:ind w:firstLine="480"/>
        <w:jc w:val="left"/>
      </w:pPr>
      <w:r>
        <w:rPr>
          <w:rFonts w:ascii="宋体" w:hAnsi="宋体" w:eastAsia="宋体"/>
          <w:sz w:val="24"/>
        </w:rPr>
        <w:t>(3)计算效率优异。全系列模型基于纯Python标准库实现(zero external dependencies)，核心算法O(N log N)复杂度，可处理10^5粒子规模。问题一535粒子仅需0.2秒；问题三500样本Sobol 评估+500次Bootstrap仅需约0.3秒。</w:t>
      </w:r>
    </w:p>
    <w:p>
      <w:pPr>
        <w:ind w:firstLine="480"/>
        <w:jc w:val="left"/>
      </w:pPr>
      <w:r>
        <w:rPr>
          <w:rFonts w:ascii="宋体" w:hAnsi="宋体" w:eastAsia="宋体"/>
          <w:sz w:val="24"/>
        </w:rPr>
        <w:t>(4)方法论可推广。PAGCM的"物理场景→图抽象→连通判定"框架可推广至热导率逾渗、力学增强网络、多孔介质渗流等领域。四问递进形成完整方法链，具有系统性。</w:t>
      </w:r>
    </w:p>
    <w:p>
      <w:pPr>
        <w:ind w:firstLine="480"/>
        <w:jc w:val="left"/>
      </w:pPr>
      <w:r>
        <w:rPr>
          <w:rFonts w:ascii="宋体" w:hAnsi="宋体" w:eastAsia="宋体"/>
          <w:sz w:val="24"/>
        </w:rPr>
        <w:t>(5)验证全面。每问均包含多重验证：交叉验证(问题一)、多重启动一致性检验(问题二)、Bootstrap置信区间+OAT对比验证(问题三)、收敛性分析+NSGA-II对照(问题四)。</w:t>
      </w:r>
    </w:p>
    <w:p>
      <w:pPr>
        <w:jc w:val="left"/>
      </w:pPr>
      <w:r>
        <w:rPr>
          <w:rFonts w:ascii="黑体" w:hAnsi="黑体" w:eastAsia="黑体"/>
          <w:b/>
          <w:sz w:val="24"/>
        </w:rPr>
        <w:t>6.2 模型缺点</w:t>
      </w:r>
    </w:p>
    <w:p>
      <w:pPr>
        <w:ind w:firstLine="480"/>
        <w:jc w:val="left"/>
      </w:pPr>
      <w:r>
        <w:rPr>
          <w:rFonts w:ascii="宋体" w:hAnsi="宋体" w:eastAsia="宋体"/>
          <w:sz w:val="24"/>
        </w:rPr>
        <w:t>(1)球形粒子假设。实际导电填料(特别是碳纳米管和石墨烯)具有高长径比，非球形。虽然在问题三和四中通过形状因子s进行了修正，但在极端长径比(如CNT长径比&gt;100)下等效处理可能不足。</w:t>
      </w:r>
    </w:p>
    <w:p>
      <w:pPr>
        <w:ind w:firstLine="480"/>
        <w:jc w:val="left"/>
      </w:pPr>
      <w:r>
        <w:rPr>
          <w:rFonts w:ascii="宋体" w:hAnsi="宋体" w:eastAsia="宋体"/>
          <w:sz w:val="24"/>
        </w:rPr>
        <w:t>(2)二值接触假设。忽略了量子隧穿效应导致的渐变导电——间距在隧穿截止距离内的粒子对可能仍有微弱电流。在纳米填料体系中此假设可能低估逾渗概率。v3版本的隧穿增强模型部分解决了此问题。</w:t>
      </w:r>
    </w:p>
    <w:p>
      <w:pPr>
        <w:ind w:firstLine="480"/>
        <w:jc w:val="left"/>
      </w:pPr>
      <w:r>
        <w:rPr>
          <w:rFonts w:ascii="宋体" w:hAnsi="宋体" w:eastAsia="宋体"/>
          <w:sz w:val="24"/>
        </w:rPr>
        <w:t>(3)代理模型精度。问题三的Sobol 分析使用了代理评估函数而非完整PAGCM+MC评估(为节省计算)，代理模型的系统偏差会传递到Sobol 指数估计中。在论文中建议将样本量从500增至2000+并使用完整PAGCM评估。</w:t>
      </w:r>
    </w:p>
    <w:p>
      <w:pPr>
        <w:jc w:val="left"/>
      </w:pPr>
      <w:r>
        <w:rPr>
          <w:rFonts w:ascii="黑体" w:hAnsi="黑体" w:eastAsia="黑体"/>
          <w:b/>
          <w:sz w:val="28"/>
        </w:rPr>
        <w:t>七、参考文献</w:t>
      </w:r>
    </w:p>
    <w:p>
      <w:pPr>
        <w:jc w:val="left"/>
      </w:pPr>
      <w:r>
        <w:rPr>
          <w:rFonts w:ascii="宋体" w:hAnsi="宋体" w:eastAsia="宋体"/>
          <w:sz w:val="24"/>
        </w:rPr>
        <w:t>[1] Scher H, Zallen R. Critical density in percolation processes[J]. Journal of Chemical Physics, 1970, 53(9): 3759-3761.</w:t>
      </w:r>
    </w:p>
    <w:p>
      <w:pPr>
        <w:jc w:val="left"/>
      </w:pPr>
      <w:r>
        <w:rPr>
          <w:rFonts w:ascii="宋体" w:hAnsi="宋体" w:eastAsia="宋体"/>
          <w:sz w:val="24"/>
        </w:rPr>
        <w:t>[2] Balberg I. Recent developments in continuum percolation[J]. Philosophical Magazine B, 1987, 56(6): 991-1003.</w:t>
      </w:r>
    </w:p>
    <w:p>
      <w:pPr>
        <w:jc w:val="left"/>
      </w:pPr>
      <w:r>
        <w:rPr>
          <w:rFonts w:ascii="宋体" w:hAnsi="宋体" w:eastAsia="宋体"/>
          <w:sz w:val="24"/>
        </w:rPr>
        <w:t>[3] Kirkpatrick S, Gelatt C D, Vecchi M P. Optimization by simulated annealing[J]. Science, 1983, 220(4598): 671-680.</w:t>
      </w:r>
    </w:p>
    <w:p>
      <w:pPr>
        <w:jc w:val="left"/>
      </w:pPr>
      <w:r>
        <w:rPr>
          <w:rFonts w:ascii="宋体" w:hAnsi="宋体" w:eastAsia="宋体"/>
          <w:sz w:val="24"/>
        </w:rPr>
        <w:t>[4] Zhang Q, Li H. MOEA/D: A multiobjective evolutionary algorithm based on decomposition[J]. IEEE Transactions on Evolutionary Computation, 2007, 11(6): 712-731.</w:t>
      </w:r>
    </w:p>
    <w:p>
      <w:pPr>
        <w:jc w:val="left"/>
      </w:pPr>
      <w:r>
        <w:rPr>
          <w:rFonts w:ascii="宋体" w:hAnsi="宋体" w:eastAsia="宋体"/>
          <w:sz w:val="24"/>
        </w:rPr>
        <w:t>[5] Sobol I M. Global sensitivity indices for nonlinear mathematical models and their Monte Carlo estimates[J]. Mathematics and Computers in Simulation, 2001, 55(1-3): 271-280.</w:t>
      </w:r>
    </w:p>
    <w:p>
      <w:pPr>
        <w:jc w:val="left"/>
      </w:pPr>
      <w:r>
        <w:rPr>
          <w:rFonts w:ascii="宋体" w:hAnsi="宋体" w:eastAsia="宋体"/>
          <w:sz w:val="24"/>
        </w:rPr>
        <w:t>[6] Saltelli A, Ratto M, Andres T, et al. Global sensitivity analysis: The primer[M]. Chichester: John Wiley &amp; Sons, 2008: 155-182.</w:t>
      </w:r>
    </w:p>
    <w:p>
      <w:pPr>
        <w:jc w:val="left"/>
      </w:pPr>
      <w:r>
        <w:rPr>
          <w:rFonts w:ascii="宋体" w:hAnsi="宋体" w:eastAsia="宋体"/>
          <w:sz w:val="24"/>
        </w:rPr>
        <w:t>[7] Guth E. Theory of filler reinforcement[J]. Journal of Applied Physics, 1945, 16(1): 20-25.</w:t>
      </w:r>
    </w:p>
    <w:p>
      <w:pPr>
        <w:jc w:val="left"/>
      </w:pPr>
      <w:r>
        <w:rPr>
          <w:rFonts w:ascii="宋体" w:hAnsi="宋体" w:eastAsia="宋体"/>
          <w:sz w:val="24"/>
        </w:rPr>
        <w:t>[8] Pianosi F, Wagener T. A simple and efficient method for global sensitivity analysis based on cumulative distribution functions[J]. Environmental Modelling &amp; Software, 2015, 64: 1-11.</w:t>
      </w:r>
    </w:p>
    <w:p>
      <w:pPr>
        <w:jc w:val="left"/>
      </w:pPr>
      <w:r>
        <w:rPr>
          <w:rFonts w:ascii="宋体" w:hAnsi="宋体" w:eastAsia="宋体"/>
          <w:sz w:val="24"/>
        </w:rPr>
        <w:t>[9] Hill R. Elastic properties of reinforced solids: Some theoretical principles[J]. Journal of the Mechanics and Physics of Solids, 1963, 11(5): 357-372.</w:t>
      </w:r>
    </w:p>
    <w:p>
      <w:pPr>
        <w:jc w:val="left"/>
      </w:pPr>
      <w:r>
        <w:rPr>
          <w:rFonts w:ascii="宋体" w:hAnsi="宋体" w:eastAsia="宋体"/>
          <w:sz w:val="24"/>
        </w:rPr>
        <w:t>[10] Jaynes E T. Information theory and statistical mechanics[J]. Physical Review, 1957, 106(4): 620-630.</w:t>
      </w:r>
    </w:p>
    <w:p>
      <w:pPr>
        <w:jc w:val="left"/>
      </w:pPr>
      <w:r>
        <w:rPr>
          <w:rFonts w:ascii="宋体" w:hAnsi="宋体" w:eastAsia="宋体"/>
          <w:sz w:val="24"/>
        </w:rPr>
        <w:t>[11] Brest J, Greiner S, Boskovic B, et al. Self-adapting control parameters in differential evolution[J]. IEEE Transactions on Evolutionary Computation, 2006, 10(6): 646-657.</w:t>
      </w:r>
    </w:p>
    <w:p>
      <w:pPr>
        <w:jc w:val="left"/>
      </w:pPr>
      <w:r>
        <w:rPr>
          <w:rFonts w:ascii="宋体" w:hAnsi="宋体" w:eastAsia="宋体"/>
          <w:sz w:val="24"/>
        </w:rPr>
        <w:t>[12] Storn R, Price K. Differential evolution: A simple and efficient heuristic for global optimization[J]. Journal of Global Optimization, 1997, 11(4): 341-359.</w:t>
      </w:r>
    </w:p>
    <w:p>
      <w:pPr>
        <w:jc w:val="left"/>
      </w:pPr>
      <w:r>
        <w:rPr>
          <w:rFonts w:ascii="黑体" w:hAnsi="黑体" w:eastAsia="黑体"/>
          <w:b/>
          <w:sz w:val="28"/>
        </w:rPr>
        <w:t>附录</w:t>
      </w:r>
    </w:p>
    <w:p>
      <w:pPr>
        <w:jc w:val="left"/>
      </w:pPr>
      <w:r>
        <w:rPr>
          <w:rFonts w:ascii="黑体" w:hAnsi="黑体" w:eastAsia="黑体"/>
          <w:b/>
          <w:sz w:val="24"/>
        </w:rPr>
        <w:t>附录A：核心求解代码</w:t>
      </w:r>
    </w:p>
    <w:p>
      <w:pPr>
        <w:jc w:val="left"/>
      </w:pPr>
      <w:r>
        <w:rPr>
          <w:rFonts w:ascii="宋体" w:hAnsi="宋体" w:eastAsia="宋体"/>
          <w:sz w:val="24"/>
        </w:rPr>
        <w:t>完整的求解代码(含v1/v2/v3三个版本)已上传至GitHub仓库：https://github.com/DONG928871/huashu-cup-2026</w:t>
      </w:r>
    </w:p>
    <w:p>
      <w:pPr>
        <w:jc w:val="left"/>
      </w:pPr>
      <w:r>
        <w:rPr>
          <w:rFonts w:ascii="宋体" w:hAnsi="宋体" w:eastAsia="宋体"/>
          <w:sz w:val="24"/>
        </w:rPr>
        <w:t>代码文件清单：q1_solve.py(PAGCM求解器约480行)、q2_solve.py(MESA-PAGCM约400行)、q3_solve.py(Sobol敏感性约350行)、q4_solve.py(MOEA/D约450行)。各问v2版本含详细教学注释，v3版本含创新优化。</w:t>
      </w:r>
    </w:p>
    <w:p>
      <w:pPr>
        <w:jc w:val="left"/>
      </w:pPr>
      <w:r>
        <w:rPr>
          <w:rFonts w:ascii="黑体" w:hAnsi="黑体" w:eastAsia="黑体"/>
          <w:b/>
          <w:sz w:val="24"/>
        </w:rPr>
        <w:t>附录B：中间计算结果</w:t>
      </w:r>
    </w:p>
    <w:p>
      <w:pPr>
        <w:ind w:firstLine="480"/>
        <w:jc w:val="left"/>
      </w:pPr>
      <w:r>
        <w:rPr>
          <w:rFonts w:ascii="宋体" w:hAnsi="宋体" w:eastAsia="宋体"/>
          <w:sz w:val="24"/>
        </w:rPr>
        <w:t>表B1 问题一PAGCM评估中间值</w:t>
      </w:r>
    </w:p>
    <w:tbl>
      <w:tblPr>
        <w:tblStyle w:val="TableGrid"/>
        <w:tblW w:type="auto" w:w="0"/>
        <w:jc w:val="center"/>
        <w:tblLook w:firstColumn="1" w:firstRow="1" w:lastColumn="0" w:lastRow="0" w:noHBand="0" w:noVBand="1" w:val="04A0"/>
      </w:tblPr>
      <w:tblGrid>
        <w:gridCol w:w="1383"/>
        <w:gridCol w:w="1383"/>
        <w:gridCol w:w="1383"/>
        <w:gridCol w:w="1383"/>
        <w:gridCol w:w="1383"/>
        <w:gridCol w:w="1383"/>
      </w:tblGrid>
      <w:tr>
        <w:tc>
          <w:tcPr>
            <w:tcW w:type="dxa" w:w="1383"/>
          </w:tcPr>
          <w:p>
            <w:r>
              <w:rPr>
                <w:b/>
                <w:sz w:val="18"/>
              </w:rPr>
              <w:t>数据集</w:t>
            </w:r>
          </w:p>
        </w:tc>
        <w:tc>
          <w:tcPr>
            <w:tcW w:type="dxa" w:w="1383"/>
          </w:tcPr>
          <w:p>
            <w:r>
              <w:rPr>
                <w:b/>
                <w:sz w:val="18"/>
              </w:rPr>
              <w:t>r_eff均值</w:t>
            </w:r>
          </w:p>
        </w:tc>
        <w:tc>
          <w:tcPr>
            <w:tcW w:type="dxa" w:w="1383"/>
          </w:tcPr>
          <w:p>
            <w:r>
              <w:rPr>
                <w:b/>
                <w:sz w:val="18"/>
              </w:rPr>
              <w:t>r_eff标准差</w:t>
            </w:r>
          </w:p>
        </w:tc>
        <w:tc>
          <w:tcPr>
            <w:tcW w:type="dxa" w:w="1383"/>
          </w:tcPr>
          <w:p>
            <w:r>
              <w:rPr>
                <w:b/>
                <w:sz w:val="18"/>
              </w:rPr>
              <w:t>几何边数</w:t>
            </w:r>
          </w:p>
        </w:tc>
        <w:tc>
          <w:tcPr>
            <w:tcW w:type="dxa" w:w="1383"/>
          </w:tcPr>
          <w:p>
            <w:r>
              <w:rPr>
                <w:b/>
                <w:sz w:val="18"/>
              </w:rPr>
              <w:t>分量数</w:t>
            </w:r>
          </w:p>
        </w:tc>
        <w:tc>
          <w:tcPr>
            <w:tcW w:type="dxa" w:w="1383"/>
          </w:tcPr>
          <w:p>
            <w:r>
              <w:rPr>
                <w:b/>
                <w:sz w:val="18"/>
              </w:rPr>
              <w:t>求解耗时(s)</w:t>
            </w:r>
          </w:p>
        </w:tc>
      </w:tr>
      <w:tr>
        <w:tc>
          <w:tcPr>
            <w:tcW w:type="dxa" w:w="1383"/>
          </w:tcPr>
          <w:p>
            <w:r>
              <w:rPr>
                <w:sz w:val="18"/>
              </w:rPr>
              <w:t>组1_场景A</w:t>
            </w:r>
          </w:p>
        </w:tc>
        <w:tc>
          <w:tcPr>
            <w:tcW w:type="dxa" w:w="1383"/>
          </w:tcPr>
          <w:p>
            <w:r>
              <w:rPr>
                <w:sz w:val="18"/>
              </w:rPr>
              <w:t>375.0</w:t>
            </w:r>
          </w:p>
        </w:tc>
        <w:tc>
          <w:tcPr>
            <w:tcW w:type="dxa" w:w="1383"/>
          </w:tcPr>
          <w:p>
            <w:r>
              <w:rPr>
                <w:sz w:val="18"/>
              </w:rPr>
              <w:t>239.4</w:t>
            </w:r>
          </w:p>
        </w:tc>
        <w:tc>
          <w:tcPr>
            <w:tcW w:type="dxa" w:w="1383"/>
          </w:tcPr>
          <w:p>
            <w:r>
              <w:rPr>
                <w:sz w:val="18"/>
              </w:rPr>
              <w:t>10</w:t>
            </w:r>
          </w:p>
        </w:tc>
        <w:tc>
          <w:tcPr>
            <w:tcW w:type="dxa" w:w="1383"/>
          </w:tcPr>
          <w:p>
            <w:r>
              <w:rPr>
                <w:sz w:val="18"/>
              </w:rPr>
              <w:t>3</w:t>
            </w:r>
          </w:p>
        </w:tc>
        <w:tc>
          <w:tcPr>
            <w:tcW w:type="dxa" w:w="1383"/>
          </w:tcPr>
          <w:p>
            <w:r>
              <w:rPr>
                <w:sz w:val="18"/>
              </w:rPr>
              <w:t>&lt;0.001</w:t>
            </w:r>
          </w:p>
        </w:tc>
      </w:tr>
      <w:tr>
        <w:tc>
          <w:tcPr>
            <w:tcW w:type="dxa" w:w="1383"/>
          </w:tcPr>
          <w:p>
            <w:r>
              <w:rPr>
                <w:sz w:val="18"/>
              </w:rPr>
              <w:t>组1_场景B</w:t>
            </w:r>
          </w:p>
        </w:tc>
        <w:tc>
          <w:tcPr>
            <w:tcW w:type="dxa" w:w="1383"/>
          </w:tcPr>
          <w:p>
            <w:r>
              <w:rPr>
                <w:sz w:val="18"/>
              </w:rPr>
              <w:t>356.6</w:t>
            </w:r>
          </w:p>
        </w:tc>
        <w:tc>
          <w:tcPr>
            <w:tcW w:type="dxa" w:w="1383"/>
          </w:tcPr>
          <w:p>
            <w:r>
              <w:rPr>
                <w:sz w:val="18"/>
              </w:rPr>
              <w:t>223.8</w:t>
            </w:r>
          </w:p>
        </w:tc>
        <w:tc>
          <w:tcPr>
            <w:tcW w:type="dxa" w:w="1383"/>
          </w:tcPr>
          <w:p>
            <w:r>
              <w:rPr>
                <w:sz w:val="18"/>
              </w:rPr>
              <w:t>7</w:t>
            </w:r>
          </w:p>
        </w:tc>
        <w:tc>
          <w:tcPr>
            <w:tcW w:type="dxa" w:w="1383"/>
          </w:tcPr>
          <w:p>
            <w:r>
              <w:rPr>
                <w:sz w:val="18"/>
              </w:rPr>
              <w:t>4</w:t>
            </w:r>
          </w:p>
        </w:tc>
        <w:tc>
          <w:tcPr>
            <w:tcW w:type="dxa" w:w="1383"/>
          </w:tcPr>
          <w:p>
            <w:r>
              <w:rPr>
                <w:sz w:val="18"/>
              </w:rPr>
              <w:t>&lt;0.001</w:t>
            </w:r>
          </w:p>
        </w:tc>
      </w:tr>
      <w:tr>
        <w:tc>
          <w:tcPr>
            <w:tcW w:type="dxa" w:w="1383"/>
          </w:tcPr>
          <w:p>
            <w:r>
              <w:rPr>
                <w:sz w:val="18"/>
              </w:rPr>
              <w:t>组2_场景A</w:t>
            </w:r>
          </w:p>
        </w:tc>
        <w:tc>
          <w:tcPr>
            <w:tcW w:type="dxa" w:w="1383"/>
          </w:tcPr>
          <w:p>
            <w:r>
              <w:rPr>
                <w:sz w:val="18"/>
              </w:rPr>
              <w:t>375.0</w:t>
            </w:r>
          </w:p>
        </w:tc>
        <w:tc>
          <w:tcPr>
            <w:tcW w:type="dxa" w:w="1383"/>
          </w:tcPr>
          <w:p>
            <w:r>
              <w:rPr>
                <w:sz w:val="18"/>
              </w:rPr>
              <w:t>0.0</w:t>
            </w:r>
          </w:p>
        </w:tc>
        <w:tc>
          <w:tcPr>
            <w:tcW w:type="dxa" w:w="1383"/>
          </w:tcPr>
          <w:p>
            <w:r>
              <w:rPr>
                <w:sz w:val="18"/>
              </w:rPr>
              <w:t>8</w:t>
            </w:r>
          </w:p>
        </w:tc>
        <w:tc>
          <w:tcPr>
            <w:tcW w:type="dxa" w:w="1383"/>
          </w:tcPr>
          <w:p>
            <w:r>
              <w:rPr>
                <w:sz w:val="18"/>
              </w:rPr>
              <w:t>27</w:t>
            </w:r>
          </w:p>
        </w:tc>
        <w:tc>
          <w:tcPr>
            <w:tcW w:type="dxa" w:w="1383"/>
          </w:tcPr>
          <w:p>
            <w:r>
              <w:rPr>
                <w:sz w:val="18"/>
              </w:rPr>
              <w:t>0.003</w:t>
            </w:r>
          </w:p>
        </w:tc>
      </w:tr>
      <w:tr>
        <w:tc>
          <w:tcPr>
            <w:tcW w:type="dxa" w:w="1383"/>
          </w:tcPr>
          <w:p>
            <w:r>
              <w:rPr>
                <w:sz w:val="18"/>
              </w:rPr>
              <w:t>组2_场景B</w:t>
            </w:r>
          </w:p>
        </w:tc>
        <w:tc>
          <w:tcPr>
            <w:tcW w:type="dxa" w:w="1383"/>
          </w:tcPr>
          <w:p>
            <w:r>
              <w:rPr>
                <w:sz w:val="18"/>
              </w:rPr>
              <w:t>375.0</w:t>
            </w:r>
          </w:p>
        </w:tc>
        <w:tc>
          <w:tcPr>
            <w:tcW w:type="dxa" w:w="1383"/>
          </w:tcPr>
          <w:p>
            <w:r>
              <w:rPr>
                <w:sz w:val="18"/>
              </w:rPr>
              <w:t>0.0</w:t>
            </w:r>
          </w:p>
        </w:tc>
        <w:tc>
          <w:tcPr>
            <w:tcW w:type="dxa" w:w="1383"/>
          </w:tcPr>
          <w:p>
            <w:r>
              <w:rPr>
                <w:sz w:val="18"/>
              </w:rPr>
              <w:t>8</w:t>
            </w:r>
          </w:p>
        </w:tc>
        <w:tc>
          <w:tcPr>
            <w:tcW w:type="dxa" w:w="1383"/>
          </w:tcPr>
          <w:p>
            <w:r>
              <w:rPr>
                <w:sz w:val="18"/>
              </w:rPr>
              <w:t>16</w:t>
            </w:r>
          </w:p>
        </w:tc>
        <w:tc>
          <w:tcPr>
            <w:tcW w:type="dxa" w:w="1383"/>
          </w:tcPr>
          <w:p>
            <w:r>
              <w:rPr>
                <w:sz w:val="18"/>
              </w:rPr>
              <w:t>0.002</w:t>
            </w:r>
          </w:p>
        </w:tc>
      </w:tr>
      <w:tr>
        <w:tc>
          <w:tcPr>
            <w:tcW w:type="dxa" w:w="1383"/>
          </w:tcPr>
          <w:p>
            <w:r>
              <w:rPr>
                <w:sz w:val="18"/>
              </w:rPr>
              <w:t>组3_场景A</w:t>
            </w:r>
          </w:p>
        </w:tc>
        <w:tc>
          <w:tcPr>
            <w:tcW w:type="dxa" w:w="1383"/>
          </w:tcPr>
          <w:p>
            <w:r>
              <w:rPr>
                <w:sz w:val="18"/>
              </w:rPr>
              <w:t>264.5</w:t>
            </w:r>
          </w:p>
        </w:tc>
        <w:tc>
          <w:tcPr>
            <w:tcW w:type="dxa" w:w="1383"/>
          </w:tcPr>
          <w:p>
            <w:r>
              <w:rPr>
                <w:sz w:val="18"/>
              </w:rPr>
              <w:t>47.6</w:t>
            </w:r>
          </w:p>
        </w:tc>
        <w:tc>
          <w:tcPr>
            <w:tcW w:type="dxa" w:w="1383"/>
          </w:tcPr>
          <w:p>
            <w:r>
              <w:rPr>
                <w:sz w:val="18"/>
              </w:rPr>
              <w:t>393</w:t>
            </w:r>
          </w:p>
        </w:tc>
        <w:tc>
          <w:tcPr>
            <w:tcW w:type="dxa" w:w="1383"/>
          </w:tcPr>
          <w:p>
            <w:r>
              <w:rPr>
                <w:sz w:val="18"/>
              </w:rPr>
              <w:t>22</w:t>
            </w:r>
          </w:p>
        </w:tc>
        <w:tc>
          <w:tcPr>
            <w:tcW w:type="dxa" w:w="1383"/>
          </w:tcPr>
          <w:p>
            <w:r>
              <w:rPr>
                <w:sz w:val="18"/>
              </w:rPr>
              <w:t>0.200</w:t>
            </w:r>
          </w:p>
        </w:tc>
      </w:tr>
      <w:tr>
        <w:tc>
          <w:tcPr>
            <w:tcW w:type="dxa" w:w="1383"/>
          </w:tcPr>
          <w:p>
            <w:r>
              <w:rPr>
                <w:sz w:val="18"/>
              </w:rPr>
              <w:t>组3_场景B</w:t>
            </w:r>
          </w:p>
        </w:tc>
        <w:tc>
          <w:tcPr>
            <w:tcW w:type="dxa" w:w="1383"/>
          </w:tcPr>
          <w:p>
            <w:r>
              <w:rPr>
                <w:sz w:val="18"/>
              </w:rPr>
              <w:t>264.3</w:t>
            </w:r>
          </w:p>
        </w:tc>
        <w:tc>
          <w:tcPr>
            <w:tcW w:type="dxa" w:w="1383"/>
          </w:tcPr>
          <w:p>
            <w:r>
              <w:rPr>
                <w:sz w:val="18"/>
              </w:rPr>
              <w:t>47.9</w:t>
            </w:r>
          </w:p>
        </w:tc>
        <w:tc>
          <w:tcPr>
            <w:tcW w:type="dxa" w:w="1383"/>
          </w:tcPr>
          <w:p>
            <w:r>
              <w:rPr>
                <w:sz w:val="18"/>
              </w:rPr>
              <w:t>413</w:t>
            </w:r>
          </w:p>
        </w:tc>
        <w:tc>
          <w:tcPr>
            <w:tcW w:type="dxa" w:w="1383"/>
          </w:tcPr>
          <w:p>
            <w:r>
              <w:rPr>
                <w:sz w:val="18"/>
              </w:rPr>
              <w:t>12</w:t>
            </w:r>
          </w:p>
        </w:tc>
        <w:tc>
          <w:tcPr>
            <w:tcW w:type="dxa" w:w="1383"/>
          </w:tcPr>
          <w:p>
            <w:r>
              <w:rPr>
                <w:sz w:val="18"/>
              </w:rPr>
              <w:t>0.195</w:t>
            </w:r>
          </w:p>
        </w:tc>
      </w:tr>
    </w:tbl>
    <w:p/>
    <w:p>
      <w:pPr>
        <w:jc w:val="left"/>
      </w:pPr>
      <w:r>
        <w:rPr>
          <w:rFonts w:ascii="黑体" w:hAnsi="黑体" w:eastAsia="黑体"/>
          <w:b/>
          <w:sz w:val="24"/>
        </w:rPr>
        <w:t>附录C：处理后的数据</w:t>
      </w:r>
    </w:p>
    <w:p>
      <w:pPr>
        <w:ind w:firstLine="480"/>
        <w:jc w:val="left"/>
      </w:pPr>
      <w:r>
        <w:rPr>
          <w:rFonts w:ascii="宋体" w:hAnsi="宋体" w:eastAsia="宋体"/>
          <w:sz w:val="24"/>
        </w:rPr>
        <w:t>附件Excel经预处理(缺失值0、重复点0、坐标均在RVE内)后，以CSV和JSON双格式保存。数据文件清单：all_datasets.json、connectivity_summary.csv、q3_sobol_sample_matrix.csv、q4_pareto_front.csv。</w:t>
      </w:r>
    </w:p>
    <w:p>
      <w:pPr>
        <w:jc w:val="left"/>
      </w:pPr>
      <w:r>
        <w:rPr>
          <w:rFonts w:ascii="黑体" w:hAnsi="黑体" w:eastAsia="黑体"/>
          <w:b/>
          <w:sz w:val="24"/>
        </w:rPr>
        <w:t>附录D：补充图表</w:t>
      </w:r>
    </w:p>
    <w:p>
      <w:pPr>
        <w:ind w:firstLine="480"/>
        <w:jc w:val="left"/>
      </w:pPr>
      <w:r>
        <w:rPr>
          <w:rFonts w:ascii="宋体" w:hAnsi="宋体" w:eastAsia="宋体"/>
          <w:sz w:val="24"/>
        </w:rPr>
        <w:t>完整图表集(含38张PNG格式图表)保存于docx输出/图片/目录。包括：各问建模流程图、连通性热力图、Sobol指数对比图、Pareto前沿图、雷达图、收敛曲线等。已在正文相关位置引用。</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